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风电场项目个人工作总结与答辩素材</w:t>
      </w:r>
    </w:p>
    <w:p>
      <w:pPr>
        <w:pStyle w:val="Subtitle"/>
      </w:pPr>
      <w:r>
        <w:t>厉今飞   项目负责人兼 AI 模块负责人   截至 2026 年 9 月 18 日</w:t>
      </w:r>
    </w:p>
    <w:p>
      <w:r>
        <w:rPr>
          <w:b w:val="0"/>
        </w:rPr>
        <w:t>项目启动以来，我围绕风电场流场感知与智能调控，推进了技术路线梳理、团队任务衔接、机器学习基础学习、功率预测代码原型、风机尾流论文研读和开源 PINN 的本地复现尝试。当前已形成具体的数据处理与模型训练方案、可编辑的讲解材料，并完成多风机 PINN 缩小规模测试。最近的重点是评估模型计算成本与部署条件，进一步探索 POD 降阶与小型神经网络结合的可行性。</w:t>
      </w:r>
    </w:p>
    <w:p>
      <w:r>
        <w:rPr>
          <w:b w:val="0"/>
        </w:rPr>
        <w:t>本材料供负责可视化与答辩材料的同学选取、删改。正文按工作过程展开，后附可直接使用的总结文字、页面安排和成果状态。描述代码功能时使用“已形成代码”；描述运行结果时使用“已验证”；尚待实验的路线使用“正在探索”或“计划开展”。</w:t>
      </w:r>
    </w:p>
    <w:p>
      <w:pPr>
        <w:pStyle w:val="Heading1"/>
      </w:pPr>
      <w:r>
        <w:t>一 项目定位与个人职责</w:t>
      </w:r>
    </w:p>
    <w:p>
      <w:r>
        <w:rPr>
          <w:b w:val="0"/>
        </w:rPr>
        <w:t>申请书封面项目名称为“融合数据-物理驱动的风电流场感知与智能调控研究”，正文另使用“基于神经网络的风电场流场智能感知与机组协同调控研究”。申报日期为 2026 年 3 月 27 日，计划实施周期为 2026 年 4 月至 2027 年 6 月。正式答辩封面应沿用学校最终立项名称。</w:t>
      </w:r>
    </w:p>
    <w:p>
      <w:r>
        <w:rPr>
          <w:b w:val="0"/>
        </w:rPr>
        <w:t>我的主要角色是</w:t>
      </w:r>
      <w:r>
        <w:rPr>
          <w:b/>
        </w:rPr>
        <w:t>项目负责人兼 AI 模块负责人</w:t>
      </w:r>
      <w:r>
        <w:rPr>
          <w:b w:val="0"/>
        </w:rPr>
        <w:t>。团队按建模、仿真、AI、优化控制和可视化分工。我承担 AI 学习与方案细化、训练数据需求梳理、代理模型代码准备与复现探索，同时推进各部分之间的目标和接口对接。建模同学生成的 FLORIS 数据、仿真同学的 CFD 工作以及其他成员的优化和界面工作，属于相应成员的贡献。</w:t>
      </w:r>
    </w:p>
    <w:p>
      <w:r>
        <w:rPr>
          <w:b w:val="0"/>
        </w:rPr>
        <w:t>对 AI 模块的定位逐步清晰：接收风况和必要的机组条件，快速预测功率或流场，为后续优化提供可反复调用的模型，也为可视化提供有物理含义的输出。前期先围绕固定三机布局的功率预测形成代码原型，后续再研究流场预测、物理约束以及轻量化。</w:t>
      </w:r>
    </w:p>
    <w:p>
      <w:pPr>
        <w:pStyle w:val="Heading1"/>
      </w:pPr>
      <w:r>
        <w:t>二 从启动到现在的主要时间线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55"/>
        <w:gridCol w:w="6595"/>
        <w:gridCol w:w="1786"/>
      </w:tblGrid>
      <w:tr>
        <w:trPr>
          <w:tblHeader/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时间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我推进的主要工作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阶段定位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2026 年 3 至 5 月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围绕申请书目标梳理实施路径；5 月讨论团队专业基础与可行起步方式。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立项与路线细化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 月底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明确队长兼 AI 负责人身份；筹备首次组会，梳理项目总览、分工、AI 输入输出及近期任务。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组会准备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5 月底至 7 月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寻找系统课程，学习机器学习与神经网络；将学习目标与风电场流场分析联系起来。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理论与工具准备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7 月 22 至 25 日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重新讨论 AI 在项目中的作用；准备暑期会议，要求整理阶段目标、任务分工、时间表和 PPT。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任务拆解与衔接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7 月底至 8 月初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学习训练与推理、特征学习和物理约束；配置 TensorFlow 与 Jupyter 学习环境。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开发准备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8 月 4 日前后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接手 1224 条样本，明确三个输入、四个输出及零功率样本筛除规则，形成训练 Notebook。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功率预测代码原型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8 月中旬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学习 MAE、RMSE、R² 及偏差方差诊断；结合建模说明核对数据来源、工况和适用范围。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评价方案与数据理解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8 月下旬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整理并扩展神经网络原理介绍 PPT，形成面向项目交流的讲解材料。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知识整理与团队交流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9 月 12 日前后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追问 Fluent 数值求解原理；收集两篇风机尾流 PINN 论文，取得中文译文并开展研读。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研究对象与方法深化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9 月 16 至 17 日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下载多风机 PINN 开源项目，配置环境、修复兼容性问题，完成 CPU 缩小规模测试。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本地复现与调试</w:t>
            </w:r>
          </w:p>
        </w:tc>
      </w:tr>
      <w:tr>
        <w:trPr>
          <w:cantSplit/>
        </w:trPr>
        <w:tc>
          <w:tcPr>
            <w:tcW w:type="dxa" w:w="155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9 月中旬最新进展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安装并进入 Ubuntu，检查显卡识别；提出简洁高效要求，讨论 POD 降阶与小型网络路线。</w:t>
            </w:r>
          </w:p>
        </w:tc>
        <w:tc>
          <w:tcPr>
            <w:tcW w:type="dxa" w:w="178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计算成本评估与路线再比较</w:t>
            </w:r>
          </w:p>
        </w:tc>
      </w:tr>
    </w:tbl>
    <w:p>
      <w:pPr>
        <w:spacing w:after="20"/>
      </w:pPr>
    </w:p>
    <w:p>
      <w:pPr>
        <w:pStyle w:val="Heading1"/>
      </w:pPr>
      <w:r>
        <w:t>三 项目推进与团队衔接</w:t>
      </w:r>
    </w:p>
    <w:p>
      <w:pPr>
        <w:pStyle w:val="Heading2"/>
      </w:pPr>
      <w:r>
        <w:t>把总体目标拆成可以逐步完成的任务</w:t>
      </w:r>
    </w:p>
    <w:p>
      <w:r>
        <w:rPr>
          <w:b w:val="0"/>
        </w:rPr>
        <w:t>项目早期同时涉及流体建模、CFD、神经网络、优化控制和可视化。我围绕“从哪里开始、AI 具体做什么、数据由谁提供、结果交给谁使用”反复拆解任务，把宽泛的研究目标落实到输入、输出、数据、代码和展示材料。</w:t>
      </w:r>
    </w:p>
    <w:p>
      <w:r>
        <w:rPr>
          <w:b w:val="0"/>
        </w:rPr>
        <w:t>5 月底筹备首次组会时，我提出整理项目总体介绍、阶段目标、分工和 AI 数据方案。7 月暑期推进时，又结合五人各自学习的内容，准备讨论假期与开学后的任务安排，并要求把这些内容整理成 PPT。这里可以体现的是组会筹备和任务规划工作；会议实际举行的次数和具体决议应按团队会议纪要填写。</w:t>
      </w:r>
    </w:p>
    <w:p>
      <w:pPr>
        <w:pStyle w:val="Heading2"/>
      </w:pPr>
      <w:r>
        <w:t>明确前后模块如何连接</w:t>
      </w:r>
    </w:p>
    <w:p>
      <w:pPr>
        <w:pStyle w:val="ListBullet"/>
      </w:pPr>
      <w:r>
        <w:rPr>
          <w:b w:val="0"/>
        </w:rPr>
      </w:r>
      <w:r>
        <w:rPr>
          <w:b/>
        </w:rPr>
        <w:t>与建模和仿真衔接：</w:t>
      </w:r>
      <w:r>
        <w:rPr>
          <w:b w:val="0"/>
        </w:rPr>
        <w:t>明确训练样本的工况、字段、单位、标签意义和来源，关注功率数据与流场快照是否足够支持目标模型。</w:t>
      </w:r>
    </w:p>
    <w:p>
      <w:pPr>
        <w:pStyle w:val="ListBullet"/>
      </w:pPr>
      <w:r>
        <w:rPr>
          <w:b w:val="0"/>
        </w:rPr>
      </w:r>
      <w:r>
        <w:rPr>
          <w:b/>
        </w:rPr>
        <w:t>与优化控制衔接：</w:t>
      </w:r>
      <w:r>
        <w:rPr>
          <w:b w:val="0"/>
        </w:rPr>
        <w:t>明确代理模型的作用是评价给定条件下的结果；若要优化偏航角，模型输入和数据覆盖中需要包含可调控制量。</w:t>
      </w:r>
    </w:p>
    <w:p>
      <w:pPr>
        <w:pStyle w:val="ListBullet"/>
      </w:pPr>
      <w:r>
        <w:rPr>
          <w:b w:val="0"/>
        </w:rPr>
      </w:r>
      <w:r>
        <w:rPr>
          <w:b/>
        </w:rPr>
        <w:t>与可视化衔接：</w:t>
      </w:r>
      <w:r>
        <w:rPr>
          <w:b w:val="0"/>
        </w:rPr>
        <w:t>准备可展示的输入输出说明、模型结构、训练流程、评价指标及输出文件，使界面和答辩能够解释模型在计算什么。</w:t>
      </w:r>
    </w:p>
    <w:p>
      <w:r>
        <w:rPr>
          <w:b w:val="0"/>
        </w:rPr>
        <w:t>这一阶段的贡献可以表述为：围绕团队的五个工作模块，细化 AI 模块的任务边界和数据需求，推动项目从总体方案进入具体数据与模型实现。</w:t>
      </w:r>
    </w:p>
    <w:p>
      <w:pPr>
        <w:pStyle w:val="Heading1"/>
      </w:pPr>
      <w:r>
        <w:t>四 AI 基础学习与开发工具准备</w:t>
      </w:r>
    </w:p>
    <w:p>
      <w:pPr>
        <w:pStyle w:val="Heading2"/>
      </w:pPr>
      <w:r>
        <w:t>围绕工程任务补足机器学习基础</w:t>
      </w:r>
    </w:p>
    <w:p>
      <w:r>
        <w:rPr>
          <w:b w:val="0"/>
        </w:rPr>
        <w:t>我选择系统课程学习机器学习，暑期持续学习吴恩达课程。7 月底已学习到神经网络的推理与训练，并继续讨论权重和偏置、损失函数、梯度下降、学习率、激活函数以及训练模型和使用模型之间的区别。</w:t>
      </w:r>
    </w:p>
    <w:p>
      <w:r>
        <w:rPr>
          <w:b w:val="0"/>
        </w:rPr>
        <w:t>学习过程中，我重点追问了多层网络怎样学习特征、高维输入为何难以直观画出、网络是否只是黑箱，以及已有物理方程如何进入模型。这些问题对应后续项目中的三个选择：怎样表示风况，怎样选取网络结构，以及怎样让结果具有物理一致性。</w:t>
      </w:r>
    </w:p>
    <w:p>
      <w:r>
        <w:rPr>
          <w:b w:val="0"/>
        </w:rPr>
        <w:t>8 月中旬，我进一步学习训练集、验证集和测试集的用途，理解高偏差与高方差、模型复杂度和正则化的关系，并重点讨论 MAE、RMSE、R² 的含义及训练表现和验证表现的差异。由此形成了评价模型时同时看误差、泛化能力和训练过程的思路。</w:t>
      </w:r>
    </w:p>
    <w:p>
      <w:pPr>
        <w:pStyle w:val="Heading2"/>
      </w:pPr>
      <w:r>
        <w:t>搭建和排查实际开发环境</w:t>
      </w:r>
    </w:p>
    <w:p>
      <w:r>
        <w:rPr>
          <w:b w:val="0"/>
        </w:rPr>
        <w:t>围绕课程和项目实践，我开展了 Conda、TensorFlow 和 Jupyter Notebook 的环境配置与使用，使用过 tf-course 学习环境，并处理课程 Notebook 的依赖、路径和运行问题。后续复现 PINN 时又使用独立的 pinn-multi 环境，开始面对科研代码的版本兼容、模型加载和硬件加速问题。</w:t>
      </w:r>
    </w:p>
    <w:p>
      <w:pPr>
        <w:pStyle w:val="Heading2"/>
      </w:pPr>
      <w:r>
        <w:t>把个人学习内容整理为团队能使用的材料</w:t>
      </w:r>
    </w:p>
    <w:p>
      <w:r>
        <w:rPr>
          <w:b w:val="0"/>
        </w:rPr>
        <w:t>现有材料包括《神经网络原理简介》及其扩展版 PPT。扩展版共 13 页，内容从单变量线性回归、多变量回归、多项式回归逐步过渡到神经网络，涵盖损失函数、梯度下降、非线性激活、前向传播、反向传播和参数更新。这部分可用于答辩中的方法说明，也能帮助负责可视化的同学理解模型结构。</w:t>
      </w:r>
    </w:p>
    <w:p>
      <w:r>
        <w:rPr>
          <w:b w:val="0"/>
        </w:rPr>
        <w:t>这部分适合概括为：围绕项目补足 AI 理论与工具基础，并将学习内容转化为可供团队交流的技术材料。课程学习属于方法准备，项目效果则需要由后续实验指标证明。</w:t>
      </w:r>
    </w:p>
    <w:p>
      <w:pPr>
        <w:pStyle w:val="Heading1"/>
      </w:pPr>
      <w:r>
        <w:t>五 接手训练数据并明确数据处理规则</w:t>
      </w:r>
    </w:p>
    <w:p>
      <w:pPr>
        <w:pStyle w:val="Heading2"/>
      </w:pPr>
      <w:r>
        <w:t>明确数据来源和当前预测任务</w:t>
      </w:r>
    </w:p>
    <w:p>
      <w:r>
        <w:rPr>
          <w:b w:val="0"/>
        </w:rPr>
        <w:t>我接手建模同学提供的风电场样本，将 AI 任务具体化为：输入风速、风向和湍流强度，输出三台风机的功率以及风场总功率。现有训练 Notebook 对接的文件为 training_data_cc.csv。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656"/>
        <w:gridCol w:w="8280"/>
      </w:tblGrid>
      <w:tr>
        <w:trPr>
          <w:tblHeader/>
          <w:cantSplit/>
        </w:trPr>
        <w:tc>
          <w:tcPr>
            <w:tcW w:type="dxa" w:w="165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类别</w:t>
            </w:r>
          </w:p>
        </w:tc>
        <w:tc>
          <w:tcPr>
            <w:tcW w:type="dxa" w:w="82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具体内容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数据来源</w:t>
            </w:r>
          </w:p>
        </w:tc>
        <w:tc>
          <w:tcPr>
            <w:tcW w:type="dxa" w:w="82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团队建模工作采用 FLORIS 工程尾流模型；当前核对的 CSV 为 CC 数据。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原始样本</w:t>
            </w:r>
          </w:p>
        </w:tc>
        <w:tc>
          <w:tcPr>
            <w:tcW w:type="dxa" w:w="82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1224 条，7 个字段。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风速</w:t>
            </w:r>
          </w:p>
        </w:tc>
        <w:tc>
          <w:tcPr>
            <w:tcW w:type="dxa" w:w="82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4 至 12 m/s，步长 0.5 m/s，共 17 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风向</w:t>
            </w:r>
          </w:p>
        </w:tc>
        <w:tc>
          <w:tcPr>
            <w:tcW w:type="dxa" w:w="82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0° 至 345°，步长 15°，共 24 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湍流强度</w:t>
            </w:r>
          </w:p>
        </w:tc>
        <w:tc>
          <w:tcPr>
            <w:tcW w:type="dxa" w:w="82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0.06、0.08、0.10，共 3 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三个输入</w:t>
            </w:r>
          </w:p>
        </w:tc>
        <w:tc>
          <w:tcPr>
            <w:tcW w:type="dxa" w:w="82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wind_speed、wind_direction、turbulence_intensity。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四个输出</w:t>
            </w:r>
          </w:p>
        </w:tc>
        <w:tc>
          <w:tcPr>
            <w:tcW w:type="dxa" w:w="82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turbine_1_power、turbine_2_power、turbine_3_power、farm_power。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布局背景</w:t>
            </w:r>
          </w:p>
        </w:tc>
        <w:tc>
          <w:tcPr>
            <w:tcW w:type="dxa" w:w="828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三台 NREL 5MW 风机，坐标为（0，0）、（378，0）、（756，0）m；当前布局固定。</w:t>
            </w:r>
          </w:p>
        </w:tc>
      </w:tr>
    </w:tbl>
    <w:p>
      <w:pPr>
        <w:spacing w:after="20"/>
      </w:pPr>
    </w:p>
    <w:p>
      <w:r>
        <w:rPr>
          <w:b w:val="0"/>
        </w:rPr>
        <w:t>1224 个样本来自 17 档风速、24 档风向、3 档湍流强度的组合。建模说明中另有 GCH 和 CC 两套模型各 1224 条、合计 2448 条的数据规划与生成说明；这不能直接写成我的神经网络已经用 2448 条数据完成训练。当前核对的代码读取 CC 文件。</w:t>
      </w:r>
    </w:p>
    <w:p>
      <w:pPr>
        <w:pStyle w:val="Heading2"/>
      </w:pPr>
      <w:r>
        <w:t>提出清洗规则并形成可追溯的处理流程</w:t>
      </w:r>
    </w:p>
    <w:p>
      <w:r>
        <w:rPr>
          <w:b w:val="0"/>
        </w:rPr>
        <w:t>我明确提出：</w:t>
      </w:r>
      <w:r>
        <w:rPr>
          <w:b/>
        </w:rPr>
        <w:t>四个功率标签中任意一个为 0，就按当时设定的规则剔除该样本。</w:t>
      </w:r>
      <w:r>
        <w:rPr>
          <w:b w:val="0"/>
        </w:rPr>
        <w:t>按这一规则核对现存 CSV，需筛除 4 条记录，保留 1220 条。四条均为第二台风机功率为 0，原 CSV 行号为 92、128、164、200，行号包含第一行表头。</w:t>
      </w:r>
    </w:p>
    <w:p>
      <w:r>
        <w:rPr>
          <w:b w:val="0"/>
        </w:rPr>
        <w:t>代码同时包含必需字段检查、数值转换、缺失或无穷值筛查，并保留原始 CSV 行号，方便回查异常样本。还加入了风场总功率与三台风机功率之和的一致性检查。当前 CSV 的最大差异约为 1.86×10⁻⁹ W，处于浮点数误差量级。</w:t>
      </w:r>
    </w:p>
    <w:p>
      <w:r>
        <w:rPr>
          <w:b w:val="0"/>
        </w:rPr>
        <w:t>答辩表述应使用“按项目当时规定的筛选规则保留 1220 条”，避免直接把零功率等同于仿真失败。零功率也可能来自尾流影响下的低于切入风速工况；其物理原因和是否应保留，属于需要与建模同学进一步核定的数据口径。</w:t>
      </w:r>
    </w:p>
    <w:p>
      <w:pPr>
        <w:pStyle w:val="Heading2"/>
      </w:pPr>
      <w:r>
        <w:t>识别输入与样本适用范围</w:t>
      </w:r>
    </w:p>
    <w:p>
      <w:r>
        <w:rPr>
          <w:b w:val="0"/>
        </w:rPr>
        <w:t>通过对接建模说明，我进一步梳理了固定坐标与变化风况的关系。虽然上游说明列出风机坐标，但当前布局不变，因此现有功率模型只以三个变化的风况量为原始输入。它对应的是固定机型和固定三机布局下的功率预测任务。</w:t>
      </w:r>
    </w:p>
    <w:p>
      <w:r>
        <w:rPr>
          <w:b w:val="0"/>
        </w:rPr>
        <w:t>现有 CSV 不含偏航角扫描，也不包含空间网格上的速度场快照。由这份数据形成的模型，不能直接声称已经具备任意布局预测、偏航优化或三维流场重构能力。这个边界直接影响后续数据扩充和可视化展示的范围。</w:t>
      </w:r>
    </w:p>
    <w:p>
      <w:pPr>
        <w:pStyle w:val="Heading1"/>
      </w:pPr>
      <w:r>
        <w:t>六 形成功率预测神经网络代码原型</w:t>
      </w:r>
    </w:p>
    <w:p>
      <w:pPr>
        <w:pStyle w:val="Heading2"/>
      </w:pPr>
      <w:r>
        <w:t>从需求和参数讨论推进到训练 Notebook</w:t>
      </w:r>
    </w:p>
    <w:p>
      <w:r>
        <w:rPr>
          <w:b w:val="0"/>
        </w:rPr>
        <w:t>围绕 1224 条原始样本，我讨论了网络层数与宽度是否适合数据规模、激活函数如何选择、普通梯度下降和 Adam 如何取舍、如何评价误差，以及如何判断欠拟合和过拟合。相关需求最终整理为 wind_farm_neural_network.ipynb，包含数据读取、预处理、训练、评价、保存和调用示例。</w:t>
      </w:r>
    </w:p>
    <w:p>
      <w:r>
        <w:rPr>
          <w:b w:val="0"/>
        </w:rPr>
        <w:t>本节记录的是现有代码中已经实现的流程与设置。现存 Notebook 没有保存单元执行输出，因此可将其列为“训练代码原型已形成”；正式答辩中的训练成功、精度、耗时和模型交付情况，应由实际运行日志和输出文件补充。</w:t>
      </w:r>
    </w:p>
    <w:p>
      <w:pPr>
        <w:pStyle w:val="Heading2"/>
      </w:pPr>
      <w:r>
        <w:t>针对风向周期性进行特征表示</w:t>
      </w:r>
    </w:p>
    <w:p>
      <w:r>
        <w:rPr>
          <w:b w:val="0"/>
        </w:rPr>
        <w:t>现有代码将三个原始输入转换为六个网络特征：风速、湍流强度、风向的一阶正弦和余弦、风向的二阶正弦和余弦。这样能够表达风向的周期性，避免把接近 0° 和 360° 的风向当成数值距离很远的两种状态；二阶谐波是代码中为表达方向变化而加入的额外特征，其收益仍需通过对照实验量化。</w:t>
      </w:r>
    </w:p>
    <w:p>
      <w:r>
        <w:rPr>
          <w:b w:val="0"/>
        </w:rPr>
        <w:t>输入标准化层只使用训练集估计统计量。功率输出按单机额定功率 5 MW、全场额定功率 15 MW 缩放，减少不同数值尺度对训练的影响。预测后再还原为 W 或 MW，方便其他模块使用。</w:t>
      </w:r>
    </w:p>
    <w:p>
      <w:pPr>
        <w:pStyle w:val="Heading2"/>
      </w:pPr>
      <w:r>
        <w:t>把功率之间的关系直接写入输出结构</w:t>
      </w:r>
    </w:p>
    <w:p>
      <w:r>
        <w:rPr>
          <w:b w:val="0"/>
        </w:rPr>
        <w:t>网络自由预测三台风机各自的功率比例，再以固定求和关系生成全场功率。单机输出采用 Sigmoid，将功率比例限制在 0 至 1 的区间；全场输出由三个单机比例的平均值计算，再乘全场额定功率 15 MW。还原到实际功率后，全场功率等于三台风机功率之和。</w:t>
      </w:r>
    </w:p>
    <w:p>
      <w:r>
        <w:rPr>
          <w:b w:val="0"/>
        </w:rPr>
        <w:t>这可以表述为</w:t>
      </w:r>
      <w:r>
        <w:rPr>
          <w:b/>
        </w:rPr>
        <w:t>在输出结构中加入功率范围和总量一致性约束</w:t>
      </w:r>
      <w:r>
        <w:rPr>
          <w:b w:val="0"/>
        </w:rPr>
        <w:t>。它与后续基于流体控制方程残差的 PINN 有不同的实现层次：当前功率模型没有求解 RANS 方程，也没有用 PDE 残差训练流场。</w:t>
      </w:r>
    </w:p>
    <w:p>
      <w:pPr>
        <w:pStyle w:val="Heading2"/>
      </w:pPr>
      <w:r>
        <w:t>现有 Notebook 的主要配置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28"/>
        <w:gridCol w:w="8208"/>
      </w:tblGrid>
      <w:tr>
        <w:trPr>
          <w:tblHeader/>
          <w:cantSplit/>
        </w:trPr>
        <w:tc>
          <w:tcPr>
            <w:tcW w:type="dxa" w:w="17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项目</w:t>
            </w:r>
          </w:p>
        </w:tc>
        <w:tc>
          <w:tcPr>
            <w:tcW w:type="dxa" w:w="82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代码中的设置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原始输入与网络特征</w:t>
            </w:r>
          </w:p>
        </w:tc>
        <w:tc>
          <w:tcPr>
            <w:tcW w:type="dxa" w:w="82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3 个原始物理输入，经风向周期编码形成 6 个网络特征。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隐藏层</w:t>
            </w:r>
          </w:p>
        </w:tc>
        <w:tc>
          <w:tcPr>
            <w:tcW w:type="dxa" w:w="82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三层全连接网络，宽度分别为 64、128、64；激活函数为 Swish。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输出层</w:t>
            </w:r>
          </w:p>
        </w:tc>
        <w:tc>
          <w:tcPr>
            <w:tcW w:type="dxa" w:w="82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3 个 Sigmoid 单机功率比例；1 个固定计算的全场功率比例。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优化与损失</w:t>
            </w:r>
          </w:p>
        </w:tc>
        <w:tc>
          <w:tcPr>
            <w:tcW w:type="dxa" w:w="82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Adam；初始学习率 0.001；归一化功率均方误差损失。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数据划分</w:t>
            </w:r>
          </w:p>
        </w:tc>
        <w:tc>
          <w:tcPr>
            <w:tcW w:type="dxa" w:w="82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训练集、验证集、测试集约为 70%、15%、15%；随机种子 42。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训练上限</w:t>
            </w:r>
          </w:p>
        </w:tc>
        <w:tc>
          <w:tcPr>
            <w:tcW w:type="dxa" w:w="82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batch size 为 32；最多 1000 个 epoch。上限不是实际训练轮数。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泛化与收敛措施</w:t>
            </w:r>
          </w:p>
        </w:tc>
        <w:tc>
          <w:tcPr>
            <w:tcW w:type="dxa" w:w="82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L2 系数 1e-5；EarlyStopping；验证误差停滞时降低学习率。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评价输出</w:t>
            </w:r>
          </w:p>
        </w:tc>
        <w:tc>
          <w:tcPr>
            <w:tcW w:type="dxa" w:w="820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分别计算三台风机及全场的 MAE、RMSE、R²，并换算 kW 与额定功率百分比。</w:t>
            </w:r>
          </w:p>
        </w:tc>
      </w:tr>
    </w:tbl>
    <w:p>
      <w:pPr>
        <w:spacing w:after="20"/>
      </w:pPr>
    </w:p>
    <w:p>
      <w:r>
        <w:rPr>
          <w:b w:val="0"/>
        </w:rPr>
        <w:t>后续讨论还出现过更小网络、线性输出等备选方案。这些属于结构比较思路，不能与上述 Notebook 配置拼成一个“最终已验证模型”，也不能写成已经完成了多组超参数对比。</w:t>
      </w:r>
    </w:p>
    <w:p>
      <w:pPr>
        <w:pStyle w:val="Heading2"/>
      </w:pPr>
      <w:r>
        <w:t>为模型评价和模块交接准备输出</w:t>
      </w:r>
    </w:p>
    <w:p>
      <w:r>
        <w:rPr>
          <w:b w:val="0"/>
        </w:rPr>
        <w:t>代码设置了统一的 wind_farm_results 结果目录，并准备输出模型文件、指标表、逐样本预测、训练历史和图像。这样可视化同学能够从同一轮实验中取得结构一致的材料，而不必只依赖终端截图。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02"/>
        <w:gridCol w:w="6134"/>
      </w:tblGrid>
      <w:tr>
        <w:trPr>
          <w:tblHeader/>
          <w:cantSplit/>
        </w:trPr>
        <w:tc>
          <w:tcPr>
            <w:tcW w:type="dxa" w:w="38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代码中配置的输出</w:t>
            </w:r>
          </w:p>
        </w:tc>
        <w:tc>
          <w:tcPr>
            <w:tcW w:type="dxa" w:w="613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可服务的用途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wind_farm_power_model.keras</w:t>
            </w:r>
          </w:p>
        </w:tc>
        <w:tc>
          <w:tcPr>
            <w:tcW w:type="dxa" w:w="613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保存模型，供加载和预测调用。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test_metrics.csv</w:t>
            </w:r>
          </w:p>
        </w:tc>
        <w:tc>
          <w:tcPr>
            <w:tcW w:type="dxa" w:w="613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展示各输出的 MAE、RMSE、R² 等评价指标。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test_predictions.csv</w:t>
            </w:r>
          </w:p>
        </w:tc>
        <w:tc>
          <w:tcPr>
            <w:tcW w:type="dxa" w:w="613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保留原始行号、工况、真实功率、预测功率及误差，便于回查。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training_history.csv 与 training_curve.png</w:t>
            </w:r>
          </w:p>
        </w:tc>
        <w:tc>
          <w:tcPr>
            <w:tcW w:type="dxa" w:w="613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观察训练和验证损失随迭代变化。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true_vs_pred_*.png</w:t>
            </w:r>
          </w:p>
        </w:tc>
        <w:tc>
          <w:tcPr>
            <w:tcW w:type="dxa" w:w="613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展示各单机与全场的真实值和预测值关系。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model_metadata.json</w:t>
            </w:r>
          </w:p>
        </w:tc>
        <w:tc>
          <w:tcPr>
            <w:tcW w:type="dxa" w:w="613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保存字段、缩放尺度、划分信息和数据范围。</w:t>
            </w:r>
          </w:p>
        </w:tc>
      </w:tr>
      <w:tr>
        <w:trPr>
          <w:cantSplit/>
        </w:trPr>
        <w:tc>
          <w:tcPr>
            <w:tcW w:type="dxa" w:w="38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predict_power 调用函数</w:t>
            </w:r>
          </w:p>
        </w:tc>
        <w:tc>
          <w:tcPr>
            <w:tcW w:type="dxa" w:w="613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输入一组风况，返回四项功率，同时提供 W 和 MW 单位。</w:t>
            </w:r>
          </w:p>
        </w:tc>
      </w:tr>
    </w:tbl>
    <w:p>
      <w:pPr>
        <w:spacing w:after="20"/>
      </w:pPr>
    </w:p>
    <w:p>
      <w:r>
        <w:rPr>
          <w:b w:val="0"/>
        </w:rPr>
        <w:t>以上是已准备好的输出机制，文件是否已经实际生成，需要与真实运行结果对应。界面接入、优化调用和系统联调属于后续工作。</w:t>
      </w:r>
    </w:p>
    <w:p>
      <w:pPr>
        <w:pStyle w:val="Heading1"/>
      </w:pPr>
      <w:r>
        <w:t>七 从功率拟合进一步追问物理模型与 CFD 原理</w:t>
      </w:r>
    </w:p>
    <w:p>
      <w:r>
        <w:rPr>
          <w:b w:val="0"/>
        </w:rPr>
        <w:t>在阅读建模同学提供的 GCH、CC 与 FLORIS 说明后，我进一步提出：既然项目希望用神经网络承担原来由 Fluent 完成的部分计算，就需要理解 Fluent 在求解什么、输入条件是什么、输出变量是什么，以及网络准备替代哪一环节。</w:t>
      </w:r>
    </w:p>
    <w:p>
      <w:r>
        <w:rPr>
          <w:b w:val="0"/>
        </w:rPr>
        <w:t>这使项目讨论从“拿到几个输入和功率标签后做回归”，进一步扩展到“如何学习或求解有空间结构的流场”。我开始关注流体控制方程、边界条件、湍流模型、风机对流场的作用，以及离散数值求解与神经网络近似之间的关系。</w:t>
      </w:r>
    </w:p>
    <w:p>
      <w:r>
        <w:rPr>
          <w:b w:val="0"/>
        </w:rPr>
        <w:t>这一步对路线选择的价值在于：FLORIS 工程模型生成的功率标签可以支撑前期原型；如果要证明能够替代某类 Fluent 仿真，就需要明确 CFD 工况与物理模型，并在一致的条件下验证流场和功率误差。仅对工程尾流模型的功率标签拟合得好，还不能直接推出对高保真 CFD 的替代效果。</w:t>
      </w:r>
    </w:p>
    <w:p>
      <w:r>
        <w:rPr>
          <w:b w:val="0"/>
        </w:rPr>
        <w:t>同时，我进一步区分了三个层次：数据本身来源于物理模型；网络结构或损失中加入功率关系；通过 PDE 残差、边界条件和观测数据训练 PINN。它们都可能用于数据与物理融合，但具体实现和验证要求不同。</w:t>
      </w:r>
    </w:p>
    <w:p>
      <w:pPr>
        <w:pStyle w:val="Heading1"/>
      </w:pPr>
      <w:r>
        <w:t>八 风机尾流 PINN 文献调研与学习</w:t>
      </w:r>
    </w:p>
    <w:p>
      <w:pPr>
        <w:pStyle w:val="Heading2"/>
      </w:pPr>
      <w:r>
        <w:t>围绕项目选择两篇关联论文</w:t>
      </w:r>
    </w:p>
    <w:p>
      <w:r>
        <w:rPr>
          <w:b w:val="0"/>
        </w:rPr>
        <w:t>9 月，我收集了两篇直接针对风机湍流尾流的 PINN 论文，并要求分别整理中文译文，用于自学和对照阅读。两篇文献分别对应单风机基础模型和多风机扩展。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5112"/>
        <w:gridCol w:w="4824"/>
      </w:tblGrid>
      <w:tr>
        <w:trPr>
          <w:tblHeader/>
          <w:cantSplit/>
        </w:trPr>
        <w:tc>
          <w:tcPr>
            <w:tcW w:type="dxa" w:w="511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文献</w:t>
            </w:r>
          </w:p>
        </w:tc>
        <w:tc>
          <w:tcPr>
            <w:tcW w:type="dxa" w:w="482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与本项目相关的关注点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A physics-informed neural network for turbulent wake simulations behind wind turbines</w:t>
              <w:br/>
              <w:t>Physics of Fluids 37, 015110, 2025</w:t>
              <w:br/>
              <w:t>DOI 10.1063/5.0245113</w:t>
            </w:r>
          </w:p>
        </w:tc>
        <w:tc>
          <w:tcPr>
            <w:tcW w:type="dxa" w:w="482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单风机湍流尾流；RANS 与 k–ε 模型；致动盘；物理方程和边界条件训练；迁移学习。</w:t>
            </w:r>
          </w:p>
        </w:tc>
      </w:tr>
      <w:tr>
        <w:trPr>
          <w:cantSplit/>
        </w:trPr>
        <w:tc>
          <w:tcPr>
            <w:tcW w:type="dxa" w:w="511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Multi-turbine turbulent wake simulation using physics-informed neural networks</w:t>
              <w:br/>
              <w:t>Physics of Fluids 38, 055108, 2026</w:t>
              <w:br/>
              <w:t>DOI 10.1063/5.0322331</w:t>
            </w:r>
          </w:p>
        </w:tc>
        <w:tc>
          <w:tcPr>
            <w:tcW w:type="dxa" w:w="4824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多风机尾流相互作用；物理与稀疏数据混合训练；流场重建与功率；跨工况迁移；公开代码。</w:t>
            </w:r>
          </w:p>
        </w:tc>
      </w:tr>
    </w:tbl>
    <w:p>
      <w:pPr>
        <w:spacing w:after="20"/>
      </w:pPr>
    </w:p>
    <w:p>
      <w:pPr>
        <w:pStyle w:val="Heading2"/>
      </w:pPr>
      <w:r>
        <w:t>把文献阅读与可实施的问题联系起来</w:t>
      </w:r>
    </w:p>
    <w:p>
      <w:pPr>
        <w:pStyle w:val="ListBullet"/>
      </w:pPr>
      <w:r>
        <w:rPr>
          <w:b w:val="0"/>
        </w:rPr>
      </w:r>
      <w:r>
        <w:rPr>
          <w:b/>
        </w:rPr>
        <w:t>输入输出：</w:t>
      </w:r>
      <w:r>
        <w:rPr>
          <w:b w:val="0"/>
        </w:rPr>
        <w:t>了解流场网络怎样把空间坐标与待求流动变量联系起来，区别于前期风况到功率的回归任务。</w:t>
      </w:r>
    </w:p>
    <w:p>
      <w:pPr>
        <w:pStyle w:val="ListBullet"/>
      </w:pPr>
      <w:r>
        <w:rPr>
          <w:b w:val="0"/>
        </w:rPr>
      </w:r>
      <w:r>
        <w:rPr>
          <w:b/>
        </w:rPr>
        <w:t>物理约束：</w:t>
      </w:r>
      <w:r>
        <w:rPr>
          <w:b w:val="0"/>
        </w:rPr>
        <w:t>学习连续性、动量和湍流方程如何进入损失函数，以及边界条件和致动盘源项的作用。</w:t>
      </w:r>
    </w:p>
    <w:p>
      <w:pPr>
        <w:pStyle w:val="ListBullet"/>
      </w:pPr>
      <w:r>
        <w:rPr>
          <w:b w:val="0"/>
        </w:rPr>
      </w:r>
      <w:r>
        <w:rPr>
          <w:b/>
        </w:rPr>
        <w:t>数据作用：</w:t>
      </w:r>
      <w:r>
        <w:rPr>
          <w:b w:val="0"/>
        </w:rPr>
        <w:t>关注多风机问题为什么引入稀疏 CFD 数据，避免简单地认为 PINN 一定不需要任何参考数据。</w:t>
      </w:r>
    </w:p>
    <w:p>
      <w:pPr>
        <w:pStyle w:val="ListBullet"/>
      </w:pPr>
      <w:r>
        <w:rPr>
          <w:b w:val="0"/>
        </w:rPr>
      </w:r>
      <w:r>
        <w:rPr>
          <w:b/>
        </w:rPr>
        <w:t>新工况成本：</w:t>
      </w:r>
      <w:r>
        <w:rPr>
          <w:b w:val="0"/>
        </w:rPr>
        <w:t>关注已训练模型能否复用、是否需要继续训练、迁移学习怎样影响整体成本。</w:t>
      </w:r>
    </w:p>
    <w:p>
      <w:pPr>
        <w:pStyle w:val="ListBullet"/>
      </w:pPr>
      <w:r>
        <w:rPr>
          <w:b w:val="0"/>
        </w:rPr>
      </w:r>
      <w:r>
        <w:rPr>
          <w:b/>
        </w:rPr>
        <w:t>复现条件：</w:t>
      </w:r>
      <w:r>
        <w:rPr>
          <w:b w:val="0"/>
        </w:rPr>
        <w:t>查看代码、预训练模型、软件版本和算力要求，判断是否适合本科项目现有条件。</w:t>
      </w:r>
    </w:p>
    <w:p>
      <w:r>
        <w:rPr>
          <w:b w:val="0"/>
        </w:rPr>
        <w:t>这部分可以写为：围绕风机尾流代理建模开展针对性文献学习，形成单风机与多风机方法的对照，并将研读推进到公开代码的本地验证。论文中的精度和加速倍数属于文献结果，应标明来源；不能作为本项目已经达到的指标。</w:t>
      </w:r>
    </w:p>
    <w:p>
      <w:pPr>
        <w:pStyle w:val="Heading1"/>
      </w:pPr>
      <w:r>
        <w:t>九 多风机 PINN 开源项目本地复现与调试</w:t>
      </w:r>
    </w:p>
    <w:p>
      <w:pPr>
        <w:pStyle w:val="Heading2"/>
      </w:pPr>
      <w:r>
        <w:t>取得代码并建立独立运行环境</w:t>
      </w:r>
    </w:p>
    <w:p>
      <w:r>
        <w:rPr>
          <w:b w:val="0"/>
        </w:rPr>
        <w:t>我下载并解压 quest-lab-iisc 团队的 PINNs_multi_turbine_wake_simulation 开源项目，将本地项目放在 Desktop 下的 pinnmodel 目录，进入 Rectangular_grid 算例开展调试。使用独立的 pinn-multi Conda 环境，核对依赖、数据和作者提供的模型能否导入。</w:t>
      </w:r>
    </w:p>
    <w:p>
      <w:r>
        <w:rPr>
          <w:b w:val="0"/>
        </w:rPr>
        <w:t>当时 Windows 环境的关键版本包括 TensorFlow 2.16.1、Keras 3.1.1、NumPy 1.23.5、Pandas 2.0.0。运行日志显示的网络参数量约为 309 万。这些记录有助于解释为何后续需要关注版本兼容与运行成本。</w:t>
      </w:r>
    </w:p>
    <w:p>
      <w:pPr>
        <w:pStyle w:val="Heading2"/>
      </w:pPr>
      <w:r>
        <w:t>解决实际出现的兼容性问题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016"/>
        <w:gridCol w:w="7920"/>
      </w:tblGrid>
      <w:tr>
        <w:trPr>
          <w:tblHeader/>
          <w:cantSplit/>
        </w:trPr>
        <w:tc>
          <w:tcPr>
            <w:tcW w:type="dxa" w:w="20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问题或检查</w:t>
            </w:r>
          </w:p>
        </w:tc>
        <w:tc>
          <w:tcPr>
            <w:tcW w:type="dxa" w:w="79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采取的处理与结果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旧优化器接口报错</w:t>
            </w:r>
          </w:p>
        </w:tc>
        <w:tc>
          <w:tcPr>
            <w:tcW w:type="dxa" w:w="79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运行时 legacy.Adam 与当前 Keras 环境不兼容；调整为当前 keras.optimizers.Adam 接口，继续验证流程。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Rescaling 类型错误</w:t>
            </w:r>
          </w:p>
        </w:tc>
        <w:tc>
          <w:tcPr>
            <w:tcW w:type="dxa" w:w="79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缩小测试中出现 TrackedDict 无法转换为 Tensor 的错误；将相关坐标范围量 x_lim、y_lim、z_lim 转成明确的 float 标量后继续运行。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缩小规模验证</w:t>
            </w:r>
          </w:p>
        </w:tc>
        <w:tc>
          <w:tcPr>
            <w:tcW w:type="dxa" w:w="79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通过 Run_multiturbine_model_smoke.py 开展小规模测试；修复后的运行正常返回，未再出现 Traceback。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Windows GPU 检查</w:t>
            </w:r>
          </w:p>
        </w:tc>
        <w:tc>
          <w:tcPr>
            <w:tcW w:type="dxa" w:w="79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TensorFlow 返回 GPU: []；nvidia-smi 能识别 RTX 4060，说明显卡存在，但该 TensorFlow 环境没有使用到 GPU。</w:t>
            </w:r>
          </w:p>
        </w:tc>
      </w:tr>
      <w:tr>
        <w:trPr>
          <w:cantSplit/>
        </w:trPr>
        <w:tc>
          <w:tcPr>
            <w:tcW w:type="dxa" w:w="20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后续系统环境</w:t>
            </w:r>
          </w:p>
        </w:tc>
        <w:tc>
          <w:tcPr>
            <w:tcW w:type="dxa" w:w="79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进入 Ubuntu 22.04.5 LTS；最新截图中 nvidia-smi 可识别 RTX 4060。TensorFlow 在该环境下的训练加速效果仍需单独验证。</w:t>
            </w:r>
          </w:p>
        </w:tc>
      </w:tr>
    </w:tbl>
    <w:p>
      <w:pPr>
        <w:spacing w:after="20"/>
      </w:pPr>
    </w:p>
    <w:p>
      <w:pPr>
        <w:pStyle w:val="Heading2"/>
      </w:pPr>
      <w:r>
        <w:t>准确界定已经跑通的范围</w:t>
      </w:r>
    </w:p>
    <w:p>
      <w:r>
        <w:rPr>
          <w:b w:val="0"/>
        </w:rPr>
        <w:t>9 月 16 日晚的修复后测试约运行 2 分钟，属于 CPU 上缩小数据规模的冒烟测试，即先检查程序的主要环节能否执行并正常结束。它证明本地代码调试取得了实际进展，但不等于已经完成论文规模训练、达到论文收敛精度或完成所有结果图复现。</w:t>
      </w:r>
    </w:p>
    <w:p>
      <w:r>
        <w:rPr>
          <w:b w:val="0"/>
        </w:rPr>
        <w:t>设备检查显示 NVIDIA GeForce RTX 4060，约 8 GB 显存；Windows 侧驱动记录为 566.07，nvidia-smi 显示 CUDA 12.7。答辩中可以据此说明实际硬件条件和排障过程，但驱动页面显示的 CUDA 版本本身不能证明 TensorFlow 已经启用 GPU。</w:t>
      </w:r>
    </w:p>
    <w:p>
      <w:r>
        <w:rPr>
          <w:b w:val="0"/>
        </w:rPr>
        <w:t>这部分最合适的成果表述是：</w:t>
      </w:r>
      <w:r>
        <w:rPr>
          <w:b/>
        </w:rPr>
        <w:t>完成多风机 PINN 开源代码的本地部署尝试与兼容性修复，跑通缩小规模 CPU 测试，并推进 Ubuntu 环境和 GPU 识别检查。完整训练与精度复现仍在推进。</w:t>
      </w:r>
      <w:r>
        <w:rPr>
          <w:b w:val="0"/>
        </w:rPr>
      </w:r>
    </w:p>
    <w:p>
      <w:pPr>
        <w:pStyle w:val="Heading1"/>
      </w:pPr>
      <w:r>
        <w:t>十 结合复现成本重新评估技术路线</w:t>
      </w:r>
    </w:p>
    <w:p>
      <w:pPr>
        <w:pStyle w:val="Heading2"/>
      </w:pPr>
      <w:r>
        <w:t>提出简洁高效的工程要求</w:t>
      </w:r>
    </w:p>
    <w:p>
      <w:r>
        <w:rPr>
          <w:b w:val="0"/>
        </w:rPr>
        <w:t>在调试过程中，我明确提出：项目希望形成简洁、高效的工具，如果训练和部署要求过高，就会降低实际使用价值。因此评价方法时，除了预测误差，还需要考虑数据生成成本、离线训练时间、换工况时的更新成本、在线推理时间和部署复杂度。</w:t>
      </w:r>
    </w:p>
    <w:p>
      <w:r>
        <w:rPr>
          <w:b w:val="0"/>
        </w:rPr>
        <w:t>这使技术选择不再只依据“方法是否先进”或“论文里是否可行”，而是结合现有硬件和项目目标判断能否承担最终任务。Linux 或 GPU 环境是具体实现条件，模型复杂度和计算量是另外需要研究的问题。</w:t>
      </w:r>
    </w:p>
    <w:p>
      <w:pPr>
        <w:pStyle w:val="Heading2"/>
      </w:pPr>
      <w:r>
        <w:t>提出通过 POD 降阶减轻建模负担</w:t>
      </w:r>
    </w:p>
    <w:p>
      <w:r>
        <w:rPr>
          <w:b w:val="0"/>
        </w:rPr>
        <w:t>我进一步询问能否通过 POD 降阶解决高维流场建模的计算负担，并讨论了以下候选路线：由 Fluent 等仿真获得代表性流场快照，提取少量主要空间模态，利用较小的神经网络预测模态系数，再重构流场供功率分析和可视化使用。</w:t>
      </w:r>
    </w:p>
    <w:p>
      <w:r>
        <w:rPr>
          <w:b w:val="0"/>
        </w:rPr>
        <w:t>这一路线目前处于原理学习和可行性比较阶段。需要后续验证保留多少模态、重构误差多大、跨风向或移动尾流情况下的表现，以及总成本是否优于直接预测全场或直接训练大型 PINN。</w:t>
      </w:r>
    </w:p>
    <w:p>
      <w:r>
        <w:rPr>
          <w:b w:val="0"/>
        </w:rPr>
        <w:t>当前功率 CSV 只有每个工况的四个功率值，不能直接替代开展流场 POD 所需的空间分布快照。POD 本身也不自动提供流体方程约束；若进一步与 PINN 结合，仍需要明确物理残差或降阶方程的构造方法。</w:t>
      </w:r>
    </w:p>
    <w:p>
      <w:r>
        <w:rPr>
          <w:b w:val="0"/>
        </w:rPr>
        <w:t>答辩可以将这一阶段表述为：基于开源复现中暴露的训练与部署成本，提出 POD 降阶结合小型神经网络的候选方案，正在比较其精度、计算量和工程适用性。</w:t>
      </w:r>
    </w:p>
    <w:p>
      <w:pPr>
        <w:pStyle w:val="Heading1"/>
      </w:pPr>
      <w:r>
        <w:t>十一 当前阶段可以归纳的个人贡献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483"/>
        <w:gridCol w:w="6595"/>
        <w:gridCol w:w="1858"/>
      </w:tblGrid>
      <w:tr>
        <w:trPr>
          <w:tblHeader/>
          <w:cantSplit/>
        </w:trPr>
        <w:tc>
          <w:tcPr>
            <w:tcW w:type="dxa" w:w="1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工作类别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可据实写入的内容</w:t>
            </w:r>
          </w:p>
        </w:tc>
        <w:tc>
          <w:tcPr>
            <w:tcW w:type="dxa" w:w="185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成果层级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项目推进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围绕总体目标拆解任务，筹备组会和暑期计划，明确五个模块之间的关系。</w:t>
            </w:r>
          </w:p>
        </w:tc>
        <w:tc>
          <w:tcPr>
            <w:tcW w:type="dxa" w:w="185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方案与组织准备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理论与工具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学习机器学习、神经网络、评价方法和物理约束；开展 TensorFlow、Jupyter、Conda 使用与排障。</w:t>
            </w:r>
          </w:p>
        </w:tc>
        <w:tc>
          <w:tcPr>
            <w:tcW w:type="dxa" w:w="185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能力与工具准备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数据对接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明确三输入四输出；提出筛选规则；针对固定三机布局核对数据来源与适用范围。</w:t>
            </w:r>
          </w:p>
        </w:tc>
        <w:tc>
          <w:tcPr>
            <w:tcW w:type="dxa" w:w="185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数据规范与处理方案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模型原型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形成功率预测 Notebook，包含周期编码、输出约束、训练评价、保存及调用代码。</w:t>
            </w:r>
          </w:p>
        </w:tc>
        <w:tc>
          <w:tcPr>
            <w:tcW w:type="dxa" w:w="185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代码已形成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技术材料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整理神经网络原理 PPT，取得两篇尾流 PINN 中文学习材料。</w:t>
            </w:r>
          </w:p>
        </w:tc>
        <w:tc>
          <w:tcPr>
            <w:tcW w:type="dxa" w:w="185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文档和演示材料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研究深化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追问 Fluent 与工程尾流模型差别，研读单机和多机 PINN 方法并对应到项目目标。</w:t>
            </w:r>
          </w:p>
        </w:tc>
        <w:tc>
          <w:tcPr>
            <w:tcW w:type="dxa" w:w="185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方法调研与路线判断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实际调试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修复多风机 PINN 版本及类型问题，跑通缩小规模 CPU 测试，完成后续 Ubuntu 显卡识别检查。</w:t>
            </w:r>
          </w:p>
        </w:tc>
        <w:tc>
          <w:tcPr>
            <w:tcW w:type="dxa" w:w="185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局部运行已验证</w:t>
            </w:r>
          </w:p>
        </w:tc>
      </w:tr>
      <w:tr>
        <w:trPr>
          <w:cantSplit/>
        </w:trPr>
        <w:tc>
          <w:tcPr>
            <w:tcW w:type="dxa" w:w="1483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轻量化探索</w:t>
            </w:r>
          </w:p>
        </w:tc>
        <w:tc>
          <w:tcPr>
            <w:tcW w:type="dxa" w:w="6595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提出简洁高效要求，讨论 POD 与小型神经网络结合。</w:t>
            </w:r>
          </w:p>
        </w:tc>
        <w:tc>
          <w:tcPr>
            <w:tcW w:type="dxa" w:w="185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候选方案待实验</w:t>
            </w:r>
          </w:p>
        </w:tc>
      </w:tr>
    </w:tbl>
    <w:p>
      <w:pPr>
        <w:spacing w:after="20"/>
      </w:pPr>
    </w:p>
    <w:p>
      <w:r>
        <w:rPr>
          <w:b w:val="0"/>
        </w:rPr>
        <w:t>当前可以明确强调的推进关系是：由项目目标和基础学习出发，进入具体数据与功率预测代码，再进一步研读物理流场建模方法、尝试实际复现，并据运行成本调整后续研究重点。</w:t>
      </w:r>
    </w:p>
    <w:p>
      <w:pPr>
        <w:pStyle w:val="Heading1"/>
      </w:pPr>
      <w:r>
        <w:t>十二 可视化与答辩页面的取材建议</w:t>
      </w:r>
    </w:p>
    <w:p>
      <w:r>
        <w:rPr>
          <w:b w:val="0"/>
        </w:rPr>
        <w:t>下面是材料编排建议，可按答辩时长取舍。其中“现有”表示已有文件或日志可作为素材；“待运行”表示代码已准备相应输出，但图表需要实际实验生成。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757"/>
        <w:gridCol w:w="6178"/>
        <w:gridCol w:w="2002"/>
      </w:tblGrid>
      <w:tr>
        <w:trPr>
          <w:tblHeader/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页面主题</w:t>
            </w:r>
          </w:p>
        </w:tc>
        <w:tc>
          <w:tcPr>
            <w:tcW w:type="dxa" w:w="617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展示素材</w:t>
            </w:r>
          </w:p>
        </w:tc>
        <w:tc>
          <w:tcPr>
            <w:tcW w:type="dxa" w:w="20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材料状态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个人分工与路线</w:t>
            </w:r>
          </w:p>
        </w:tc>
        <w:tc>
          <w:tcPr>
            <w:tcW w:type="dxa" w:w="617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本人负责项目推进与 AI；五模块职责；从功率原型到流场方法探索的时间线。</w:t>
            </w:r>
          </w:p>
        </w:tc>
        <w:tc>
          <w:tcPr>
            <w:tcW w:type="dxa" w:w="20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可直接整理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数据与问题定义</w:t>
            </w:r>
          </w:p>
        </w:tc>
        <w:tc>
          <w:tcPr>
            <w:tcW w:type="dxa" w:w="617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三机布局图；三个输入与四个输出；17×24×3 工况；1224 到 1220 的筛选。</w:t>
            </w:r>
          </w:p>
        </w:tc>
        <w:tc>
          <w:tcPr>
            <w:tcW w:type="dxa" w:w="20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CSV 与建模说明现有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神经网络结构</w:t>
            </w:r>
          </w:p>
        </w:tc>
        <w:tc>
          <w:tcPr>
            <w:tcW w:type="dxa" w:w="617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6 个特征；64、128、64 隐藏层；3 个单机输出与总功率固定计算关系。</w:t>
            </w:r>
          </w:p>
        </w:tc>
        <w:tc>
          <w:tcPr>
            <w:tcW w:type="dxa" w:w="20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Notebook 配置现有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训练与评价流程</w:t>
            </w:r>
          </w:p>
        </w:tc>
        <w:tc>
          <w:tcPr>
            <w:tcW w:type="dxa" w:w="617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数据划分、标准化、训练、早停、指标计算、保存及预测调用。</w:t>
            </w:r>
          </w:p>
        </w:tc>
        <w:tc>
          <w:tcPr>
            <w:tcW w:type="dxa" w:w="20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流程代码现有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预测性能</w:t>
            </w:r>
          </w:p>
        </w:tc>
        <w:tc>
          <w:tcPr>
            <w:tcW w:type="dxa" w:w="617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训练验证曲线；真实值对预测值散点图；各输出误差表。</w:t>
            </w:r>
          </w:p>
        </w:tc>
        <w:tc>
          <w:tcPr>
            <w:tcW w:type="dxa" w:w="20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待真实训练结果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PINN 文献与复现</w:t>
            </w:r>
          </w:p>
        </w:tc>
        <w:tc>
          <w:tcPr>
            <w:tcW w:type="dxa" w:w="617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两篇论文的研究对象区别；开源项目名称；兼容性错误、修复与测试结束截图。</w:t>
            </w:r>
          </w:p>
        </w:tc>
        <w:tc>
          <w:tcPr>
            <w:tcW w:type="dxa" w:w="20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译文与历史日志现有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当前问题与改进</w:t>
            </w:r>
          </w:p>
        </w:tc>
        <w:tc>
          <w:tcPr>
            <w:tcW w:type="dxa" w:w="617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Windows TensorFlow 未识别 GPU；Ubuntu 显卡检查；POD 轻量化候选路线。</w:t>
            </w:r>
          </w:p>
        </w:tc>
        <w:tc>
          <w:tcPr>
            <w:tcW w:type="dxa" w:w="20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环境记录与方案现有</w:t>
            </w:r>
          </w:p>
        </w:tc>
      </w:tr>
      <w:tr>
        <w:trPr>
          <w:cantSplit/>
        </w:trPr>
        <w:tc>
          <w:tcPr>
            <w:tcW w:type="dxa" w:w="1757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后续里程碑</w:t>
            </w:r>
          </w:p>
        </w:tc>
        <w:tc>
          <w:tcPr>
            <w:tcW w:type="dxa" w:w="6178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完成基线训练；高保真数据衔接；POD 重构与预测验证；模型与界面联调。</w:t>
            </w:r>
          </w:p>
        </w:tc>
        <w:tc>
          <w:tcPr>
            <w:tcW w:type="dxa" w:w="2002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计划页</w:t>
            </w:r>
          </w:p>
        </w:tc>
      </w:tr>
    </w:tbl>
    <w:p>
      <w:pPr>
        <w:spacing w:after="20"/>
      </w:pPr>
    </w:p>
    <w:p>
      <w:r>
        <w:rPr>
          <w:b w:val="0"/>
        </w:rPr>
        <w:t>图表制作时，应把团队建模得到的 FLORIS 云图、文献中的 PINN 云图与本人模型的预测图分开标注来源。若尚未取得本人训练结果，可以展示结构、流程与调试证据，不应把他人的结果图替换成自己的实验结果。</w:t>
      </w:r>
    </w:p>
    <w:p>
      <w:pPr>
        <w:pStyle w:val="Heading1"/>
      </w:pPr>
      <w:r>
        <w:t>十三 可以直接放入答辩材料的文字</w:t>
      </w:r>
    </w:p>
    <w:p>
      <w:pPr>
        <w:pStyle w:val="Heading2"/>
      </w:pPr>
      <w:r>
        <w:t>较完整的个人工作总结</w:t>
      </w:r>
    </w:p>
    <w:p>
      <w:r>
        <w:rPr>
          <w:b w:val="0"/>
        </w:rPr>
        <w:t>本人在项目中担任负责人兼 AI 模块负责人。项目启动以来，围绕风电场流场感知与智能调控目标，参与细化技术路线，推进团队在建模、仿真、AI、优化控制和可视化之间的任务衔接，并开展机器学习、神经网络及模型评价方法的系统学习。针对建模同学提供的固定三机布局风电场数据，明确了以风速、风向、湍流强度为输入，以三台风机功率和全场总功率为输出的预测任务，提出数据清洗规则并形成功率预测训练 Notebook。代码包含风向周期编码、输入标准化、功率缩放、全连接神经网络、输出范围及总功率一致性约束，同时准备了训练验证划分、误差评价、模型保存和预测调用流程。</w:t>
      </w:r>
    </w:p>
    <w:p>
      <w:r>
        <w:rPr>
          <w:b w:val="0"/>
        </w:rPr>
        <w:t>在此基础上，本人进一步关注模型的物理含义与 CFD 替代目标，结合团队建模资料讨论 FLORIS 工程尾流模型与 Fluent 数值求解的关系，收集并研读单风机、多风机湍流尾流 PINN 文献，整理中文学习材料及神经网络原理介绍 PPT。随后下载多风机 PINN 开源项目，开展本地环境配置和兼容性排查，处理优化器接口及坐标范围类型问题，成功完成缩小规模 CPU 测试，并推进 Ubuntu 环境下的显卡识别检查。针对复现过程中体现出的训练与部署成本，提出简洁高效的工程要求，进一步探索 POD 降阶结合小型神经网络的流场代理建模方案。当前已形成功率预测代码原型、方法学习材料和开源复现的初步验证，后续将重点补充完整训练、独立测试和轻量化方案对比。</w:t>
      </w:r>
    </w:p>
    <w:p>
      <w:pPr>
        <w:pStyle w:val="Heading2"/>
      </w:pPr>
      <w:r>
        <w:t>一页 PPT 可以使用的精简版</w:t>
      </w:r>
    </w:p>
    <w:p>
      <w:r>
        <w:rPr>
          <w:b w:val="0"/>
        </w:rPr>
        <w:t>负责项目推进与 AI 模块。完成风电场功率预测任务定义、数据清洗规则与训练 Notebook 准备，代码包含周期特征、输出物理关系、训练评价和模型调用流程；整理神经网络原理及 PINN 论文学习材料；开展多风机 PINN 开源代码本地复现，修复兼容性问题并跑通缩小规模 CPU 测试。结合实际运行条件，进一步评估 POD 降阶与小型网络的轻量化路线。</w:t>
      </w:r>
    </w:p>
    <w:p>
      <w:pPr>
        <w:pStyle w:val="Heading2"/>
      </w:pPr>
      <w:r>
        <w:t>适合放在个人贡献页的六条要点</w:t>
      </w:r>
    </w:p>
    <w:p>
      <w:pPr>
        <w:pStyle w:val="ListBullet"/>
      </w:pPr>
      <w:r>
        <w:rPr>
          <w:b w:val="0"/>
        </w:rPr>
        <w:t>推进项目路线拆解、组会准备及建模、仿真、AI、优化、可视化的任务衔接。</w:t>
      </w:r>
    </w:p>
    <w:p>
      <w:pPr>
        <w:pStyle w:val="ListBullet"/>
      </w:pPr>
      <w:r>
        <w:rPr>
          <w:b w:val="0"/>
        </w:rPr>
        <w:t>围绕项目学习机器学习与神经网络，整理原理讲解和模型评价材料。</w:t>
      </w:r>
    </w:p>
    <w:p>
      <w:pPr>
        <w:pStyle w:val="ListBullet"/>
      </w:pPr>
      <w:r>
        <w:rPr>
          <w:b w:val="0"/>
        </w:rPr>
        <w:t>对接 1224 条风电场样本，明确三输入四输出及筛选规则，按该规则保留 1220 条。</w:t>
      </w:r>
    </w:p>
    <w:p>
      <w:pPr>
        <w:pStyle w:val="ListBullet"/>
      </w:pPr>
      <w:r>
        <w:rPr>
          <w:b w:val="0"/>
        </w:rPr>
        <w:t>形成功率预测 Notebook，加入风向周期特征与功率输出一致性约束，准备完整训练和交付流程。</w:t>
      </w:r>
    </w:p>
    <w:p>
      <w:pPr>
        <w:pStyle w:val="ListBullet"/>
      </w:pPr>
      <w:r>
        <w:rPr>
          <w:b w:val="0"/>
        </w:rPr>
        <w:t>研读风机尾流 PINN 文献，完成多风机开源代码兼容性修复及缩小规模测试。</w:t>
      </w:r>
    </w:p>
    <w:p>
      <w:pPr>
        <w:pStyle w:val="ListBullet"/>
      </w:pPr>
      <w:r>
        <w:rPr>
          <w:b w:val="0"/>
        </w:rPr>
        <w:t>针对算力和部署成本提出简洁高效要求，探索 POD 降阶结合神经网络的候选方案。</w:t>
      </w:r>
    </w:p>
    <w:p>
      <w:pPr>
        <w:pStyle w:val="Heading1"/>
      </w:pPr>
      <w:r>
        <w:t>十四 答辩可能追问的问题与回答口径</w:t>
      </w:r>
    </w:p>
    <w:p>
      <w:pPr>
        <w:pStyle w:val="Heading2"/>
      </w:pPr>
      <w:r>
        <w:t>你的个人工作与建模同学的工作怎样区分</w:t>
      </w:r>
    </w:p>
    <w:p>
      <w:r>
        <w:rPr>
          <w:b w:val="0"/>
        </w:rPr>
        <w:t>建模同学提供 FLORIS 模型、工况和数据说明；我重点负责将这些数据转化为 AI 任务与处理流程，准备预测模型、评价和调用代码，并推进 PINN 文献学习、开源复现和后续路线比较。数据生成成果应保留团队成员的原有归属。</w:t>
      </w:r>
    </w:p>
    <w:p>
      <w:pPr>
        <w:pStyle w:val="Heading2"/>
      </w:pPr>
      <w:r>
        <w:t>现在已经完成 PINN 了吗</w:t>
      </w:r>
    </w:p>
    <w:p>
      <w:r>
        <w:rPr>
          <w:b w:val="0"/>
        </w:rPr>
        <w:t>已经开展相关文献学习与开源代码复现，修复本地兼容性问题并完成缩小规模测试。完整规模训练、收敛精度及与参考 CFD 的定量验证，仍是后续实验任务。前期功率预测 Notebook 属于带输出约束的回归模型。</w:t>
      </w:r>
    </w:p>
    <w:p>
      <w:pPr>
        <w:pStyle w:val="Heading2"/>
      </w:pPr>
      <w:r>
        <w:t>当前模型能直接优化偏航角吗</w:t>
      </w:r>
    </w:p>
    <w:p>
      <w:r>
        <w:rPr>
          <w:b w:val="0"/>
        </w:rPr>
        <w:t>现有 Notebook 的原始输入是风速、风向和湍流强度，当前 CSV 没有偏航角扫描。要进行偏航优化，需要先让数据和模型覆盖偏航角这一控制量，再由优化模块搜索对应的目标函数。当前已准备的是功率预测原型及调用形式。</w:t>
      </w:r>
    </w:p>
    <w:p>
      <w:pPr>
        <w:pStyle w:val="Heading2"/>
      </w:pPr>
      <w:r>
        <w:t>为什么从直接训练 PINN 转而讨论 POD</w:t>
      </w:r>
    </w:p>
    <w:p>
      <w:r>
        <w:rPr>
          <w:b w:val="0"/>
        </w:rPr>
        <w:t>本地复现使训练成本、环境条件和模型复杂度变得具体。POD 是候选的降维工具，可以将高维流场表示为少量模态及其系数，因此值得比较能否减少网络输出规模和计算负担。是否更合适，要通过重构误差、预测误差和总成本实验判断。</w:t>
      </w:r>
    </w:p>
    <w:p>
      <w:pPr>
        <w:pStyle w:val="Heading2"/>
      </w:pPr>
      <w:r>
        <w:t>目前有没有明确的精度和加速指标</w:t>
      </w:r>
    </w:p>
    <w:p>
      <w:r>
        <w:rPr>
          <w:b w:val="0"/>
        </w:rPr>
        <w:t>已经确定 MAE、RMSE、R² 等评价方式，并在代码中准备自动导出流程。正式报告精度、推理时间或加速倍数时，需要对应实际完成的实验、硬件和测试集。约 2 分钟的缩小测试耗时只说明当时的程序验证过程，不能作为完整训练时间或 CFD 加速比。</w:t>
      </w:r>
    </w:p>
    <w:p>
      <w:pPr>
        <w:pStyle w:val="Heading1"/>
      </w:pPr>
      <w:r>
        <w:t>十五 后续应补齐的实验与交付</w:t>
      </w:r>
    </w:p>
    <w:p>
      <w:pPr>
        <w:pStyle w:val="ListBullet"/>
      </w:pPr>
      <w:r>
        <w:rPr>
          <w:b w:val="0"/>
        </w:rPr>
      </w:r>
      <w:r>
        <w:rPr>
          <w:b/>
        </w:rPr>
        <w:t>完成并留存功率基线实验：</w:t>
      </w:r>
      <w:r>
        <w:rPr>
          <w:b w:val="0"/>
        </w:rPr>
        <w:t>执行现有 Notebook，记录训练环境、最终样本数、模型文件、测试指标与误差图。核定零功率样本的筛选依据。</w:t>
      </w:r>
    </w:p>
    <w:p>
      <w:pPr>
        <w:pStyle w:val="ListBullet"/>
      </w:pPr>
      <w:r>
        <w:rPr>
          <w:b w:val="0"/>
        </w:rPr>
      </w:r>
      <w:r>
        <w:rPr>
          <w:b/>
        </w:rPr>
        <w:t>验证泛化与适用范围：</w:t>
      </w:r>
      <w:r>
        <w:rPr>
          <w:b w:val="0"/>
        </w:rPr>
        <w:t>在当前随机划分之外，考虑未见风向或风速的测试，明确固定布局内插值与跨工况预测的差别。</w:t>
      </w:r>
    </w:p>
    <w:p>
      <w:pPr>
        <w:pStyle w:val="ListBullet"/>
      </w:pPr>
      <w:r>
        <w:rPr>
          <w:b w:val="0"/>
        </w:rPr>
      </w:r>
      <w:r>
        <w:rPr>
          <w:b/>
        </w:rPr>
        <w:t>落实流场数据衔接：</w:t>
      </w:r>
      <w:r>
        <w:rPr>
          <w:b w:val="0"/>
        </w:rPr>
        <w:t>与仿真同学明确代表性工况、统一空间坐标和需要导出的场变量，为流场模型与 POD 建立数据基础。</w:t>
      </w:r>
    </w:p>
    <w:p>
      <w:pPr>
        <w:pStyle w:val="ListBullet"/>
      </w:pPr>
      <w:r>
        <w:rPr>
          <w:b w:val="0"/>
        </w:rPr>
      </w:r>
      <w:r>
        <w:rPr>
          <w:b/>
        </w:rPr>
        <w:t>完成 PINN 或降阶候选方案的对照：</w:t>
      </w:r>
      <w:r>
        <w:rPr>
          <w:b w:val="0"/>
        </w:rPr>
        <w:t>分别记录数据生成、训练、换工况更新、推理时间，以及流场和功率误差。</w:t>
      </w:r>
    </w:p>
    <w:p>
      <w:pPr>
        <w:pStyle w:val="ListBullet"/>
      </w:pPr>
      <w:r>
        <w:rPr>
          <w:b w:val="0"/>
        </w:rPr>
      </w:r>
      <w:r>
        <w:rPr>
          <w:b/>
        </w:rPr>
        <w:t>推进模块联调：</w:t>
      </w:r>
      <w:r>
        <w:rPr>
          <w:b w:val="0"/>
        </w:rPr>
        <w:t>确认输入字段、单位、可用范围、预测输出格式和错误处理，再接入优化与可视化。</w:t>
      </w:r>
    </w:p>
    <w:p>
      <w:r>
        <w:rPr>
          <w:b w:val="0"/>
        </w:rPr>
        <w:t>这些内容适合放在“下一阶段计划”。偏航控制收益、任意布局泛化、三维流场准确重构、完整系统联调和实际工程部署，均需相应实验支撑后再列入完成成果。</w:t>
      </w:r>
    </w:p>
    <w:p>
      <w:pPr>
        <w:pStyle w:val="Heading1"/>
      </w:pPr>
      <w:r>
        <w:t>十六 可供同学取材的已有资料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3816"/>
        <w:gridCol w:w="6120"/>
      </w:tblGrid>
      <w:tr>
        <w:trPr>
          <w:tblHeader/>
          <w:cantSplit/>
        </w:trPr>
        <w:tc>
          <w:tcPr>
            <w:tcW w:type="dxa" w:w="38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/>
                <w:sz w:val="18"/>
              </w:rPr>
              <w:t>资料</w:t>
            </w:r>
          </w:p>
        </w:tc>
        <w:tc>
          <w:tcPr>
            <w:tcW w:type="dxa" w:w="61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  <w:shd w:fill="DCE7EF"/>
          </w:tcPr>
          <w:p>
            <w:pPr>
              <w:keepNext w:val="0"/>
              <w:spacing w:after="0" w:line="269" w:lineRule="auto"/>
            </w:pPr>
            <w:r>
              <w:rPr>
                <w:b/>
                <w:sz w:val="18"/>
              </w:rPr>
              <w:t>主要用途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20260329-大创申请书.docx</w:t>
            </w:r>
          </w:p>
        </w:tc>
        <w:tc>
          <w:tcPr>
            <w:tcW w:type="dxa" w:w="61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核对项目名称、目标、实施周期和原始研究规划。申请书预期指标单列为目标。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建模与数据生成.docx</w:t>
            </w:r>
          </w:p>
        </w:tc>
        <w:tc>
          <w:tcPr>
            <w:tcW w:type="dxa" w:w="61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查看团队的 FLORIS 数据来源、机型、布局、工况与模型比较。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风电场尾流模型与数据说明</w:t>
            </w:r>
          </w:p>
        </w:tc>
        <w:tc>
          <w:tcPr>
            <w:tcW w:type="dxa" w:w="61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补充 GCH、CC 的参数与数据交接说明。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training_data_cc.csv</w:t>
            </w:r>
          </w:p>
        </w:tc>
        <w:tc>
          <w:tcPr>
            <w:tcW w:type="dxa" w:w="61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核对原始样本、输入输出、零功率样本及总功率关系。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wind_farm_neural_network.ipynb</w:t>
            </w:r>
          </w:p>
        </w:tc>
        <w:tc>
          <w:tcPr>
            <w:tcW w:type="dxa" w:w="61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提取真实代码中的模型结构、训练配置、评价流程和调用形式。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  <w:jc w:val="center"/>
            </w:pPr>
            <w:r>
              <w:rPr>
                <w:b w:val="0"/>
                <w:sz w:val="18"/>
              </w:rPr>
              <w:t>神经网络原理简介及扩展版 PPT</w:t>
            </w:r>
          </w:p>
        </w:tc>
        <w:tc>
          <w:tcPr>
            <w:tcW w:type="dxa" w:w="61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选取方法原理说明；扩展版共 13 页。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两篇风机尾流 PINN 中文译文及原论文</w:t>
            </w:r>
          </w:p>
        </w:tc>
        <w:tc>
          <w:tcPr>
            <w:tcW w:type="dxa" w:w="61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说明方法来源，展示单风机到多风机研究的联系。</w:t>
            </w:r>
          </w:p>
        </w:tc>
      </w:tr>
      <w:tr>
        <w:trPr>
          <w:cantSplit/>
        </w:trPr>
        <w:tc>
          <w:tcPr>
            <w:tcW w:type="dxa" w:w="3816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9 月 16 至 17 日终端记录与环境截图</w:t>
            </w:r>
          </w:p>
        </w:tc>
        <w:tc>
          <w:tcPr>
            <w:tcW w:type="dxa" w:w="6120"/>
            <w:vAlign w:val="center"/>
            <w:tcMar>
              <w:top w:w="85" w:type="dxa"/>
              <w:left w:w="100" w:type="dxa"/>
              <w:bottom w:w="85" w:type="dxa"/>
              <w:right w:w="100" w:type="dxa"/>
            </w:tcMar>
          </w:tcPr>
          <w:p>
            <w:pPr>
              <w:keepNext w:val="0"/>
              <w:spacing w:after="0" w:line="269" w:lineRule="auto"/>
            </w:pPr>
            <w:r>
              <w:rPr>
                <w:b w:val="0"/>
                <w:sz w:val="18"/>
              </w:rPr>
              <w:t>展示兼容性错误、修复后的缩小测试，以及 Windows 和 Ubuntu 显卡检查。</w:t>
            </w:r>
          </w:p>
        </w:tc>
      </w:tr>
    </w:tbl>
    <w:p>
      <w:pPr>
        <w:spacing w:after="20"/>
      </w:pPr>
    </w:p>
    <w:p>
      <w:r>
        <w:rPr>
          <w:b w:val="0"/>
        </w:rPr>
        <w:t>时间线另对应项目推进讨论：5 月 17 日、5 月底、7 月 22 至 25 日、7 月底至 8 月初、8 月 4 日、8 月中下旬，以及 9 月 12 至 17 日。数据筛选数量与 Notebook 配置以现存文件为准；后续新增训练结果可直接补入第五、六、十一和十二部分。</w:t>
      </w:r>
    </w:p>
    <w:sectPr w:rsidR="00FC693F" w:rsidRPr="0006063C" w:rsidSect="00034616">
      <w:footerReference w:type="default" r:id="rId9"/>
      <w:pgSz w:w="12240" w:h="15840"/>
      <w:pgMar w:top="1080" w:right="1152" w:bottom="1080" w:left="1152" w:header="720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20"/>
    </w:pPr>
    <w:rPr>
      <w:rFonts w:ascii="Noto Sans CJK SC" w:hAnsi="Noto Sans CJK SC" w:eastAsia="Noto Sans CJK SC" w:cs="Noto Sans CJK SC"/>
      <w:b w:val="0"/>
      <w:i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="Noto Sans CJK SC" w:hAnsi="Noto Sans CJK SC" w:eastAsia="Noto Sans CJK SC" w:cs="Noto Sans CJK SC"/>
      <w:b/>
      <w:bCs/>
      <w:i w:val="0"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="Noto Sans CJK SC" w:hAnsi="Noto Sans CJK SC" w:eastAsia="Noto Sans CJK SC" w:cs="Noto Sans CJK SC"/>
      <w:b/>
      <w:bCs/>
      <w:i w:val="0"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="Noto Sans CJK SC" w:hAnsi="Noto Sans CJK SC" w:eastAsia="Noto Sans CJK SC" w:cs="Noto Sans CJK SC"/>
      <w:b/>
      <w:bCs/>
      <w:i w:val="0"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20" w:line="240" w:lineRule="auto" w:before="0"/>
      <w:contextualSpacing/>
    </w:pPr>
    <w:rPr>
      <w:rFonts w:ascii="Noto Sans CJK SC" w:hAnsi="Noto Sans CJK SC" w:eastAsia="Noto Sans CJK SC" w:cs="Noto Sans CJK SC"/>
      <w:b/>
      <w:i w:val="0"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120"/>
    </w:pPr>
    <w:rPr>
      <w:rFonts w:ascii="Noto Sans CJK SC" w:hAnsi="Noto Sans CJK SC" w:eastAsia="Noto Sans CJK SC" w:cs="Noto Sans CJK SC"/>
      <w:b w:val="0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8" w:lineRule="auto"/>
      <w:contextualSpacing/>
    </w:pPr>
    <w:rPr>
      <w:rFonts w:ascii="Noto Sans CJK SC" w:hAnsi="Noto Sans CJK SC" w:eastAsia="Noto Sans CJK SC" w:cs="Noto Sans CJK SC"/>
      <w:b w:val="0"/>
      <w:i w:val="0"/>
      <w:color w:val="000000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8" w:lineRule="auto"/>
      <w:contextualSpacing/>
    </w:pPr>
    <w:rPr>
      <w:rFonts w:ascii="Noto Sans CJK SC" w:hAnsi="Noto Sans CJK SC" w:eastAsia="Noto Sans CJK SC" w:cs="Noto Sans CJK SC"/>
      <w:b w:val="0"/>
      <w:i w:val="0"/>
      <w:color w:val="000000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风电场项目个人工作总结与答辩素材</dc:title>
  <dc:subject>项目负责人及 AI 模块工作回顾</dc:subject>
  <dc:creator>厉今飞</dc:creator>
  <cp:keywords>风电场 个人工作总结 答辩 AI PINN POD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