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jc w:val="center"/>
      </w:pPr>
      <w:r>
        <w:rPr>
          <w:rFonts w:ascii="Times New Roman" w:hAnsi="Times New Roman" w:eastAsia="宋体"/>
          <w:b/>
          <w:i w:val="0"/>
          <w:color w:val="102A43"/>
          <w:sz w:val="36"/>
        </w:rPr>
        <w:t>建模工作总结</w:t>
      </w:r>
    </w:p>
    <w:p>
      <w:pPr>
        <w:pStyle w:val="Heading2"/>
      </w:pPr>
      <w:r>
        <w:rPr>
          <w:rFonts w:ascii="Times New Roman" w:hAnsi="Times New Roman" w:eastAsia="宋体"/>
          <w:b/>
          <w:i w:val="0"/>
          <w:sz w:val="27"/>
        </w:rPr>
        <w:t>项目：融合数据-物理驱动的风电流场感知与智能调控研究</w:t>
      </w:r>
    </w:p>
    <w:tbl>
      <w:tblPr>
        <w:tblStyle w:val="TableGrid"/>
        <w:tblW w:type="auto" w:w="0"/>
        <w:jc w:val="center"/>
        <w:tblLook w:firstColumn="1" w:firstRow="1" w:lastColumn="0" w:lastRow="0" w:noHBand="0" w:noVBand="1" w:val="04A0"/>
      </w:tblPr>
      <w:tblGrid>
        <w:gridCol w:w="4705"/>
        <w:gridCol w:w="4705"/>
      </w:tblGrid>
      <w:tr>
        <w:tc>
          <w:tcPr>
            <w:tcW w:type="dxa" w:w="4705"/>
            <w:shd w:val="clear" w:color="auto" w:fill="DCE6F1"/>
          </w:tcPr>
          <w:p>
            <w:pPr>
              <w:spacing w:after="20"/>
            </w:pPr>
            <w:r>
              <w:rPr>
                <w:rFonts w:ascii="Times New Roman" w:hAnsi="Times New Roman" w:eastAsia="宋体"/>
                <w:b/>
                <w:i w:val="0"/>
                <w:sz w:val="18"/>
              </w:rPr>
              <w:t>项目</w:t>
            </w:r>
          </w:p>
        </w:tc>
        <w:tc>
          <w:tcPr>
            <w:tcW w:type="dxa" w:w="4705"/>
            <w:shd w:val="clear" w:color="auto" w:fill="DCE6F1"/>
          </w:tcPr>
          <w:p>
            <w:pPr>
              <w:spacing w:after="20"/>
            </w:pPr>
            <w:r>
              <w:rPr>
                <w:rFonts w:ascii="Times New Roman" w:hAnsi="Times New Roman" w:eastAsia="宋体"/>
                <w:b/>
                <w:i w:val="0"/>
                <w:sz w:val="18"/>
              </w:rPr>
              <w:t>内容</w:t>
            </w:r>
          </w:p>
        </w:tc>
      </w:tr>
      <w:tr>
        <w:tc>
          <w:tcPr>
            <w:tcW w:type="dxa" w:w="4705"/>
          </w:tcPr>
          <w:p>
            <w:pPr>
              <w:spacing w:after="20"/>
            </w:pPr>
            <w:r>
              <w:rPr>
                <w:rFonts w:ascii="Times New Roman" w:hAnsi="Times New Roman" w:eastAsia="宋体"/>
                <w:b w:val="0"/>
                <w:i w:val="0"/>
                <w:sz w:val="18"/>
              </w:rPr>
              <w:t>撰写人</w:t>
            </w:r>
          </w:p>
        </w:tc>
        <w:tc>
          <w:tcPr>
            <w:tcW w:type="dxa" w:w="4705"/>
          </w:tcPr>
          <w:p>
            <w:pPr>
              <w:spacing w:after="20"/>
            </w:pPr>
            <w:r>
              <w:rPr>
                <w:rFonts w:ascii="Times New Roman" w:hAnsi="Times New Roman" w:eastAsia="宋体"/>
                <w:b w:val="0"/>
                <w:i w:val="0"/>
                <w:sz w:val="18"/>
              </w:rPr>
              <w:t>袁夫达（建模负责人）</w:t>
            </w:r>
          </w:p>
        </w:tc>
      </w:tr>
      <w:tr>
        <w:tc>
          <w:tcPr>
            <w:tcW w:type="dxa" w:w="4705"/>
          </w:tcPr>
          <w:p>
            <w:pPr>
              <w:spacing w:after="20"/>
            </w:pPr>
            <w:r>
              <w:rPr>
                <w:rFonts w:ascii="Times New Roman" w:hAnsi="Times New Roman" w:eastAsia="宋体"/>
                <w:b w:val="0"/>
                <w:i w:val="0"/>
                <w:sz w:val="18"/>
              </w:rPr>
              <w:t>承担模块</w:t>
            </w:r>
          </w:p>
        </w:tc>
        <w:tc>
          <w:tcPr>
            <w:tcW w:type="dxa" w:w="4705"/>
          </w:tcPr>
          <w:p>
            <w:pPr>
              <w:spacing w:after="20"/>
            </w:pPr>
            <w:r>
              <w:rPr>
                <w:rFonts w:ascii="Times New Roman" w:hAnsi="Times New Roman" w:eastAsia="宋体"/>
                <w:b w:val="0"/>
                <w:i w:val="0"/>
                <w:sz w:val="18"/>
              </w:rPr>
              <w:t>风机模型选型、FLORIS 风场仿真数据生成、FLORIS 与 Fluent 原理梳理</w:t>
            </w:r>
          </w:p>
        </w:tc>
      </w:tr>
      <w:tr>
        <w:tc>
          <w:tcPr>
            <w:tcW w:type="dxa" w:w="4705"/>
          </w:tcPr>
          <w:p>
            <w:pPr>
              <w:spacing w:after="20"/>
            </w:pPr>
            <w:r>
              <w:rPr>
                <w:rFonts w:ascii="Times New Roman" w:hAnsi="Times New Roman" w:eastAsia="宋体"/>
                <w:b w:val="0"/>
                <w:i w:val="0"/>
                <w:sz w:val="18"/>
              </w:rPr>
              <w:t>交付对象</w:t>
            </w:r>
          </w:p>
        </w:tc>
        <w:tc>
          <w:tcPr>
            <w:tcW w:type="dxa" w:w="4705"/>
          </w:tcPr>
          <w:p>
            <w:pPr>
              <w:spacing w:after="20"/>
            </w:pPr>
            <w:r>
              <w:rPr>
                <w:rFonts w:ascii="Times New Roman" w:hAnsi="Times New Roman" w:eastAsia="宋体"/>
                <w:b w:val="0"/>
                <w:i w:val="0"/>
                <w:sz w:val="18"/>
              </w:rPr>
              <w:t>项目组（供下游神经网络训练与 CFD 工作使用）</w:t>
            </w:r>
          </w:p>
        </w:tc>
      </w:tr>
    </w:tbl>
    <w:p>
      <w:pPr>
        <w:spacing w:after="40"/>
      </w:pPr>
    </w:p>
    <w:p>
      <w:pPr>
        <w:pStyle w:val="Heading2"/>
      </w:pPr>
      <w:r>
        <w:rPr>
          <w:rFonts w:ascii="Times New Roman" w:hAnsi="Times New Roman" w:eastAsia="宋体"/>
          <w:b/>
          <w:i w:val="0"/>
          <w:sz w:val="27"/>
        </w:rPr>
        <w:t>一、工作总览</w:t>
      </w:r>
    </w:p>
    <w:p>
      <w:pPr>
        <w:spacing w:after="100"/>
        <w:ind w:firstLine="0"/>
      </w:pPr>
      <w:r>
        <w:rPr>
          <w:rFonts w:ascii="Times New Roman" w:hAnsi="Times New Roman" w:eastAsia="宋体"/>
          <w:b w:val="0"/>
          <w:i w:val="0"/>
          <w:sz w:val="21"/>
        </w:rPr>
        <w:t>本工作在项目中的定位是</w:t>
      </w:r>
      <w:r>
        <w:rPr>
          <w:rFonts w:ascii="Times New Roman" w:hAnsi="Times New Roman" w:eastAsia="宋体"/>
          <w:b/>
          <w:i w:val="0"/>
          <w:sz w:val="21"/>
        </w:rPr>
        <w:t>为流场感知模型提供训练数据与物理基础</w:t>
      </w:r>
      <w:r>
        <w:rPr>
          <w:rFonts w:ascii="Times New Roman" w:hAnsi="Times New Roman" w:eastAsia="宋体"/>
          <w:b w:val="0"/>
          <w:i w:val="0"/>
          <w:sz w:val="21"/>
        </w:rPr>
        <w:t>。总体思路是：先选定标准机型作为仿真对象，再用工程级风电场仿真引擎批量生成覆盖典型工况的功率数据，同时把两套仿真工具（FLORIS 与 Fluent）的物理原理梳理清楚，为后续高保真验证与数据-物理融合建模提供依据。</w:t>
      </w:r>
    </w:p>
    <w:p>
      <w:pPr>
        <w:spacing w:after="100"/>
        <w:ind w:firstLine="0"/>
      </w:pPr>
      <w:r>
        <w:rPr>
          <w:rFonts w:ascii="Times New Roman" w:hAnsi="Times New Roman" w:eastAsia="宋体"/>
          <w:b w:val="0"/>
          <w:i w:val="0"/>
          <w:sz w:val="21"/>
        </w:rPr>
        <w:t>四项主要任务的完成情况如下。</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DCE6F1"/>
          </w:tcPr>
          <w:p>
            <w:pPr>
              <w:spacing w:after="20"/>
            </w:pPr>
            <w:r>
              <w:rPr>
                <w:rFonts w:ascii="Times New Roman" w:hAnsi="Times New Roman" w:eastAsia="宋体"/>
                <w:b/>
                <w:i w:val="0"/>
                <w:sz w:val="18"/>
              </w:rPr>
              <w:t>序号</w:t>
            </w:r>
          </w:p>
        </w:tc>
        <w:tc>
          <w:tcPr>
            <w:tcW w:type="dxa" w:w="2353"/>
            <w:shd w:val="clear" w:color="auto" w:fill="DCE6F1"/>
          </w:tcPr>
          <w:p>
            <w:pPr>
              <w:spacing w:after="20"/>
            </w:pPr>
            <w:r>
              <w:rPr>
                <w:rFonts w:ascii="Times New Roman" w:hAnsi="Times New Roman" w:eastAsia="宋体"/>
                <w:b/>
                <w:i w:val="0"/>
                <w:sz w:val="18"/>
              </w:rPr>
              <w:t>任务</w:t>
            </w:r>
          </w:p>
        </w:tc>
        <w:tc>
          <w:tcPr>
            <w:tcW w:type="dxa" w:w="2353"/>
            <w:shd w:val="clear" w:color="auto" w:fill="DCE6F1"/>
          </w:tcPr>
          <w:p>
            <w:pPr>
              <w:spacing w:after="20"/>
            </w:pPr>
            <w:r>
              <w:rPr>
                <w:rFonts w:ascii="Times New Roman" w:hAnsi="Times New Roman" w:eastAsia="宋体"/>
                <w:b/>
                <w:i w:val="0"/>
                <w:sz w:val="18"/>
              </w:rPr>
              <w:t>主要产出</w:t>
            </w:r>
          </w:p>
        </w:tc>
        <w:tc>
          <w:tcPr>
            <w:tcW w:type="dxa" w:w="2353"/>
            <w:shd w:val="clear" w:color="auto" w:fill="DCE6F1"/>
          </w:tcPr>
          <w:p>
            <w:pPr>
              <w:spacing w:after="20"/>
            </w:pPr>
            <w:r>
              <w:rPr>
                <w:rFonts w:ascii="Times New Roman" w:hAnsi="Times New Roman" w:eastAsia="宋体"/>
                <w:b/>
                <w:i w:val="0"/>
                <w:sz w:val="18"/>
              </w:rPr>
              <w:t>状态</w:t>
            </w:r>
          </w:p>
        </w:tc>
      </w:tr>
      <w:tr>
        <w:tc>
          <w:tcPr>
            <w:tcW w:type="dxa" w:w="2353"/>
          </w:tcPr>
          <w:p>
            <w:pPr>
              <w:spacing w:after="20"/>
            </w:pPr>
            <w:r>
              <w:rPr>
                <w:rFonts w:ascii="Times New Roman" w:hAnsi="Times New Roman" w:eastAsia="宋体"/>
                <w:b w:val="0"/>
                <w:i w:val="0"/>
                <w:sz w:val="18"/>
              </w:rPr>
              <w:t>1</w:t>
            </w:r>
          </w:p>
        </w:tc>
        <w:tc>
          <w:tcPr>
            <w:tcW w:type="dxa" w:w="2353"/>
          </w:tcPr>
          <w:p>
            <w:pPr>
              <w:spacing w:after="20"/>
            </w:pPr>
            <w:r>
              <w:rPr>
                <w:rFonts w:ascii="Times New Roman" w:hAnsi="Times New Roman" w:eastAsia="宋体"/>
                <w:b w:val="0"/>
                <w:i w:val="0"/>
                <w:sz w:val="18"/>
              </w:rPr>
              <w:t>风机模型选择</w:t>
            </w:r>
          </w:p>
        </w:tc>
        <w:tc>
          <w:tcPr>
            <w:tcW w:type="dxa" w:w="2353"/>
          </w:tcPr>
          <w:p>
            <w:pPr>
              <w:spacing w:after="20"/>
            </w:pPr>
            <w:r>
              <w:rPr>
                <w:rFonts w:ascii="Times New Roman" w:hAnsi="Times New Roman" w:eastAsia="宋体"/>
                <w:b w:val="0"/>
                <w:i w:val="0"/>
                <w:sz w:val="18"/>
              </w:rPr>
              <w:t>确定 NREL 5MW 参考风机，参数与功率/推力曲线核对通过</w:t>
            </w:r>
          </w:p>
        </w:tc>
        <w:tc>
          <w:tcPr>
            <w:tcW w:type="dxa" w:w="2353"/>
          </w:tcPr>
          <w:p>
            <w:pPr>
              <w:spacing w:after="20"/>
            </w:pPr>
            <w:r>
              <w:rPr>
                <w:rFonts w:ascii="Times New Roman" w:hAnsi="Times New Roman" w:eastAsia="宋体"/>
                <w:b w:val="0"/>
                <w:i w:val="0"/>
                <w:sz w:val="18"/>
              </w:rPr>
              <w:t>完成</w:t>
            </w:r>
          </w:p>
        </w:tc>
      </w:tr>
      <w:tr>
        <w:tc>
          <w:tcPr>
            <w:tcW w:type="dxa" w:w="2353"/>
          </w:tcPr>
          <w:p>
            <w:pPr>
              <w:spacing w:after="20"/>
            </w:pPr>
            <w:r>
              <w:rPr>
                <w:rFonts w:ascii="Times New Roman" w:hAnsi="Times New Roman" w:eastAsia="宋体"/>
                <w:b w:val="0"/>
                <w:i w:val="0"/>
                <w:sz w:val="18"/>
              </w:rPr>
              <w:t>2</w:t>
            </w:r>
          </w:p>
        </w:tc>
        <w:tc>
          <w:tcPr>
            <w:tcW w:type="dxa" w:w="2353"/>
          </w:tcPr>
          <w:p>
            <w:pPr>
              <w:spacing w:after="20"/>
            </w:pPr>
            <w:r>
              <w:rPr>
                <w:rFonts w:ascii="Times New Roman" w:hAnsi="Times New Roman" w:eastAsia="宋体"/>
                <w:b w:val="0"/>
                <w:i w:val="0"/>
                <w:sz w:val="18"/>
              </w:rPr>
              <w:t>FLORIS 风场经验数据生成</w:t>
            </w:r>
          </w:p>
        </w:tc>
        <w:tc>
          <w:tcPr>
            <w:tcW w:type="dxa" w:w="2353"/>
          </w:tcPr>
          <w:p>
            <w:pPr>
              <w:spacing w:after="20"/>
            </w:pPr>
            <w:r>
              <w:rPr>
                <w:rFonts w:ascii="Times New Roman" w:hAnsi="Times New Roman" w:eastAsia="宋体"/>
                <w:b w:val="0"/>
                <w:i w:val="0"/>
                <w:sz w:val="18"/>
              </w:rPr>
              <w:t>2448 条样本（GCH、CC 各 1224 条）、布局图与尾流云图</w:t>
            </w:r>
          </w:p>
        </w:tc>
        <w:tc>
          <w:tcPr>
            <w:tcW w:type="dxa" w:w="2353"/>
          </w:tcPr>
          <w:p>
            <w:pPr>
              <w:spacing w:after="20"/>
            </w:pPr>
            <w:r>
              <w:rPr>
                <w:rFonts w:ascii="Times New Roman" w:hAnsi="Times New Roman" w:eastAsia="宋体"/>
                <w:b w:val="0"/>
                <w:i w:val="0"/>
                <w:sz w:val="18"/>
              </w:rPr>
              <w:t>完成</w:t>
            </w:r>
          </w:p>
        </w:tc>
      </w:tr>
      <w:tr>
        <w:tc>
          <w:tcPr>
            <w:tcW w:type="dxa" w:w="2353"/>
          </w:tcPr>
          <w:p>
            <w:pPr>
              <w:spacing w:after="20"/>
            </w:pPr>
            <w:r>
              <w:rPr>
                <w:rFonts w:ascii="Times New Roman" w:hAnsi="Times New Roman" w:eastAsia="宋体"/>
                <w:b w:val="0"/>
                <w:i w:val="0"/>
                <w:sz w:val="18"/>
              </w:rPr>
              <w:t>3</w:t>
            </w:r>
          </w:p>
        </w:tc>
        <w:tc>
          <w:tcPr>
            <w:tcW w:type="dxa" w:w="2353"/>
          </w:tcPr>
          <w:p>
            <w:pPr>
              <w:spacing w:after="20"/>
            </w:pPr>
            <w:r>
              <w:rPr>
                <w:rFonts w:ascii="Times New Roman" w:hAnsi="Times New Roman" w:eastAsia="宋体"/>
                <w:b w:val="0"/>
                <w:i w:val="0"/>
                <w:sz w:val="18"/>
              </w:rPr>
              <w:t>FLORIS 原理梳理</w:t>
            </w:r>
          </w:p>
        </w:tc>
        <w:tc>
          <w:tcPr>
            <w:tcW w:type="dxa" w:w="2353"/>
          </w:tcPr>
          <w:p>
            <w:pPr>
              <w:spacing w:after="20"/>
            </w:pPr>
            <w:r>
              <w:rPr>
                <w:rFonts w:ascii="Times New Roman" w:hAnsi="Times New Roman" w:eastAsia="宋体"/>
                <w:b w:val="0"/>
                <w:i w:val="0"/>
                <w:sz w:val="18"/>
              </w:rPr>
              <w:t>尾流模型机理、致动盘气动分层、"无叠加规则"等结论</w:t>
            </w:r>
          </w:p>
        </w:tc>
        <w:tc>
          <w:tcPr>
            <w:tcW w:type="dxa" w:w="2353"/>
          </w:tcPr>
          <w:p>
            <w:pPr>
              <w:spacing w:after="20"/>
            </w:pPr>
            <w:r>
              <w:rPr>
                <w:rFonts w:ascii="Times New Roman" w:hAnsi="Times New Roman" w:eastAsia="宋体"/>
                <w:b w:val="0"/>
                <w:i w:val="0"/>
                <w:sz w:val="18"/>
              </w:rPr>
              <w:t>完成</w:t>
            </w:r>
          </w:p>
        </w:tc>
      </w:tr>
      <w:tr>
        <w:tc>
          <w:tcPr>
            <w:tcW w:type="dxa" w:w="2353"/>
          </w:tcPr>
          <w:p>
            <w:pPr>
              <w:spacing w:after="20"/>
            </w:pPr>
            <w:r>
              <w:rPr>
                <w:rFonts w:ascii="Times New Roman" w:hAnsi="Times New Roman" w:eastAsia="宋体"/>
                <w:b w:val="0"/>
                <w:i w:val="0"/>
                <w:sz w:val="18"/>
              </w:rPr>
              <w:t>4</w:t>
            </w:r>
          </w:p>
        </w:tc>
        <w:tc>
          <w:tcPr>
            <w:tcW w:type="dxa" w:w="2353"/>
          </w:tcPr>
          <w:p>
            <w:pPr>
              <w:spacing w:after="20"/>
            </w:pPr>
            <w:r>
              <w:rPr>
                <w:rFonts w:ascii="Times New Roman" w:hAnsi="Times New Roman" w:eastAsia="宋体"/>
                <w:b w:val="0"/>
                <w:i w:val="0"/>
                <w:sz w:val="18"/>
              </w:rPr>
              <w:t>Fluent 原理梳理</w:t>
            </w:r>
          </w:p>
        </w:tc>
        <w:tc>
          <w:tcPr>
            <w:tcW w:type="dxa" w:w="2353"/>
          </w:tcPr>
          <w:p>
            <w:pPr>
              <w:spacing w:after="20"/>
            </w:pPr>
            <w:r>
              <w:rPr>
                <w:rFonts w:ascii="Times New Roman" w:hAnsi="Times New Roman" w:eastAsia="宋体"/>
                <w:b w:val="0"/>
                <w:i w:val="0"/>
                <w:sz w:val="18"/>
              </w:rPr>
              <w:t>从控制方程到功率输出的完整推导链与误差归因框架</w:t>
            </w:r>
          </w:p>
        </w:tc>
        <w:tc>
          <w:tcPr>
            <w:tcW w:type="dxa" w:w="2353"/>
          </w:tcPr>
          <w:p>
            <w:pPr>
              <w:spacing w:after="20"/>
            </w:pPr>
            <w:r>
              <w:rPr>
                <w:rFonts w:ascii="Times New Roman" w:hAnsi="Times New Roman" w:eastAsia="宋体"/>
                <w:b w:val="0"/>
                <w:i w:val="0"/>
                <w:sz w:val="18"/>
              </w:rPr>
              <w:t>完成</w:t>
            </w:r>
          </w:p>
        </w:tc>
      </w:tr>
    </w:tbl>
    <w:p>
      <w:pPr>
        <w:spacing w:after="40"/>
      </w:pPr>
    </w:p>
    <w:p>
      <w:pPr>
        <w:pStyle w:val="Heading2"/>
      </w:pPr>
      <w:r>
        <w:rPr>
          <w:rFonts w:ascii="Times New Roman" w:hAnsi="Times New Roman" w:eastAsia="宋体"/>
          <w:b/>
          <w:i w:val="0"/>
          <w:sz w:val="27"/>
        </w:rPr>
        <w:t>二、风机模型选择</w:t>
      </w:r>
    </w:p>
    <w:p>
      <w:pPr>
        <w:pStyle w:val="Heading3"/>
      </w:pPr>
      <w:r>
        <w:rPr>
          <w:rFonts w:ascii="Times New Roman" w:hAnsi="Times New Roman" w:eastAsia="宋体"/>
          <w:b/>
          <w:i w:val="0"/>
          <w:sz w:val="24"/>
        </w:rPr>
        <w:t>2.1 选型结果</w:t>
      </w:r>
    </w:p>
    <w:p>
      <w:pPr>
        <w:spacing w:after="100"/>
        <w:ind w:firstLine="0"/>
      </w:pPr>
      <w:r>
        <w:rPr>
          <w:rFonts w:ascii="Times New Roman" w:hAnsi="Times New Roman" w:eastAsia="宋体"/>
          <w:b w:val="0"/>
          <w:i w:val="0"/>
          <w:sz w:val="21"/>
        </w:rPr>
        <w:t xml:space="preserve">选用 </w:t>
      </w:r>
      <w:r>
        <w:rPr>
          <w:rFonts w:ascii="Times New Roman" w:hAnsi="Times New Roman" w:eastAsia="宋体"/>
          <w:b/>
          <w:i w:val="0"/>
          <w:sz w:val="21"/>
        </w:rPr>
        <w:t>NREL 5MW 参考风机</w:t>
      </w:r>
      <w:r>
        <w:rPr>
          <w:rFonts w:ascii="Times New Roman" w:hAnsi="Times New Roman" w:eastAsia="宋体"/>
          <w:b w:val="0"/>
          <w:i w:val="0"/>
          <w:sz w:val="21"/>
        </w:rPr>
        <w:t>（NREL 于 2009 年发布的公开参考设计，面向海上风电系统开发，见 NREL/TP-500-38060）。该机型的气动参数以官方配置文件形式内置于 FLORIS（</w:t>
      </w:r>
      <w:r>
        <w:rPr>
          <w:rFonts w:ascii="Consolas" w:hAnsi="Consolas" w:eastAsia="Consolas"/>
          <w:color w:val="333333"/>
          <w:sz w:val="20"/>
        </w:rPr>
        <w:t>nrel_5MW.yaml</w:t>
      </w:r>
      <w:r>
        <w:rPr>
          <w:rFonts w:ascii="Times New Roman" w:hAnsi="Times New Roman" w:eastAsia="宋体"/>
          <w:b w:val="0"/>
          <w:i w:val="0"/>
          <w:sz w:val="21"/>
        </w:rPr>
        <w:t>），本工作直接调用，未做任何改动。</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DCE6F1"/>
          </w:tcPr>
          <w:p>
            <w:pPr>
              <w:spacing w:after="20"/>
            </w:pPr>
            <w:r>
              <w:rPr>
                <w:rFonts w:ascii="Times New Roman" w:hAnsi="Times New Roman" w:eastAsia="宋体"/>
                <w:b/>
                <w:i w:val="0"/>
                <w:sz w:val="18"/>
              </w:rPr>
              <w:t>参数</w:t>
            </w:r>
          </w:p>
        </w:tc>
        <w:tc>
          <w:tcPr>
            <w:tcW w:type="dxa" w:w="2353"/>
            <w:shd w:val="clear" w:color="auto" w:fill="DCE6F1"/>
          </w:tcPr>
          <w:p>
            <w:pPr>
              <w:spacing w:after="20"/>
            </w:pPr>
            <w:r>
              <w:rPr>
                <w:rFonts w:ascii="Times New Roman" w:hAnsi="Times New Roman" w:eastAsia="宋体"/>
                <w:b/>
                <w:i w:val="0"/>
                <w:sz w:val="18"/>
              </w:rPr>
              <w:t>符号</w:t>
            </w:r>
          </w:p>
        </w:tc>
        <w:tc>
          <w:tcPr>
            <w:tcW w:type="dxa" w:w="2353"/>
            <w:shd w:val="clear" w:color="auto" w:fill="DCE6F1"/>
          </w:tcPr>
          <w:p>
            <w:pPr>
              <w:spacing w:after="20"/>
            </w:pPr>
            <w:r>
              <w:rPr>
                <w:rFonts w:ascii="Times New Roman" w:hAnsi="Times New Roman" w:eastAsia="宋体"/>
                <w:b/>
                <w:i w:val="0"/>
                <w:sz w:val="18"/>
              </w:rPr>
              <w:t>数值</w:t>
            </w:r>
          </w:p>
        </w:tc>
        <w:tc>
          <w:tcPr>
            <w:tcW w:type="dxa" w:w="2353"/>
            <w:shd w:val="clear" w:color="auto" w:fill="DCE6F1"/>
          </w:tcPr>
          <w:p>
            <w:pPr>
              <w:spacing w:after="20"/>
            </w:pPr>
            <w:r>
              <w:rPr>
                <w:rFonts w:ascii="Times New Roman" w:hAnsi="Times New Roman" w:eastAsia="宋体"/>
                <w:b/>
                <w:i w:val="0"/>
                <w:sz w:val="18"/>
              </w:rPr>
              <w:t>单位</w:t>
            </w:r>
          </w:p>
        </w:tc>
      </w:tr>
      <w:tr>
        <w:tc>
          <w:tcPr>
            <w:tcW w:type="dxa" w:w="2353"/>
          </w:tcPr>
          <w:p>
            <w:pPr>
              <w:spacing w:after="20"/>
            </w:pPr>
            <w:r>
              <w:rPr>
                <w:rFonts w:ascii="Times New Roman" w:hAnsi="Times New Roman" w:eastAsia="宋体"/>
                <w:b w:val="0"/>
                <w:i w:val="0"/>
                <w:sz w:val="18"/>
              </w:rPr>
              <w:t>额定功率</w:t>
            </w:r>
          </w:p>
        </w:tc>
        <w:tc>
          <w:tcPr>
            <w:tcW w:type="dxa" w:w="2353"/>
          </w:tcPr>
          <w:p>
            <w:pPr>
              <w:spacing w:after="20"/>
            </w:pPr>
            <m:oMath>
              <m:sSub>
                <m:e>
                  <m:r>
                    <m:t>P</m:t>
                  </m:r>
                </m:e>
                <m:sub>
                  <m:r>
                    <m:t>rated</m:t>
                  </m:r>
                </m:sub>
              </m:sSub>
            </m:oMath>
          </w:p>
        </w:tc>
        <w:tc>
          <w:tcPr>
            <w:tcW w:type="dxa" w:w="2353"/>
          </w:tcPr>
          <w:p>
            <w:pPr>
              <w:spacing w:after="20"/>
            </w:pPr>
            <w:r>
              <w:rPr>
                <w:rFonts w:ascii="Times New Roman" w:hAnsi="Times New Roman" w:eastAsia="宋体"/>
                <w:b w:val="0"/>
                <w:i w:val="0"/>
                <w:sz w:val="18"/>
              </w:rPr>
              <w:t>5</w:t>
            </w:r>
          </w:p>
        </w:tc>
        <w:tc>
          <w:tcPr>
            <w:tcW w:type="dxa" w:w="2353"/>
          </w:tcPr>
          <w:p>
            <w:pPr>
              <w:spacing w:after="20"/>
            </w:pPr>
            <w:r>
              <w:rPr>
                <w:rFonts w:ascii="Times New Roman" w:hAnsi="Times New Roman" w:eastAsia="宋体"/>
                <w:b w:val="0"/>
                <w:i w:val="0"/>
                <w:sz w:val="18"/>
              </w:rPr>
              <w:t>MW</w:t>
            </w:r>
          </w:p>
        </w:tc>
      </w:tr>
      <w:tr>
        <w:tc>
          <w:tcPr>
            <w:tcW w:type="dxa" w:w="2353"/>
          </w:tcPr>
          <w:p>
            <w:pPr>
              <w:spacing w:after="20"/>
            </w:pPr>
            <w:r>
              <w:rPr>
                <w:rFonts w:ascii="Times New Roman" w:hAnsi="Times New Roman" w:eastAsia="宋体"/>
                <w:b w:val="0"/>
                <w:i w:val="0"/>
                <w:sz w:val="18"/>
              </w:rPr>
              <w:t>风轮直径</w:t>
            </w:r>
          </w:p>
        </w:tc>
        <w:tc>
          <w:tcPr>
            <w:tcW w:type="dxa" w:w="2353"/>
          </w:tcPr>
          <w:p>
            <w:pPr>
              <w:spacing w:after="20"/>
            </w:pPr>
            <m:oMath>
              <m:r>
                <m:t>D</m:t>
              </m:r>
            </m:oMath>
          </w:p>
        </w:tc>
        <w:tc>
          <w:tcPr>
            <w:tcW w:type="dxa" w:w="2353"/>
          </w:tcPr>
          <w:p>
            <w:pPr>
              <w:spacing w:after="20"/>
            </w:pPr>
            <w:r>
              <w:rPr>
                <w:rFonts w:ascii="Times New Roman" w:hAnsi="Times New Roman" w:eastAsia="宋体"/>
                <w:b w:val="0"/>
                <w:i w:val="0"/>
                <w:sz w:val="18"/>
              </w:rPr>
              <w:t>126</w:t>
            </w:r>
          </w:p>
        </w:tc>
        <w:tc>
          <w:tcPr>
            <w:tcW w:type="dxa" w:w="2353"/>
          </w:tcPr>
          <w:p>
            <w:pPr>
              <w:spacing w:after="20"/>
            </w:pPr>
            <w:r>
              <w:rPr>
                <w:rFonts w:ascii="Times New Roman" w:hAnsi="Times New Roman" w:eastAsia="宋体"/>
                <w:b w:val="0"/>
                <w:i w:val="0"/>
                <w:sz w:val="18"/>
              </w:rPr>
              <w:t>m</w:t>
            </w:r>
          </w:p>
        </w:tc>
      </w:tr>
      <w:tr>
        <w:tc>
          <w:tcPr>
            <w:tcW w:type="dxa" w:w="2353"/>
          </w:tcPr>
          <w:p>
            <w:pPr>
              <w:spacing w:after="20"/>
            </w:pPr>
            <w:r>
              <w:rPr>
                <w:rFonts w:ascii="Times New Roman" w:hAnsi="Times New Roman" w:eastAsia="宋体"/>
                <w:b w:val="0"/>
                <w:i w:val="0"/>
                <w:sz w:val="18"/>
              </w:rPr>
              <w:t>风轮半径</w:t>
            </w:r>
          </w:p>
        </w:tc>
        <w:tc>
          <w:tcPr>
            <w:tcW w:type="dxa" w:w="2353"/>
          </w:tcPr>
          <w:p>
            <w:pPr>
              <w:spacing w:after="20"/>
            </w:pPr>
            <m:oMath>
              <m:r>
                <m:t>R</m:t>
              </m:r>
            </m:oMath>
          </w:p>
        </w:tc>
        <w:tc>
          <w:tcPr>
            <w:tcW w:type="dxa" w:w="2353"/>
          </w:tcPr>
          <w:p>
            <w:pPr>
              <w:spacing w:after="20"/>
            </w:pPr>
            <w:r>
              <w:rPr>
                <w:rFonts w:ascii="Times New Roman" w:hAnsi="Times New Roman" w:eastAsia="宋体"/>
                <w:b w:val="0"/>
                <w:i w:val="0"/>
                <w:sz w:val="18"/>
              </w:rPr>
              <w:t>63</w:t>
            </w:r>
          </w:p>
        </w:tc>
        <w:tc>
          <w:tcPr>
            <w:tcW w:type="dxa" w:w="2353"/>
          </w:tcPr>
          <w:p>
            <w:pPr>
              <w:spacing w:after="20"/>
            </w:pPr>
            <w:r>
              <w:rPr>
                <w:rFonts w:ascii="Times New Roman" w:hAnsi="Times New Roman" w:eastAsia="宋体"/>
                <w:b w:val="0"/>
                <w:i w:val="0"/>
                <w:sz w:val="18"/>
              </w:rPr>
              <w:t>m</w:t>
            </w:r>
          </w:p>
        </w:tc>
      </w:tr>
      <w:tr>
        <w:tc>
          <w:tcPr>
            <w:tcW w:type="dxa" w:w="2353"/>
          </w:tcPr>
          <w:p>
            <w:pPr>
              <w:spacing w:after="20"/>
            </w:pPr>
            <w:r>
              <w:rPr>
                <w:rFonts w:ascii="Times New Roman" w:hAnsi="Times New Roman" w:eastAsia="宋体"/>
                <w:b w:val="0"/>
                <w:i w:val="0"/>
                <w:sz w:val="18"/>
              </w:rPr>
              <w:t>扫掠面积</w:t>
            </w:r>
          </w:p>
        </w:tc>
        <w:tc>
          <w:tcPr>
            <w:tcW w:type="dxa" w:w="2353"/>
          </w:tcPr>
          <w:p>
            <w:pPr>
              <w:spacing w:after="20"/>
            </w:pPr>
            <m:oMath>
              <m:r>
                <m:t>A</m:t>
              </m:r>
            </m:oMath>
          </w:p>
        </w:tc>
        <w:tc>
          <w:tcPr>
            <w:tcW w:type="dxa" w:w="2353"/>
          </w:tcPr>
          <w:p>
            <w:pPr>
              <w:spacing w:after="20"/>
            </w:pPr>
            <w:r>
              <w:rPr>
                <w:rFonts w:ascii="Times New Roman" w:hAnsi="Times New Roman" w:eastAsia="宋体"/>
                <w:b w:val="0"/>
                <w:i w:val="0"/>
                <w:sz w:val="18"/>
              </w:rPr>
              <w:t>12469</w:t>
            </w:r>
          </w:p>
        </w:tc>
        <w:tc>
          <w:tcPr>
            <w:tcW w:type="dxa" w:w="2353"/>
          </w:tcPr>
          <w:p>
            <w:pPr>
              <w:spacing w:after="20"/>
            </w:pPr>
            <w:r>
              <w:rPr>
                <w:rFonts w:ascii="Times New Roman" w:hAnsi="Times New Roman" w:eastAsia="宋体"/>
                <w:b w:val="0"/>
                <w:i w:val="0"/>
                <w:sz w:val="18"/>
              </w:rPr>
              <w:t>m²</w:t>
            </w:r>
          </w:p>
        </w:tc>
      </w:tr>
      <w:tr>
        <w:tc>
          <w:tcPr>
            <w:tcW w:type="dxa" w:w="2353"/>
          </w:tcPr>
          <w:p>
            <w:pPr>
              <w:spacing w:after="20"/>
            </w:pPr>
            <w:r>
              <w:rPr>
                <w:rFonts w:ascii="Times New Roman" w:hAnsi="Times New Roman" w:eastAsia="宋体"/>
                <w:b w:val="0"/>
                <w:i w:val="0"/>
                <w:sz w:val="18"/>
              </w:rPr>
              <w:t>轮毂高度</w:t>
            </w:r>
          </w:p>
        </w:tc>
        <w:tc>
          <w:tcPr>
            <w:tcW w:type="dxa" w:w="2353"/>
          </w:tcPr>
          <w:p>
            <w:pPr>
              <w:spacing w:after="20"/>
            </w:pPr>
            <m:oMath>
              <m:sSub>
                <m:e>
                  <m:r>
                    <m:t>z</m:t>
                  </m:r>
                </m:e>
                <m:sub>
                  <m:r>
                    <m:t>h</m:t>
                  </m:r>
                </m:sub>
              </m:sSub>
            </m:oMath>
          </w:p>
        </w:tc>
        <w:tc>
          <w:tcPr>
            <w:tcW w:type="dxa" w:w="2353"/>
          </w:tcPr>
          <w:p>
            <w:pPr>
              <w:spacing w:after="20"/>
            </w:pPr>
            <w:r>
              <w:rPr>
                <w:rFonts w:ascii="Times New Roman" w:hAnsi="Times New Roman" w:eastAsia="宋体"/>
                <w:b w:val="0"/>
                <w:i w:val="0"/>
                <w:sz w:val="18"/>
              </w:rPr>
              <w:t>90</w:t>
            </w:r>
          </w:p>
        </w:tc>
        <w:tc>
          <w:tcPr>
            <w:tcW w:type="dxa" w:w="2353"/>
          </w:tcPr>
          <w:p>
            <w:pPr>
              <w:spacing w:after="20"/>
            </w:pPr>
            <w:r>
              <w:rPr>
                <w:rFonts w:ascii="Times New Roman" w:hAnsi="Times New Roman" w:eastAsia="宋体"/>
                <w:b w:val="0"/>
                <w:i w:val="0"/>
                <w:sz w:val="18"/>
              </w:rPr>
              <w:t>m</w:t>
            </w:r>
          </w:p>
        </w:tc>
      </w:tr>
      <w:tr>
        <w:tc>
          <w:tcPr>
            <w:tcW w:type="dxa" w:w="2353"/>
          </w:tcPr>
          <w:p>
            <w:pPr>
              <w:spacing w:after="20"/>
            </w:pPr>
            <w:r>
              <w:rPr>
                <w:rFonts w:ascii="Times New Roman" w:hAnsi="Times New Roman" w:eastAsia="宋体"/>
                <w:b w:val="0"/>
                <w:i w:val="0"/>
                <w:sz w:val="18"/>
              </w:rPr>
              <w:t>切入风速</w:t>
            </w:r>
          </w:p>
        </w:tc>
        <w:tc>
          <w:tcPr>
            <w:tcW w:type="dxa" w:w="2353"/>
          </w:tcPr>
          <w:p>
            <w:pPr>
              <w:spacing w:after="20"/>
            </w:pPr>
            <m:oMath>
              <m:sSub>
                <m:e>
                  <m:r>
                    <m:t>U</m:t>
                  </m:r>
                </m:e>
                <m:sub>
                  <m:r>
                    <m:t>in</m:t>
                  </m:r>
                </m:sub>
              </m:sSub>
            </m:oMath>
          </w:p>
        </w:tc>
        <w:tc>
          <w:tcPr>
            <w:tcW w:type="dxa" w:w="2353"/>
          </w:tcPr>
          <w:p>
            <w:pPr>
              <w:spacing w:after="20"/>
            </w:pPr>
            <w:r>
              <w:rPr>
                <w:rFonts w:ascii="Times New Roman" w:hAnsi="Times New Roman" w:eastAsia="宋体"/>
                <w:b w:val="0"/>
                <w:i w:val="0"/>
                <w:sz w:val="18"/>
              </w:rPr>
              <w:t>3</w:t>
            </w:r>
          </w:p>
        </w:tc>
        <w:tc>
          <w:tcPr>
            <w:tcW w:type="dxa" w:w="2353"/>
          </w:tcPr>
          <w:p>
            <w:pPr>
              <w:spacing w:after="20"/>
            </w:pPr>
            <w:r>
              <w:rPr>
                <w:rFonts w:ascii="Times New Roman" w:hAnsi="Times New Roman" w:eastAsia="宋体"/>
                <w:b w:val="0"/>
                <w:i w:val="0"/>
                <w:sz w:val="18"/>
              </w:rPr>
              <w:t>m/s</w:t>
            </w:r>
          </w:p>
        </w:tc>
      </w:tr>
      <w:tr>
        <w:tc>
          <w:tcPr>
            <w:tcW w:type="dxa" w:w="2353"/>
          </w:tcPr>
          <w:p>
            <w:pPr>
              <w:spacing w:after="20"/>
            </w:pPr>
            <w:r>
              <w:rPr>
                <w:rFonts w:ascii="Times New Roman" w:hAnsi="Times New Roman" w:eastAsia="宋体"/>
                <w:b w:val="0"/>
                <w:i w:val="0"/>
                <w:sz w:val="18"/>
              </w:rPr>
              <w:t>额定风速</w:t>
            </w:r>
          </w:p>
        </w:tc>
        <w:tc>
          <w:tcPr>
            <w:tcW w:type="dxa" w:w="2353"/>
          </w:tcPr>
          <w:p>
            <w:pPr>
              <w:spacing w:after="20"/>
            </w:pPr>
            <m:oMath>
              <m:sSub>
                <m:e>
                  <m:r>
                    <m:t>U</m:t>
                  </m:r>
                </m:e>
                <m:sub>
                  <m:r>
                    <m:t>rated</m:t>
                  </m:r>
                </m:sub>
              </m:sSub>
            </m:oMath>
          </w:p>
        </w:tc>
        <w:tc>
          <w:tcPr>
            <w:tcW w:type="dxa" w:w="2353"/>
          </w:tcPr>
          <w:p>
            <w:pPr>
              <w:spacing w:after="20"/>
            </w:pPr>
            <w:r>
              <w:rPr>
                <w:rFonts w:ascii="Times New Roman" w:hAnsi="Times New Roman" w:eastAsia="宋体"/>
                <w:b w:val="0"/>
                <w:i w:val="0"/>
                <w:sz w:val="18"/>
              </w:rPr>
              <w:t>11.4</w:t>
            </w:r>
          </w:p>
        </w:tc>
        <w:tc>
          <w:tcPr>
            <w:tcW w:type="dxa" w:w="2353"/>
          </w:tcPr>
          <w:p>
            <w:pPr>
              <w:spacing w:after="20"/>
            </w:pPr>
            <w:r>
              <w:rPr>
                <w:rFonts w:ascii="Times New Roman" w:hAnsi="Times New Roman" w:eastAsia="宋体"/>
                <w:b w:val="0"/>
                <w:i w:val="0"/>
                <w:sz w:val="18"/>
              </w:rPr>
              <w:t>m/s</w:t>
            </w:r>
          </w:p>
        </w:tc>
      </w:tr>
      <w:tr>
        <w:tc>
          <w:tcPr>
            <w:tcW w:type="dxa" w:w="2353"/>
          </w:tcPr>
          <w:p>
            <w:pPr>
              <w:spacing w:after="20"/>
            </w:pPr>
            <w:r>
              <w:rPr>
                <w:rFonts w:ascii="Times New Roman" w:hAnsi="Times New Roman" w:eastAsia="宋体"/>
                <w:b w:val="0"/>
                <w:i w:val="0"/>
                <w:sz w:val="18"/>
              </w:rPr>
              <w:t>切出风速</w:t>
            </w:r>
          </w:p>
        </w:tc>
        <w:tc>
          <w:tcPr>
            <w:tcW w:type="dxa" w:w="2353"/>
          </w:tcPr>
          <w:p>
            <w:pPr>
              <w:spacing w:after="20"/>
            </w:pPr>
            <m:oMath>
              <m:sSub>
                <m:e>
                  <m:r>
                    <m:t>U</m:t>
                  </m:r>
                </m:e>
                <m:sub>
                  <m:r>
                    <m:t>out</m:t>
                  </m:r>
                </m:sub>
              </m:sSub>
            </m:oMath>
          </w:p>
        </w:tc>
        <w:tc>
          <w:tcPr>
            <w:tcW w:type="dxa" w:w="2353"/>
          </w:tcPr>
          <w:p>
            <w:pPr>
              <w:spacing w:after="20"/>
            </w:pPr>
            <w:r>
              <w:rPr>
                <w:rFonts w:ascii="Times New Roman" w:hAnsi="Times New Roman" w:eastAsia="宋体"/>
                <w:b w:val="0"/>
                <w:i w:val="0"/>
                <w:sz w:val="18"/>
              </w:rPr>
              <w:t>25</w:t>
            </w:r>
          </w:p>
        </w:tc>
        <w:tc>
          <w:tcPr>
            <w:tcW w:type="dxa" w:w="2353"/>
          </w:tcPr>
          <w:p>
            <w:pPr>
              <w:spacing w:after="20"/>
            </w:pPr>
            <w:r>
              <w:rPr>
                <w:rFonts w:ascii="Times New Roman" w:hAnsi="Times New Roman" w:eastAsia="宋体"/>
                <w:b w:val="0"/>
                <w:i w:val="0"/>
                <w:sz w:val="18"/>
              </w:rPr>
              <w:t>m/s</w:t>
            </w:r>
          </w:p>
        </w:tc>
      </w:tr>
    </w:tbl>
    <w:p>
      <w:pPr>
        <w:spacing w:after="40"/>
      </w:pPr>
    </w:p>
    <w:p>
      <w:pPr>
        <w:spacing w:before="120" w:after="40"/>
        <w:jc w:val="center"/>
      </w:pPr>
      <w:r>
        <w:drawing>
          <wp:inline xmlns:a="http://schemas.openxmlformats.org/drawingml/2006/main" xmlns:pic="http://schemas.openxmlformats.org/drawingml/2006/picture">
            <wp:extent cx="5220000" cy="2577778"/>
            <wp:docPr id="1" name="Picture 1"/>
            <wp:cNvGraphicFramePr>
              <a:graphicFrameLocks noChangeAspect="1"/>
            </wp:cNvGraphicFramePr>
            <a:graphic>
              <a:graphicData uri="http://schemas.openxmlformats.org/drawingml/2006/picture">
                <pic:pic>
                  <pic:nvPicPr>
                    <pic:cNvPr id="0" name="fig_power_curve.png"/>
                    <pic:cNvPicPr/>
                  </pic:nvPicPr>
                  <pic:blipFill>
                    <a:blip r:embed="rId9"/>
                    <a:stretch>
                      <a:fillRect/>
                    </a:stretch>
                  </pic:blipFill>
                  <pic:spPr>
                    <a:xfrm>
                      <a:off x="0" y="0"/>
                      <a:ext cx="5220000" cy="2577778"/>
                    </a:xfrm>
                    <a:prstGeom prst="rect"/>
                  </pic:spPr>
                </pic:pic>
              </a:graphicData>
            </a:graphic>
          </wp:inline>
        </w:drawing>
      </w:r>
    </w:p>
    <w:p>
      <w:pPr>
        <w:spacing w:before="0" w:after="160"/>
        <w:jc w:val="center"/>
      </w:pPr>
      <w:r>
        <w:rPr>
          <w:rFonts w:ascii="Times New Roman" w:hAnsi="Times New Roman" w:eastAsia="宋体"/>
          <w:color w:val="595959"/>
          <w:sz w:val="18"/>
        </w:rPr>
        <w:t>图1 NREL 5MW 参考风机功率曲线与推力系数曲线（依据 FLORIS 内置 nrel_5MW.yaml 数据绘制）</w:t>
      </w:r>
    </w:p>
    <w:p>
      <w:pPr>
        <w:pStyle w:val="Heading3"/>
      </w:pPr>
      <w:r>
        <w:rPr>
          <w:rFonts w:ascii="Times New Roman" w:hAnsi="Times New Roman" w:eastAsia="宋体"/>
          <w:b/>
          <w:i w:val="0"/>
          <w:sz w:val="24"/>
        </w:rPr>
        <w:t>2.2 选型理由</w:t>
      </w:r>
    </w:p>
    <w:p>
      <w:pPr>
        <w:spacing w:after="100"/>
        <w:ind w:firstLine="0"/>
      </w:pPr>
      <w:r>
        <w:rPr>
          <w:rFonts w:ascii="Times New Roman" w:hAnsi="Times New Roman" w:eastAsia="宋体"/>
          <w:b w:val="0"/>
          <w:i w:val="0"/>
          <w:sz w:val="21"/>
        </w:rPr>
        <w:t>选择该机型而非商业机型，理由有三条。</w:t>
      </w:r>
    </w:p>
    <w:p>
      <w:pPr>
        <w:spacing w:after="100"/>
        <w:ind w:firstLine="0"/>
      </w:pPr>
      <w:r>
        <w:rPr>
          <w:rFonts w:ascii="Times New Roman" w:hAnsi="Times New Roman" w:eastAsia="宋体"/>
          <w:b/>
          <w:i w:val="0"/>
          <w:sz w:val="21"/>
        </w:rPr>
        <w:t>第一，参数公开可查、可复现。</w:t>
      </w:r>
      <w:r>
        <w:rPr>
          <w:rFonts w:ascii="Times New Roman" w:hAnsi="Times New Roman" w:eastAsia="宋体"/>
          <w:b w:val="0"/>
          <w:i w:val="0"/>
          <w:sz w:val="21"/>
        </w:rPr>
        <w:t xml:space="preserve"> 全部几何与气动参数均有官方技术报告支撑，功率曲线 </w:t>
      </w:r>
      <m:oMath>
        <m:sSub>
          <m:e>
            <m:r>
              <m:t>C</m:t>
            </m:r>
          </m:e>
          <m:sub>
            <m:r>
              <m:t>P</m:t>
            </m:r>
          </m:sub>
        </m:sSub>
      </m:oMath>
      <w:r>
        <w:rPr>
          <w:rFonts w:ascii="Times New Roman" w:hAnsi="Times New Roman" w:eastAsia="宋体"/>
          <w:b w:val="0"/>
          <w:i w:val="0"/>
          <w:sz w:val="21"/>
        </w:rPr>
        <w:t xml:space="preserve"> 与推力系数曲线 </w:t>
      </w:r>
      <m:oMath>
        <m:sSub>
          <m:e>
            <m:r>
              <m:t>C</m:t>
            </m:r>
          </m:e>
          <m:sub>
            <m:r>
              <m:t>T</m:t>
            </m:r>
          </m:sub>
        </m:sSub>
      </m:oMath>
      <w:r>
        <w:rPr>
          <w:rFonts w:ascii="Times New Roman" w:hAnsi="Times New Roman" w:eastAsia="宋体"/>
          <w:b w:val="0"/>
          <w:i w:val="0"/>
          <w:sz w:val="21"/>
        </w:rPr>
        <w:t xml:space="preserve"> 由官方气动程序计算并随库发布，不需要自行建模，从而避免引入额外不确定性。</w:t>
      </w:r>
    </w:p>
    <w:p>
      <w:pPr>
        <w:spacing w:after="100"/>
        <w:ind w:firstLine="0"/>
      </w:pPr>
      <w:r>
        <w:rPr>
          <w:rFonts w:ascii="Times New Roman" w:hAnsi="Times New Roman" w:eastAsia="宋体"/>
          <w:b/>
          <w:i w:val="0"/>
          <w:sz w:val="21"/>
        </w:rPr>
        <w:t>第二，行业通用，结果可对标。</w:t>
      </w:r>
      <w:r>
        <w:rPr>
          <w:rFonts w:ascii="Times New Roman" w:hAnsi="Times New Roman" w:eastAsia="宋体"/>
          <w:b w:val="0"/>
          <w:i w:val="0"/>
          <w:sz w:val="21"/>
        </w:rPr>
        <w:t xml:space="preserve"> 该机型是风电学术界与工业界的标准基准机型，文献引用广泛。选用它意味着本工作的结果可以与公开文献、其他团队的算例直接比较，也可以作为 Fluent 高保真算例的单机锚点（8 m/s 时单机功率约 1.771 MW）。</w:t>
      </w:r>
    </w:p>
    <w:p>
      <w:pPr>
        <w:spacing w:after="100"/>
        <w:ind w:firstLine="0"/>
      </w:pPr>
      <w:r>
        <w:rPr>
          <w:rFonts w:ascii="Times New Roman" w:hAnsi="Times New Roman" w:eastAsia="宋体"/>
          <w:b/>
          <w:i w:val="0"/>
          <w:sz w:val="21"/>
        </w:rPr>
        <w:t>第三，两套工具共用同一机型。</w:t>
      </w:r>
      <w:r>
        <w:rPr>
          <w:rFonts w:ascii="Times New Roman" w:hAnsi="Times New Roman" w:eastAsia="宋体"/>
          <w:b w:val="0"/>
          <w:i w:val="0"/>
          <w:sz w:val="21"/>
        </w:rPr>
        <w:t xml:space="preserve"> FLORIS 与 Fluent 使用同一机型参数，使两条技术路线的结果具备可比性，这是后续"解析模型与高保真模型对标"的前提。</w:t>
      </w:r>
    </w:p>
    <w:p>
      <w:pPr>
        <w:pStyle w:val="Heading3"/>
      </w:pPr>
      <w:r>
        <w:rPr>
          <w:rFonts w:ascii="Times New Roman" w:hAnsi="Times New Roman" w:eastAsia="宋体"/>
          <w:b/>
          <w:i w:val="0"/>
          <w:sz w:val="24"/>
        </w:rPr>
        <w:t>2.3 两族曲线的作用</w:t>
      </w:r>
    </w:p>
    <w:p>
      <w:pPr>
        <w:spacing w:after="100"/>
        <w:ind w:firstLine="0"/>
      </w:pPr>
      <w:r>
        <w:rPr>
          <w:rFonts w:ascii="Times New Roman" w:hAnsi="Times New Roman" w:eastAsia="宋体"/>
          <w:b w:val="0"/>
          <w:i w:val="0"/>
          <w:sz w:val="21"/>
        </w:rPr>
        <w:t>机型对仿真的影响全部浓缩在两条曲线上，二者分工明确。</w:t>
      </w:r>
    </w:p>
    <w:p>
      <w:pPr>
        <w:pStyle w:val="ListBullet"/>
        <w:spacing w:after="40" w:line="288" w:lineRule="auto"/>
        <w:ind w:left="425"/>
      </w:pPr>
      <w:r>
        <w:rPr>
          <w:rFonts w:ascii="Times New Roman" w:hAnsi="Times New Roman" w:eastAsia="宋体"/>
          <w:b/>
          <w:i w:val="0"/>
          <w:sz w:val="21"/>
        </w:rPr>
        <w:t xml:space="preserve">功率系数曲线 </w:t>
      </w:r>
      <m:oMath>
        <m:sSub>
          <m:e>
            <m:r>
              <m:t>C</m:t>
            </m:r>
          </m:e>
          <m:sub>
            <m:r>
              <m:t>P</m:t>
            </m:r>
          </m:sub>
        </m:sSub>
        <m:r>
          <m:t>(U)</m:t>
        </m:r>
      </m:oMath>
      <w:r>
        <w:rPr>
          <w:rFonts w:ascii="Times New Roman" w:hAnsi="Times New Roman" w:eastAsia="宋体"/>
          <w:b w:val="0"/>
          <w:i w:val="0"/>
          <w:sz w:val="21"/>
        </w:rPr>
        <w:t>：决定给定入流风速下风机能发出多少功率，即输出量。</w:t>
      </w:r>
    </w:p>
    <w:p>
      <w:pPr>
        <w:pStyle w:val="ListBullet"/>
        <w:spacing w:after="40" w:line="288" w:lineRule="auto"/>
        <w:ind w:left="425"/>
      </w:pPr>
      <w:r>
        <w:rPr>
          <w:rFonts w:ascii="Times New Roman" w:hAnsi="Times New Roman" w:eastAsia="宋体"/>
          <w:b/>
          <w:i w:val="0"/>
          <w:sz w:val="21"/>
        </w:rPr>
        <w:t xml:space="preserve">推力系数曲线 </w:t>
      </w:r>
      <m:oMath>
        <m:sSub>
          <m:e>
            <m:r>
              <m:t>C</m:t>
            </m:r>
          </m:e>
          <m:sub>
            <m:r>
              <m:t>T</m:t>
            </m:r>
          </m:sub>
        </m:sSub>
        <m:r>
          <m:t>(U)</m:t>
        </m:r>
      </m:oMath>
      <w:r>
        <w:rPr>
          <w:rFonts w:ascii="Times New Roman" w:hAnsi="Times New Roman" w:eastAsia="宋体"/>
          <w:b w:val="0"/>
          <w:i w:val="0"/>
          <w:sz w:val="21"/>
        </w:rPr>
        <w:t>：决定风轮从气流中提取多少动量，即风轮对来流的反作用力大小，进而决定</w:t>
      </w:r>
      <w:r>
        <w:rPr>
          <w:rFonts w:ascii="Times New Roman" w:hAnsi="Times New Roman" w:eastAsia="宋体"/>
          <w:b/>
          <w:i w:val="0"/>
          <w:sz w:val="21"/>
        </w:rPr>
        <w:t>尾流初始速度亏损的深度</w:t>
      </w:r>
      <w:r>
        <w:rPr>
          <w:rFonts w:ascii="Times New Roman" w:hAnsi="Times New Roman" w:eastAsia="宋体"/>
          <w:b w:val="0"/>
          <w:i w:val="0"/>
          <w:sz w:val="21"/>
        </w:rPr>
        <w:t>。</w:t>
      </w:r>
    </w:p>
    <w:p>
      <w:pPr>
        <w:spacing w:after="100"/>
        <w:ind w:firstLine="0"/>
      </w:pPr>
      <w:r>
        <w:rPr>
          <w:rFonts w:ascii="Times New Roman" w:hAnsi="Times New Roman" w:eastAsia="宋体"/>
          <w:b w:val="0"/>
          <w:i w:val="0"/>
          <w:sz w:val="21"/>
        </w:rPr>
        <w:t>对单机，风轮吸收的功率随入流速度近似呈三次方增长（额定风速以下）：</w:t>
      </w:r>
    </w:p>
    <w:p>
      <w:pPr>
        <w:spacing w:before="100" w:after="100" w:line="276" w:lineRule="auto"/>
        <w:jc w:val="center"/>
      </w:pPr>
      <m:oMath>
        <m:r>
          <m:t>P≈</m:t>
        </m:r>
        <m:f>
          <m:fPr>
            <m:type m:val="bar"/>
          </m:fPr>
          <m:num>
            <m:r>
              <m:t>1</m:t>
            </m:r>
          </m:num>
          <m:den>
            <m:r>
              <m:t>2</m:t>
            </m:r>
          </m:den>
        </m:f>
        <m:r>
          <m:t>ρA</m:t>
        </m:r>
        <m:sSup>
          <m:e>
            <m:r>
              <m:t>U</m:t>
            </m:r>
          </m:e>
          <m:sup>
            <m:r>
              <m:t>3</m:t>
            </m:r>
          </m:sup>
        </m:sSup>
        <m:sSub>
          <m:e>
            <m:r>
              <m:t>C</m:t>
            </m:r>
          </m:e>
          <m:sub>
            <m:r>
              <m:t>P</m:t>
            </m:r>
          </m:sub>
        </m:sSub>
      </m:oMath>
    </w:p>
    <w:p>
      <w:pPr>
        <w:spacing w:after="100"/>
        <w:ind w:firstLine="0"/>
      </w:pPr>
      <w:r>
        <w:rPr>
          <w:rFonts w:ascii="Times New Roman" w:hAnsi="Times New Roman" w:eastAsia="宋体"/>
          <w:b w:val="0"/>
          <w:i w:val="0"/>
          <w:sz w:val="21"/>
        </w:rPr>
        <w:t>这一关系式解释了一个重要现象：</w:t>
      </w:r>
      <w:r>
        <w:rPr>
          <w:rFonts w:ascii="Times New Roman" w:hAnsi="Times New Roman" w:eastAsia="宋体"/>
          <w:b/>
          <w:i w:val="0"/>
          <w:sz w:val="21"/>
        </w:rPr>
        <w:t>入流速度差 2%，功率差约 6%</w:t>
      </w:r>
      <w:r>
        <w:rPr>
          <w:rFonts w:ascii="Times New Roman" w:hAnsi="Times New Roman" w:eastAsia="宋体"/>
          <w:b w:val="0"/>
          <w:i w:val="0"/>
          <w:sz w:val="21"/>
        </w:rPr>
        <w:t>。这正是尾流里风速只低一点、下游功率却能掉一大半的原因，也是本工作数据中尾流效应显著的物理根源。</w:t>
      </w:r>
    </w:p>
    <w:p>
      <w:pPr>
        <w:pStyle w:val="Heading2"/>
      </w:pPr>
      <w:r>
        <w:rPr>
          <w:rFonts w:ascii="Times New Roman" w:hAnsi="Times New Roman" w:eastAsia="宋体"/>
          <w:b/>
          <w:i w:val="0"/>
          <w:sz w:val="27"/>
        </w:rPr>
        <w:t>三、FLORIS 风场经验数据生成</w:t>
      </w:r>
    </w:p>
    <w:p>
      <w:pPr>
        <w:pStyle w:val="Heading3"/>
      </w:pPr>
      <w:r>
        <w:rPr>
          <w:rFonts w:ascii="Times New Roman" w:hAnsi="Times New Roman" w:eastAsia="宋体"/>
          <w:b/>
          <w:i w:val="0"/>
          <w:sz w:val="24"/>
        </w:rPr>
        <w:t>3.1 仿真引擎</w:t>
      </w:r>
    </w:p>
    <w:p>
      <w:pPr>
        <w:spacing w:after="100"/>
        <w:ind w:firstLine="0"/>
      </w:pPr>
      <w:r>
        <w:rPr>
          <w:rFonts w:ascii="Times New Roman" w:hAnsi="Times New Roman" w:eastAsia="宋体"/>
          <w:b w:val="0"/>
          <w:i w:val="0"/>
          <w:sz w:val="21"/>
        </w:rPr>
        <w:t xml:space="preserve">仿真引擎选用美国国家可再生能源实验室（NREL）开发的开源风电场仿真框架 </w:t>
      </w:r>
      <w:r>
        <w:rPr>
          <w:rFonts w:ascii="Times New Roman" w:hAnsi="Times New Roman" w:eastAsia="宋体"/>
          <w:b/>
          <w:i w:val="0"/>
          <w:sz w:val="21"/>
        </w:rPr>
        <w:t>FLORIS v4.6.6</w:t>
      </w:r>
      <w:r>
        <w:rPr>
          <w:rFonts w:ascii="Times New Roman" w:hAnsi="Times New Roman" w:eastAsia="宋体"/>
          <w:b w:val="0"/>
          <w:i w:val="0"/>
          <w:sz w:val="21"/>
        </w:rPr>
        <w:t>。选型的核心理由是</w:t>
      </w:r>
      <w:r>
        <w:rPr>
          <w:rFonts w:ascii="Times New Roman" w:hAnsi="Times New Roman" w:eastAsia="宋体"/>
          <w:b/>
          <w:i w:val="0"/>
          <w:sz w:val="21"/>
        </w:rPr>
        <w:t>计算效率</w:t>
      </w:r>
      <w:r>
        <w:rPr>
          <w:rFonts w:ascii="Times New Roman" w:hAnsi="Times New Roman" w:eastAsia="宋体"/>
          <w:b w:val="0"/>
          <w:i w:val="0"/>
          <w:sz w:val="21"/>
        </w:rPr>
        <w:t>：FLORIS 基于解析尾流模型，单工况计算在毫秒量级，而 CFD 或大涡模拟（LES）单工况需分钟至小时级。本项目需要批量生成数千条样本，计算成本直接决定数据规模的上限，因此工程级解析模型是当前阶段唯一可行的选择。</w:t>
      </w:r>
    </w:p>
    <w:p>
      <w:pPr>
        <w:spacing w:after="100"/>
        <w:ind w:firstLine="0"/>
      </w:pPr>
      <w:r>
        <w:rPr>
          <w:rFonts w:ascii="Times New Roman" w:hAnsi="Times New Roman" w:eastAsia="宋体"/>
          <w:b w:val="0"/>
          <w:i w:val="0"/>
          <w:sz w:val="21"/>
        </w:rPr>
        <w:t>尾流模型选用两套方案，均通过 FLORIS 内置的高斯型（Gaussian）速度亏损剖面描述尾流：</w:t>
      </w:r>
    </w:p>
    <w:p>
      <w:pPr>
        <w:pStyle w:val="ListBullet"/>
        <w:spacing w:after="40" w:line="288" w:lineRule="auto"/>
        <w:ind w:left="425"/>
      </w:pPr>
      <w:r>
        <w:rPr>
          <w:rFonts w:ascii="Times New Roman" w:hAnsi="Times New Roman" w:eastAsia="宋体"/>
          <w:b/>
          <w:i w:val="0"/>
          <w:sz w:val="21"/>
        </w:rPr>
        <w:t>GCH（Gauss-Curl Hybrid）</w:t>
      </w:r>
      <w:r>
        <w:rPr>
          <w:rFonts w:ascii="Times New Roman" w:hAnsi="Times New Roman" w:eastAsia="宋体"/>
          <w:b w:val="0"/>
          <w:i w:val="0"/>
          <w:sz w:val="21"/>
        </w:rPr>
        <w:t>：在经典高斯亏损上引入涡旋修正，可刻画偏航引起的尾流偏转与横截面不对称性，是 FLORIS 的默认推荐模型。</w:t>
      </w:r>
    </w:p>
    <w:p>
      <w:pPr>
        <w:pStyle w:val="ListBullet"/>
        <w:spacing w:after="40" w:line="288" w:lineRule="auto"/>
        <w:ind w:left="425"/>
      </w:pPr>
      <w:r>
        <w:rPr>
          <w:rFonts w:ascii="Times New Roman" w:hAnsi="Times New Roman" w:eastAsia="宋体"/>
          <w:b/>
          <w:i w:val="0"/>
          <w:sz w:val="21"/>
        </w:rPr>
        <w:t>CC（Cumulative-Curl）</w:t>
      </w:r>
      <w:r>
        <w:rPr>
          <w:rFonts w:ascii="Times New Roman" w:hAnsi="Times New Roman" w:eastAsia="宋体"/>
          <w:b w:val="0"/>
          <w:i w:val="0"/>
          <w:sz w:val="21"/>
        </w:rPr>
        <w:t>：GCH 的升级版本，通过沿下游累积输运涡度描述尾流演化，针对大型风电场的深层尾流场景优化。</w:t>
      </w:r>
    </w:p>
    <w:p>
      <w:pPr>
        <w:spacing w:after="100"/>
        <w:ind w:firstLine="0"/>
      </w:pPr>
      <w:r>
        <w:rPr>
          <w:rFonts w:ascii="Times New Roman" w:hAnsi="Times New Roman" w:eastAsia="宋体"/>
          <w:b w:val="0"/>
          <w:i w:val="0"/>
          <w:sz w:val="21"/>
        </w:rPr>
        <w:t>选用两套模型而非单一模型，是为了</w:t>
      </w:r>
      <w:r>
        <w:rPr>
          <w:rFonts w:ascii="Times New Roman" w:hAnsi="Times New Roman" w:eastAsia="宋体"/>
          <w:b/>
          <w:i w:val="0"/>
          <w:sz w:val="21"/>
        </w:rPr>
        <w:t>量化物理假设差异对数据的影响</w:t>
      </w:r>
      <w:r>
        <w:rPr>
          <w:rFonts w:ascii="Times New Roman" w:hAnsi="Times New Roman" w:eastAsia="宋体"/>
          <w:b w:val="0"/>
          <w:i w:val="0"/>
          <w:sz w:val="21"/>
        </w:rPr>
        <w:t>：两套模型分别代表不同的物理假设，生成两组平行数据即构成一个对照实验，其差异可为后续融合模型的物理分支选择提供依据。两者计算成本在同一量级。</w:t>
      </w:r>
    </w:p>
    <w:p>
      <w:pPr>
        <w:pStyle w:val="Heading3"/>
      </w:pPr>
      <w:r>
        <w:rPr>
          <w:rFonts w:ascii="Times New Roman" w:hAnsi="Times New Roman" w:eastAsia="宋体"/>
          <w:b/>
          <w:i w:val="0"/>
          <w:sz w:val="24"/>
        </w:rPr>
        <w:t>3.2 布局设计</w:t>
      </w:r>
    </w:p>
    <w:p>
      <w:pPr>
        <w:spacing w:after="100"/>
        <w:ind w:firstLine="0"/>
      </w:pPr>
      <w:r>
        <w:rPr>
          <w:rFonts w:ascii="Times New Roman" w:hAnsi="Times New Roman" w:eastAsia="宋体"/>
          <w:b w:val="0"/>
          <w:i w:val="0"/>
          <w:sz w:val="21"/>
        </w:rPr>
        <w:t xml:space="preserve">风电场由 3 台风机组成，沿 X 轴（正东方向）一字排列，机位间距 378 m，即 </w:t>
      </w:r>
      <w:r>
        <w:rPr>
          <w:rFonts w:ascii="Times New Roman" w:hAnsi="Times New Roman" w:eastAsia="宋体"/>
          <w:b/>
          <w:i w:val="0"/>
          <w:sz w:val="21"/>
        </w:rPr>
        <w:t>3 倍风轮直径（3D）</w:t>
      </w:r>
      <w:r>
        <w:rPr>
          <w:rFonts w:ascii="Times New Roman" w:hAnsi="Times New Roman" w:eastAsia="宋体"/>
          <w:b w:val="0"/>
          <w:i w:val="0"/>
          <w:sz w:val="21"/>
        </w:rPr>
        <w:t>。</w:t>
      </w:r>
    </w:p>
    <w:p>
      <w:pPr>
        <w:spacing w:before="120" w:after="40"/>
        <w:jc w:val="center"/>
      </w:pPr>
      <w:r>
        <w:drawing>
          <wp:inline xmlns:a="http://schemas.openxmlformats.org/drawingml/2006/main" xmlns:pic="http://schemas.openxmlformats.org/drawingml/2006/picture">
            <wp:extent cx="5220000" cy="2580674"/>
            <wp:docPr id="2" name="Picture 2"/>
            <wp:cNvGraphicFramePr>
              <a:graphicFrameLocks noChangeAspect="1"/>
            </wp:cNvGraphicFramePr>
            <a:graphic>
              <a:graphicData uri="http://schemas.openxmlformats.org/drawingml/2006/picture">
                <pic:pic>
                  <pic:nvPicPr>
                    <pic:cNvPr id="0" name="fig_layout.png"/>
                    <pic:cNvPicPr/>
                  </pic:nvPicPr>
                  <pic:blipFill>
                    <a:blip r:embed="rId10"/>
                    <a:stretch>
                      <a:fillRect/>
                    </a:stretch>
                  </pic:blipFill>
                  <pic:spPr>
                    <a:xfrm>
                      <a:off x="0" y="0"/>
                      <a:ext cx="5220000" cy="2580674"/>
                    </a:xfrm>
                    <a:prstGeom prst="rect"/>
                  </pic:spPr>
                </pic:pic>
              </a:graphicData>
            </a:graphic>
          </wp:inline>
        </w:drawing>
      </w:r>
    </w:p>
    <w:p>
      <w:pPr>
        <w:spacing w:before="0" w:after="160"/>
        <w:jc w:val="center"/>
      </w:pPr>
      <w:r>
        <w:rPr>
          <w:rFonts w:ascii="Times New Roman" w:hAnsi="Times New Roman" w:eastAsia="宋体"/>
          <w:color w:val="595959"/>
          <w:sz w:val="18"/>
        </w:rPr>
        <w:t>图2 三台风机的风电场布局（间距 3D = 378 m，FLORIS 计算生成）</w:t>
      </w:r>
    </w:p>
    <w:p>
      <w:pPr>
        <w:spacing w:after="100"/>
        <w:ind w:firstLine="0"/>
      </w:pPr>
      <w:r>
        <w:rPr>
          <w:rFonts w:ascii="Times New Roman" w:hAnsi="Times New Roman" w:eastAsia="宋体"/>
          <w:b w:val="0"/>
          <w:i w:val="0"/>
          <w:sz w:val="21"/>
        </w:rPr>
        <w:t>选择这一布局的理由：三机链式布局是体现多机尾流叠加的</w:t>
      </w:r>
      <w:r>
        <w:rPr>
          <w:rFonts w:ascii="Times New Roman" w:hAnsi="Times New Roman" w:eastAsia="宋体"/>
          <w:b/>
          <w:i w:val="0"/>
          <w:sz w:val="21"/>
        </w:rPr>
        <w:t>最小规模配置</w:t>
      </w:r>
      <w:r>
        <w:rPr>
          <w:rFonts w:ascii="Times New Roman" w:hAnsi="Times New Roman" w:eastAsia="宋体"/>
          <w:b w:val="0"/>
          <w:i w:val="0"/>
          <w:sz w:val="21"/>
        </w:rPr>
        <w:t>，上游机尾流经中游机后进一步作用于下游机，可完整刻画单机亏损、逐级叠加与恢复的物理过程；3D 间距是尾流研究的常用配置，该间距下尾流效应显著但不至于完全重叠，保证数据中尾流信息的可辨识性；沿固定轴线排列并与风向扫描维度配合，可覆盖尾流完全覆盖、部分偏转、完全错开等各种相对几何关系。</w:t>
      </w:r>
    </w:p>
    <w:p>
      <w:pPr>
        <w:pStyle w:val="Heading3"/>
      </w:pPr>
      <w:r>
        <w:rPr>
          <w:rFonts w:ascii="Times New Roman" w:hAnsi="Times New Roman" w:eastAsia="宋体"/>
          <w:b/>
          <w:i w:val="0"/>
          <w:sz w:val="24"/>
        </w:rPr>
        <w:t>3.3 风况扫描方案</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DCE6F1"/>
          </w:tcPr>
          <w:p>
            <w:pPr>
              <w:spacing w:after="20"/>
            </w:pPr>
            <w:r>
              <w:rPr>
                <w:rFonts w:ascii="Times New Roman" w:hAnsi="Times New Roman" w:eastAsia="宋体"/>
                <w:b/>
                <w:i w:val="0"/>
                <w:sz w:val="18"/>
              </w:rPr>
              <w:t>参数</w:t>
            </w:r>
          </w:p>
        </w:tc>
        <w:tc>
          <w:tcPr>
            <w:tcW w:type="dxa" w:w="2353"/>
            <w:shd w:val="clear" w:color="auto" w:fill="DCE6F1"/>
          </w:tcPr>
          <w:p>
            <w:pPr>
              <w:spacing w:after="20"/>
            </w:pPr>
            <w:r>
              <w:rPr>
                <w:rFonts w:ascii="Times New Roman" w:hAnsi="Times New Roman" w:eastAsia="宋体"/>
                <w:b/>
                <w:i w:val="0"/>
                <w:sz w:val="18"/>
              </w:rPr>
              <w:t>范围</w:t>
            </w:r>
          </w:p>
        </w:tc>
        <w:tc>
          <w:tcPr>
            <w:tcW w:type="dxa" w:w="2353"/>
            <w:shd w:val="clear" w:color="auto" w:fill="DCE6F1"/>
          </w:tcPr>
          <w:p>
            <w:pPr>
              <w:spacing w:after="20"/>
            </w:pPr>
            <w:r>
              <w:rPr>
                <w:rFonts w:ascii="Times New Roman" w:hAnsi="Times New Roman" w:eastAsia="宋体"/>
                <w:b/>
                <w:i w:val="0"/>
                <w:sz w:val="18"/>
              </w:rPr>
              <w:t>步长</w:t>
            </w:r>
          </w:p>
        </w:tc>
        <w:tc>
          <w:tcPr>
            <w:tcW w:type="dxa" w:w="2353"/>
            <w:shd w:val="clear" w:color="auto" w:fill="DCE6F1"/>
          </w:tcPr>
          <w:p>
            <w:pPr>
              <w:spacing w:after="20"/>
            </w:pPr>
            <w:r>
              <w:rPr>
                <w:rFonts w:ascii="Times New Roman" w:hAnsi="Times New Roman" w:eastAsia="宋体"/>
                <w:b/>
                <w:i w:val="0"/>
                <w:sz w:val="18"/>
              </w:rPr>
              <w:t>取值个数</w:t>
            </w:r>
          </w:p>
        </w:tc>
      </w:tr>
      <w:tr>
        <w:tc>
          <w:tcPr>
            <w:tcW w:type="dxa" w:w="2353"/>
          </w:tcPr>
          <w:p>
            <w:pPr>
              <w:spacing w:after="20"/>
            </w:pPr>
            <w:r>
              <w:rPr>
                <w:rFonts w:ascii="Times New Roman" w:hAnsi="Times New Roman" w:eastAsia="宋体"/>
                <w:b w:val="0"/>
                <w:i w:val="0"/>
                <w:sz w:val="18"/>
              </w:rPr>
              <w:t>风速</w:t>
            </w:r>
          </w:p>
        </w:tc>
        <w:tc>
          <w:tcPr>
            <w:tcW w:type="dxa" w:w="2353"/>
          </w:tcPr>
          <w:p>
            <w:pPr>
              <w:spacing w:after="20"/>
            </w:pPr>
            <w:r>
              <w:rPr>
                <w:rFonts w:ascii="Times New Roman" w:hAnsi="Times New Roman" w:eastAsia="宋体"/>
                <w:b w:val="0"/>
                <w:i w:val="0"/>
                <w:sz w:val="18"/>
              </w:rPr>
              <w:t>4–12 m/s</w:t>
            </w:r>
          </w:p>
        </w:tc>
        <w:tc>
          <w:tcPr>
            <w:tcW w:type="dxa" w:w="2353"/>
          </w:tcPr>
          <w:p>
            <w:pPr>
              <w:spacing w:after="20"/>
            </w:pPr>
            <w:r>
              <w:rPr>
                <w:rFonts w:ascii="Times New Roman" w:hAnsi="Times New Roman" w:eastAsia="宋体"/>
                <w:b w:val="0"/>
                <w:i w:val="0"/>
                <w:sz w:val="18"/>
              </w:rPr>
              <w:t>0.5 m/s</w:t>
            </w:r>
          </w:p>
        </w:tc>
        <w:tc>
          <w:tcPr>
            <w:tcW w:type="dxa" w:w="2353"/>
          </w:tcPr>
          <w:p>
            <w:pPr>
              <w:spacing w:after="20"/>
            </w:pPr>
            <w:r>
              <w:rPr>
                <w:rFonts w:ascii="Times New Roman" w:hAnsi="Times New Roman" w:eastAsia="宋体"/>
                <w:b w:val="0"/>
                <w:i w:val="0"/>
                <w:sz w:val="18"/>
              </w:rPr>
              <w:t>17</w:t>
            </w:r>
          </w:p>
        </w:tc>
      </w:tr>
      <w:tr>
        <w:tc>
          <w:tcPr>
            <w:tcW w:type="dxa" w:w="2353"/>
          </w:tcPr>
          <w:p>
            <w:pPr>
              <w:spacing w:after="20"/>
            </w:pPr>
            <w:r>
              <w:rPr>
                <w:rFonts w:ascii="Times New Roman" w:hAnsi="Times New Roman" w:eastAsia="宋体"/>
                <w:b w:val="0"/>
                <w:i w:val="0"/>
                <w:sz w:val="18"/>
              </w:rPr>
              <w:t>风向</w:t>
            </w:r>
          </w:p>
        </w:tc>
        <w:tc>
          <w:tcPr>
            <w:tcW w:type="dxa" w:w="2353"/>
          </w:tcPr>
          <w:p>
            <w:pPr>
              <w:spacing w:after="20"/>
            </w:pPr>
            <w:r>
              <w:rPr>
                <w:rFonts w:ascii="Times New Roman" w:hAnsi="Times New Roman" w:eastAsia="宋体"/>
                <w:b w:val="0"/>
                <w:i w:val="0"/>
                <w:sz w:val="18"/>
              </w:rPr>
              <w:t>0–345°</w:t>
            </w:r>
          </w:p>
        </w:tc>
        <w:tc>
          <w:tcPr>
            <w:tcW w:type="dxa" w:w="2353"/>
          </w:tcPr>
          <w:p>
            <w:pPr>
              <w:spacing w:after="20"/>
            </w:pPr>
            <w:r>
              <w:rPr>
                <w:rFonts w:ascii="Times New Roman" w:hAnsi="Times New Roman" w:eastAsia="宋体"/>
                <w:b w:val="0"/>
                <w:i w:val="0"/>
                <w:sz w:val="18"/>
              </w:rPr>
              <w:t>15°</w:t>
            </w:r>
          </w:p>
        </w:tc>
        <w:tc>
          <w:tcPr>
            <w:tcW w:type="dxa" w:w="2353"/>
          </w:tcPr>
          <w:p>
            <w:pPr>
              <w:spacing w:after="20"/>
            </w:pPr>
            <w:r>
              <w:rPr>
                <w:rFonts w:ascii="Times New Roman" w:hAnsi="Times New Roman" w:eastAsia="宋体"/>
                <w:b w:val="0"/>
                <w:i w:val="0"/>
                <w:sz w:val="18"/>
              </w:rPr>
              <w:t>24</w:t>
            </w:r>
          </w:p>
        </w:tc>
      </w:tr>
      <w:tr>
        <w:tc>
          <w:tcPr>
            <w:tcW w:type="dxa" w:w="2353"/>
          </w:tcPr>
          <w:p>
            <w:pPr>
              <w:spacing w:after="20"/>
            </w:pPr>
            <w:r>
              <w:rPr>
                <w:rFonts w:ascii="Times New Roman" w:hAnsi="Times New Roman" w:eastAsia="宋体"/>
                <w:b w:val="0"/>
                <w:i w:val="0"/>
                <w:sz w:val="18"/>
              </w:rPr>
              <w:t>湍流强度 TI</w:t>
            </w:r>
          </w:p>
        </w:tc>
        <w:tc>
          <w:tcPr>
            <w:tcW w:type="dxa" w:w="2353"/>
          </w:tcPr>
          <w:p>
            <w:pPr>
              <w:spacing w:after="20"/>
            </w:pPr>
            <w:r>
              <w:rPr>
                <w:rFonts w:ascii="Times New Roman" w:hAnsi="Times New Roman" w:eastAsia="宋体"/>
                <w:b w:val="0"/>
                <w:i w:val="0"/>
                <w:sz w:val="18"/>
              </w:rPr>
              <w:t>0.06 / 0.08 / 0.10</w:t>
            </w:r>
          </w:p>
        </w:tc>
        <w:tc>
          <w:tcPr>
            <w:tcW w:type="dxa" w:w="2353"/>
          </w:tcPr>
          <w:p>
            <w:pPr>
              <w:spacing w:after="20"/>
            </w:pPr>
            <w:r>
              <w:rPr>
                <w:rFonts w:ascii="Times New Roman" w:hAnsi="Times New Roman" w:eastAsia="宋体"/>
                <w:b w:val="0"/>
                <w:i w:val="0"/>
                <w:sz w:val="18"/>
              </w:rPr>
              <w:t>—</w:t>
            </w:r>
          </w:p>
        </w:tc>
        <w:tc>
          <w:tcPr>
            <w:tcW w:type="dxa" w:w="2353"/>
          </w:tcPr>
          <w:p>
            <w:pPr>
              <w:spacing w:after="20"/>
            </w:pPr>
            <w:r>
              <w:rPr>
                <w:rFonts w:ascii="Times New Roman" w:hAnsi="Times New Roman" w:eastAsia="宋体"/>
                <w:b w:val="0"/>
                <w:i w:val="0"/>
                <w:sz w:val="18"/>
              </w:rPr>
              <w:t>3</w:t>
            </w:r>
          </w:p>
        </w:tc>
      </w:tr>
    </w:tbl>
    <w:p>
      <w:pPr>
        <w:spacing w:after="40"/>
      </w:pPr>
    </w:p>
    <w:p>
      <w:pPr>
        <w:spacing w:after="100"/>
        <w:ind w:firstLine="0"/>
      </w:pPr>
      <w:r>
        <w:rPr>
          <w:rFonts w:ascii="Times New Roman" w:hAnsi="Times New Roman" w:eastAsia="宋体"/>
          <w:b w:val="0"/>
          <w:i w:val="0"/>
          <w:sz w:val="21"/>
        </w:rPr>
        <w:t>样本总数：</w:t>
      </w:r>
      <m:oMath>
        <m:r>
          <m:t>17×24×3=1224</m:t>
        </m:r>
      </m:oMath>
      <w:r>
        <w:rPr>
          <w:rFonts w:ascii="Times New Roman" w:hAnsi="Times New Roman" w:eastAsia="宋体"/>
          <w:b w:val="0"/>
          <w:i w:val="0"/>
          <w:sz w:val="21"/>
        </w:rPr>
        <w:t xml:space="preserve"> 条（每套尾流模型），</w:t>
      </w:r>
      <w:r>
        <w:rPr>
          <w:rFonts w:ascii="Times New Roman" w:hAnsi="Times New Roman" w:eastAsia="宋体"/>
          <w:b/>
          <w:i w:val="0"/>
          <w:sz w:val="21"/>
        </w:rPr>
        <w:t>两套模型合计 2448 条</w:t>
      </w:r>
      <w:r>
        <w:rPr>
          <w:rFonts w:ascii="Times New Roman" w:hAnsi="Times New Roman" w:eastAsia="宋体"/>
          <w:b w:val="0"/>
          <w:i w:val="0"/>
          <w:sz w:val="21"/>
        </w:rPr>
        <w:t>。</w:t>
      </w:r>
    </w:p>
    <w:p>
      <w:pPr>
        <w:spacing w:after="100"/>
        <w:ind w:firstLine="0"/>
      </w:pPr>
      <w:r>
        <w:rPr>
          <w:rFonts w:ascii="Times New Roman" w:hAnsi="Times New Roman" w:eastAsia="宋体"/>
          <w:b w:val="0"/>
          <w:i w:val="0"/>
          <w:sz w:val="21"/>
        </w:rPr>
        <w:t>扫描范围的选取依据：风速区间覆盖切入风速以上、额定风速附近的典型发电区段，避开切出风速附近的非线性控制区（需说明，11.4 m/s 以上为额定功率平台区，该区段内功率对风速不敏感，样本主要体现尾流效应）；风向全周扫描，保证布局与来流的所有相对方位均被覆盖；湍流强度取低、中、高三档，覆盖典型大气湍流水平，用于考察尾流恢复速率对湍流的敏感性。</w:t>
      </w:r>
    </w:p>
    <w:p>
      <w:pPr>
        <w:pStyle w:val="Heading3"/>
      </w:pPr>
      <w:r>
        <w:rPr>
          <w:rFonts w:ascii="Times New Roman" w:hAnsi="Times New Roman" w:eastAsia="宋体"/>
          <w:b/>
          <w:i w:val="0"/>
          <w:sz w:val="24"/>
        </w:rPr>
        <w:t>3.4 数据维度与格式</w:t>
      </w:r>
    </w:p>
    <w:p>
      <w:pPr>
        <w:pStyle w:val="ListBullet"/>
        <w:spacing w:after="40" w:line="288" w:lineRule="auto"/>
        <w:ind w:left="425"/>
      </w:pPr>
      <w:r>
        <w:rPr>
          <w:rFonts w:ascii="Times New Roman" w:hAnsi="Times New Roman" w:eastAsia="宋体"/>
          <w:b/>
          <w:i w:val="0"/>
          <w:sz w:val="21"/>
        </w:rPr>
        <w:t>输入变量 X（9 维）</w:t>
      </w:r>
      <w:r>
        <w:rPr>
          <w:rFonts w:ascii="Times New Roman" w:hAnsi="Times New Roman" w:eastAsia="宋体"/>
          <w:b w:val="0"/>
          <w:i w:val="0"/>
          <w:sz w:val="21"/>
        </w:rPr>
        <w:t>：风速、风向、湍流强度，以及 3 台风机的 X、Y 坐标共 6 个坐标量（坐标随工况固定）。</w:t>
      </w:r>
    </w:p>
    <w:p>
      <w:pPr>
        <w:pStyle w:val="ListBullet"/>
        <w:spacing w:after="40" w:line="288" w:lineRule="auto"/>
        <w:ind w:left="425"/>
      </w:pPr>
      <w:r>
        <w:rPr>
          <w:rFonts w:ascii="Times New Roman" w:hAnsi="Times New Roman" w:eastAsia="宋体"/>
          <w:b/>
          <w:i w:val="0"/>
          <w:sz w:val="21"/>
        </w:rPr>
        <w:t>输出变量 Y（4 维）</w:t>
      </w:r>
      <w:r>
        <w:rPr>
          <w:rFonts w:ascii="Times New Roman" w:hAnsi="Times New Roman" w:eastAsia="宋体"/>
          <w:b w:val="0"/>
          <w:i w:val="0"/>
          <w:sz w:val="21"/>
        </w:rPr>
        <w:t>：3 台单机功率与全场总功率。</w:t>
      </w:r>
    </w:p>
    <w:p>
      <w:pPr>
        <w:pStyle w:val="ListBullet"/>
        <w:spacing w:after="40" w:line="288" w:lineRule="auto"/>
        <w:ind w:left="425"/>
      </w:pPr>
      <w:r>
        <w:rPr>
          <w:rFonts w:ascii="Times New Roman" w:hAnsi="Times New Roman" w:eastAsia="宋体"/>
          <w:b/>
          <w:i w:val="0"/>
          <w:sz w:val="21"/>
        </w:rPr>
        <w:t>格式</w:t>
      </w:r>
      <w:r>
        <w:rPr>
          <w:rFonts w:ascii="Times New Roman" w:hAnsi="Times New Roman" w:eastAsia="宋体"/>
          <w:b w:val="0"/>
          <w:i w:val="0"/>
          <w:sz w:val="21"/>
        </w:rPr>
        <w:t>：CSV，输入输出字段按工况对齐，可直接被常见深度学习框架加载。</w:t>
      </w:r>
    </w:p>
    <w:p>
      <w:pPr>
        <w:spacing w:after="100"/>
        <w:ind w:firstLine="0"/>
      </w:pPr>
      <w:r>
        <w:rPr>
          <w:rFonts w:ascii="Times New Roman" w:hAnsi="Times New Roman" w:eastAsia="宋体"/>
          <w:b w:val="0"/>
          <w:i w:val="0"/>
          <w:sz w:val="21"/>
        </w:rPr>
        <w:t>数据全部由 FLORIS v4.6.6 物理仿真生成，不含任何实测或人工插补数据；经检查无缺失值与异常值，所有样本均为有效仿真结果。功率统一为瓦特并保留原始精度。</w:t>
      </w:r>
    </w:p>
    <w:p>
      <w:pPr>
        <w:spacing w:after="100"/>
        <w:ind w:firstLine="0"/>
      </w:pPr>
      <w:r>
        <w:rPr>
          <w:rFonts w:ascii="Times New Roman" w:hAnsi="Times New Roman" w:eastAsia="宋体"/>
          <w:b/>
          <w:i w:val="0"/>
          <w:sz w:val="21"/>
        </w:rPr>
        <w:t>关于归一化的说明</w:t>
      </w:r>
      <w:r>
        <w:rPr>
          <w:rFonts w:ascii="Times New Roman" w:hAnsi="Times New Roman" w:eastAsia="宋体"/>
          <w:b w:val="0"/>
          <w:i w:val="0"/>
          <w:sz w:val="21"/>
        </w:rPr>
        <w:t>：由于风速（4–12）、坐标（0–756）与功率（</w:t>
      </w:r>
      <m:oMath>
        <m:sSup>
          <m:e>
            <m:r>
              <m:t>10</m:t>
            </m:r>
          </m:e>
          <m:sup>
            <m:r>
              <m:t>5</m:t>
            </m:r>
          </m:sup>
        </m:sSup>
      </m:oMath>
      <w:r>
        <w:rPr>
          <w:rFonts w:ascii="Times New Roman" w:hAnsi="Times New Roman" w:eastAsia="宋体"/>
          <w:b w:val="0"/>
          <w:i w:val="0"/>
          <w:sz w:val="21"/>
        </w:rPr>
        <w:t>–</w:t>
      </w:r>
      <m:oMath>
        <m:sSup>
          <m:e>
            <m:r>
              <m:t>10</m:t>
            </m:r>
          </m:e>
          <m:sup>
            <m:r>
              <m:t>6</m:t>
            </m:r>
          </m:sup>
        </m:sSup>
      </m:oMath>
      <w:r>
        <w:rPr>
          <w:rFonts w:ascii="Times New Roman" w:hAnsi="Times New Roman" w:eastAsia="宋体"/>
          <w:b w:val="0"/>
          <w:i w:val="0"/>
          <w:sz w:val="21"/>
        </w:rPr>
        <w:t xml:space="preserve"> 量级）量纲差异较大，神经网络训练前必须归一化，否则会导致训练不稳定。建议采用最小最大值归一化至 0–1 区间或标准分数标准化，具体方案由下游训练环节结合网络结构确定——本工作数据侧已保证可直接执行该步骤。</w:t>
      </w:r>
    </w:p>
    <w:p>
      <w:pPr>
        <w:pStyle w:val="Heading3"/>
      </w:pPr>
      <w:r>
        <w:rPr>
          <w:rFonts w:ascii="Times New Roman" w:hAnsi="Times New Roman" w:eastAsia="宋体"/>
          <w:b/>
          <w:i w:val="0"/>
          <w:sz w:val="24"/>
        </w:rPr>
        <w:t>3.5 数据质量核验</w:t>
      </w:r>
    </w:p>
    <w:p>
      <w:pPr>
        <w:spacing w:after="100"/>
        <w:ind w:firstLine="0"/>
      </w:pPr>
      <w:r>
        <w:rPr>
          <w:rFonts w:ascii="Times New Roman" w:hAnsi="Times New Roman" w:eastAsia="宋体"/>
          <w:b w:val="0"/>
          <w:i w:val="0"/>
          <w:sz w:val="21"/>
        </w:rPr>
        <w:t>数据合理性从三个层面核验，均通过。</w:t>
      </w:r>
    </w:p>
    <w:p>
      <w:pPr>
        <w:spacing w:after="100"/>
        <w:ind w:firstLine="0"/>
      </w:pPr>
      <w:r>
        <w:rPr>
          <w:rFonts w:ascii="Times New Roman" w:hAnsi="Times New Roman" w:eastAsia="宋体"/>
          <w:b/>
          <w:i w:val="0"/>
          <w:sz w:val="21"/>
        </w:rPr>
        <w:t>单机层面</w:t>
      </w:r>
      <w:r>
        <w:rPr>
          <w:rFonts w:ascii="Times New Roman" w:hAnsi="Times New Roman" w:eastAsia="宋体"/>
          <w:b w:val="0"/>
          <w:i w:val="0"/>
          <w:sz w:val="21"/>
        </w:rPr>
        <w:t>：仿真输出的上游第一台风机功率与 FLORIS 内置功率曲线完全一致，表明模型配置正确。</w:t>
      </w:r>
    </w:p>
    <w:p>
      <w:pPr>
        <w:spacing w:after="100"/>
        <w:ind w:firstLine="0"/>
      </w:pPr>
      <w:r>
        <w:rPr>
          <w:rFonts w:ascii="Times New Roman" w:hAnsi="Times New Roman" w:eastAsia="宋体"/>
          <w:b/>
          <w:i w:val="0"/>
          <w:sz w:val="21"/>
        </w:rPr>
        <w:t>尾流层面</w:t>
      </w:r>
      <w:r>
        <w:rPr>
          <w:rFonts w:ascii="Times New Roman" w:hAnsi="Times New Roman" w:eastAsia="宋体"/>
          <w:b w:val="0"/>
          <w:i w:val="0"/>
          <w:sz w:val="21"/>
        </w:rPr>
        <w:t>：下游风机功率随其与上游机相对方位的变化而连续变化——尾流完全覆盖时功率最低，风向偏转、尾流错开后功率回升，符合尾流物理。</w:t>
      </w:r>
    </w:p>
    <w:p>
      <w:pPr>
        <w:spacing w:after="100"/>
        <w:ind w:firstLine="0"/>
      </w:pPr>
      <w:r>
        <w:rPr>
          <w:rFonts w:ascii="Times New Roman" w:hAnsi="Times New Roman" w:eastAsia="宋体"/>
          <w:b/>
          <w:i w:val="0"/>
          <w:sz w:val="21"/>
        </w:rPr>
        <w:t>整体层面</w:t>
      </w:r>
      <w:r>
        <w:rPr>
          <w:rFonts w:ascii="Times New Roman" w:hAnsi="Times New Roman" w:eastAsia="宋体"/>
          <w:b w:val="0"/>
          <w:i w:val="0"/>
          <w:sz w:val="21"/>
        </w:rPr>
        <w:t>：全场功率随湍流强度增大而增大，符合湍流促进尾流恢复的物理规律。以 8 m/s、270° 工况为例，湍流强度由 0.06 增至 0.10 时，全场功率由 2.23 MW 升至 2.46 MW。低湍流、正对来流时，下游风机功率损失可高达 80%–90%，说明尾流效应在数据中得到充分体现。</w:t>
      </w:r>
    </w:p>
    <w:p>
      <w:pPr>
        <w:pStyle w:val="Heading3"/>
      </w:pPr>
      <w:r>
        <w:rPr>
          <w:rFonts w:ascii="Times New Roman" w:hAnsi="Times New Roman" w:eastAsia="宋体"/>
          <w:b/>
          <w:i w:val="0"/>
          <w:sz w:val="24"/>
        </w:rPr>
        <w:t>3.6 关键结果与模型对比</w:t>
      </w:r>
    </w:p>
    <w:p>
      <w:pPr>
        <w:spacing w:after="100"/>
        <w:ind w:firstLine="0"/>
      </w:pPr>
      <w:r>
        <w:rPr>
          <w:rFonts w:ascii="Times New Roman" w:hAnsi="Times New Roman" w:eastAsia="宋体"/>
          <w:b w:val="0"/>
          <w:i w:val="0"/>
          <w:sz w:val="21"/>
        </w:rPr>
        <w:t>以风速 8 m/s、湍流强度 0.06 为例：</w:t>
      </w:r>
    </w:p>
    <w:tbl>
      <w:tblPr>
        <w:tblStyle w:val="TableGrid"/>
        <w:tblW w:type="auto" w:w="0"/>
        <w:jc w:val="center"/>
        <w:tblLook w:firstColumn="1" w:firstRow="1" w:lastColumn="0" w:lastRow="0" w:noHBand="0" w:noVBand="1" w:val="04A0"/>
      </w:tblPr>
      <w:tblGrid>
        <w:gridCol w:w="4705"/>
        <w:gridCol w:w="4705"/>
      </w:tblGrid>
      <w:tr>
        <w:tc>
          <w:tcPr>
            <w:tcW w:type="dxa" w:w="4705"/>
            <w:shd w:val="clear" w:color="auto" w:fill="DCE6F1"/>
          </w:tcPr>
          <w:p>
            <w:pPr>
              <w:spacing w:after="20"/>
            </w:pPr>
            <w:r>
              <w:rPr>
                <w:rFonts w:ascii="Times New Roman" w:hAnsi="Times New Roman" w:eastAsia="宋体"/>
                <w:b/>
                <w:i w:val="0"/>
                <w:sz w:val="18"/>
              </w:rPr>
              <w:t>工况</w:t>
            </w:r>
          </w:p>
        </w:tc>
        <w:tc>
          <w:tcPr>
            <w:tcW w:type="dxa" w:w="4705"/>
            <w:shd w:val="clear" w:color="auto" w:fill="DCE6F1"/>
          </w:tcPr>
          <w:p>
            <w:pPr>
              <w:spacing w:after="20"/>
            </w:pPr>
            <w:r>
              <w:rPr>
                <w:rFonts w:ascii="Times New Roman" w:hAnsi="Times New Roman" w:eastAsia="宋体"/>
                <w:b/>
                <w:i w:val="0"/>
                <w:sz w:val="18"/>
              </w:rPr>
              <w:t>结果</w:t>
            </w:r>
          </w:p>
        </w:tc>
      </w:tr>
      <w:tr>
        <w:tc>
          <w:tcPr>
            <w:tcW w:type="dxa" w:w="4705"/>
          </w:tcPr>
          <w:p>
            <w:pPr>
              <w:spacing w:after="20"/>
            </w:pPr>
            <w:r>
              <w:rPr>
                <w:rFonts w:ascii="Times New Roman" w:hAnsi="Times New Roman" w:eastAsia="宋体"/>
                <w:b w:val="0"/>
                <w:i w:val="0"/>
                <w:sz w:val="18"/>
              </w:rPr>
              <w:t>270° 正对来流（GCH）</w:t>
            </w:r>
          </w:p>
        </w:tc>
        <w:tc>
          <w:tcPr>
            <w:tcW w:type="dxa" w:w="4705"/>
          </w:tcPr>
          <w:p>
            <w:pPr>
              <w:spacing w:after="20"/>
            </w:pPr>
            <w:r>
              <w:rPr>
                <w:rFonts w:ascii="Times New Roman" w:hAnsi="Times New Roman" w:eastAsia="宋体"/>
                <w:b w:val="0"/>
                <w:i w:val="0"/>
                <w:sz w:val="18"/>
              </w:rPr>
              <w:t>第二、三台功率分别为第一台的 17.6% 与 9.4%，即损失 82.4% 与 90.6%；全场功率 2.23 MW</w:t>
            </w:r>
          </w:p>
        </w:tc>
      </w:tr>
      <w:tr>
        <w:tc>
          <w:tcPr>
            <w:tcW w:type="dxa" w:w="4705"/>
          </w:tcPr>
          <w:p>
            <w:pPr>
              <w:spacing w:after="20"/>
            </w:pPr>
            <w:r>
              <w:rPr>
                <w:rFonts w:ascii="Times New Roman" w:hAnsi="Times New Roman" w:eastAsia="宋体"/>
                <w:b w:val="0"/>
                <w:i w:val="0"/>
                <w:sz w:val="18"/>
              </w:rPr>
              <w:t>265° 偏转 5°</w:t>
            </w:r>
          </w:p>
        </w:tc>
        <w:tc>
          <w:tcPr>
            <w:tcW w:type="dxa" w:w="4705"/>
          </w:tcPr>
          <w:p>
            <w:pPr>
              <w:spacing w:after="20"/>
            </w:pPr>
            <w:r>
              <w:rPr>
                <w:rFonts w:ascii="Times New Roman" w:hAnsi="Times New Roman" w:eastAsia="宋体"/>
                <w:b w:val="0"/>
                <w:i w:val="0"/>
                <w:sz w:val="18"/>
              </w:rPr>
              <w:t>全场功率升至 2.75 MW，提升约 23%；GCH 与 CC 结果基本一致（均为 2.75 MW）</w:t>
            </w:r>
          </w:p>
        </w:tc>
      </w:tr>
    </w:tbl>
    <w:p>
      <w:pPr>
        <w:spacing w:after="40"/>
      </w:pPr>
    </w:p>
    <w:p>
      <w:pPr>
        <w:spacing w:after="100"/>
        <w:ind w:firstLine="0"/>
      </w:pPr>
      <w:r>
        <w:rPr>
          <w:rFonts w:ascii="Times New Roman" w:hAnsi="Times New Roman" w:eastAsia="宋体"/>
          <w:b w:val="0"/>
          <w:i w:val="0"/>
          <w:sz w:val="21"/>
        </w:rPr>
        <w:t>由此得到两条结论。其一，</w:t>
      </w:r>
      <w:r>
        <w:rPr>
          <w:rFonts w:ascii="Times New Roman" w:hAnsi="Times New Roman" w:eastAsia="宋体"/>
          <w:b/>
          <w:i w:val="0"/>
          <w:sz w:val="21"/>
        </w:rPr>
        <w:t>尾流完全覆盖与部分错开之间存在显著的功率跃迁，风向是对功率影响最敏感的因素之一</w:t>
      </w:r>
      <w:r>
        <w:rPr>
          <w:rFonts w:ascii="Times New Roman" w:hAnsi="Times New Roman" w:eastAsia="宋体"/>
          <w:b w:val="0"/>
          <w:i w:val="0"/>
          <w:sz w:val="21"/>
        </w:rPr>
        <w:t>，布局几何与风向的相对关系是数据中信息量最大的维度。其二，两套模型的差异主要体现在</w:t>
      </w:r>
      <w:r>
        <w:rPr>
          <w:rFonts w:ascii="Times New Roman" w:hAnsi="Times New Roman" w:eastAsia="宋体"/>
          <w:b/>
          <w:i w:val="0"/>
          <w:sz w:val="21"/>
        </w:rPr>
        <w:t>深层尾流的单机分配</w:t>
      </w:r>
      <w:r>
        <w:rPr>
          <w:rFonts w:ascii="Times New Roman" w:hAnsi="Times New Roman" w:eastAsia="宋体"/>
          <w:b w:val="0"/>
          <w:i w:val="0"/>
          <w:sz w:val="21"/>
        </w:rPr>
        <w:t>上：270° 工况下 GCH 预测第三台机损失重于第二台机（90.6% 对 82.4%），而 CC 预测第二台机损失更重（89.5% 对 80.7%），两者对深层尾流亏损在第二、三台机间的分配给出相反结论；但在全场总量层面两模型趋于一致。这一现象将作为后续对比建模时重点考察的对象。</w:t>
      </w:r>
    </w:p>
    <w:p>
      <w:pPr>
        <w:spacing w:before="120" w:after="40"/>
        <w:jc w:val="center"/>
      </w:pPr>
      <w:r>
        <w:drawing>
          <wp:inline xmlns:a="http://schemas.openxmlformats.org/drawingml/2006/main" xmlns:pic="http://schemas.openxmlformats.org/drawingml/2006/picture">
            <wp:extent cx="5220000" cy="3050849"/>
            <wp:docPr id="3" name="Picture 3"/>
            <wp:cNvGraphicFramePr>
              <a:graphicFrameLocks noChangeAspect="1"/>
            </wp:cNvGraphicFramePr>
            <a:graphic>
              <a:graphicData uri="http://schemas.openxmlformats.org/drawingml/2006/picture">
                <pic:pic>
                  <pic:nvPicPr>
                    <pic:cNvPr id="0" name="fig_wake_gch_cc.png"/>
                    <pic:cNvPicPr/>
                  </pic:nvPicPr>
                  <pic:blipFill>
                    <a:blip r:embed="rId11"/>
                    <a:stretch>
                      <a:fillRect/>
                    </a:stretch>
                  </pic:blipFill>
                  <pic:spPr>
                    <a:xfrm>
                      <a:off x="0" y="0"/>
                      <a:ext cx="5220000" cy="3050849"/>
                    </a:xfrm>
                    <a:prstGeom prst="rect"/>
                  </pic:spPr>
                </pic:pic>
              </a:graphicData>
            </a:graphic>
          </wp:inline>
        </w:drawing>
      </w:r>
    </w:p>
    <w:p>
      <w:pPr>
        <w:spacing w:before="0" w:after="160"/>
        <w:jc w:val="center"/>
      </w:pPr>
      <w:r>
        <w:rPr>
          <w:rFonts w:ascii="Times New Roman" w:hAnsi="Times New Roman" w:eastAsia="宋体"/>
          <w:color w:val="595959"/>
          <w:sz w:val="18"/>
        </w:rPr>
        <w:t>图3 GCH 与 CC 模型水平尾流云图对比（风速 8 m/s，湍流强度 0.06）</w:t>
      </w:r>
    </w:p>
    <w:p>
      <w:pPr>
        <w:pStyle w:val="Heading3"/>
      </w:pPr>
      <w:r>
        <w:rPr>
          <w:rFonts w:ascii="Times New Roman" w:hAnsi="Times New Roman" w:eastAsia="宋体"/>
          <w:b/>
          <w:i w:val="0"/>
          <w:sz w:val="24"/>
        </w:rPr>
        <w:t>3.7 可视化输出</w:t>
      </w:r>
    </w:p>
    <w:p>
      <w:pPr>
        <w:spacing w:after="100"/>
        <w:ind w:firstLine="0"/>
      </w:pPr>
      <w:r>
        <w:rPr>
          <w:rFonts w:ascii="Times New Roman" w:hAnsi="Times New Roman" w:eastAsia="宋体"/>
          <w:b w:val="0"/>
          <w:i w:val="0"/>
          <w:sz w:val="21"/>
        </w:rPr>
        <w:t>已生成风机布局图、机型功率/推力曲线图、高斯型尾流速度亏损剖面图，以及 270°/265° 风向下的 GCH 与 CC 水平尾流云图对比，用于结果核验与汇报展示。</w:t>
      </w:r>
    </w:p>
    <w:p>
      <w:pPr>
        <w:pStyle w:val="Heading2"/>
      </w:pPr>
      <w:r>
        <w:rPr>
          <w:rFonts w:ascii="Times New Roman" w:hAnsi="Times New Roman" w:eastAsia="宋体"/>
          <w:b/>
          <w:i w:val="0"/>
          <w:sz w:val="27"/>
        </w:rPr>
        <w:t>四、FLORIS 原理梳理</w:t>
      </w:r>
    </w:p>
    <w:p>
      <w:pPr>
        <w:pStyle w:val="Heading3"/>
      </w:pPr>
      <w:r>
        <w:rPr>
          <w:rFonts w:ascii="Times New Roman" w:hAnsi="Times New Roman" w:eastAsia="宋体"/>
          <w:b/>
          <w:i w:val="0"/>
          <w:sz w:val="24"/>
        </w:rPr>
        <w:t>4.1 单机气动的理论基础：叶素动量理论（BEM）</w:t>
      </w:r>
    </w:p>
    <w:p>
      <w:pPr>
        <w:spacing w:after="100"/>
        <w:ind w:firstLine="0"/>
      </w:pPr>
      <w:r>
        <w:rPr>
          <w:rFonts w:ascii="Times New Roman" w:hAnsi="Times New Roman" w:eastAsia="宋体"/>
          <w:b w:val="0"/>
          <w:i w:val="0"/>
          <w:sz w:val="21"/>
        </w:rPr>
        <w:t>FLORIS 不直接求解叶片绕流，其单机气动性能由</w:t>
      </w:r>
      <w:r>
        <w:rPr>
          <w:rFonts w:ascii="Times New Roman" w:hAnsi="Times New Roman" w:eastAsia="宋体"/>
          <w:b/>
          <w:i w:val="0"/>
          <w:sz w:val="21"/>
        </w:rPr>
        <w:t>叶素动量理论</w:t>
      </w:r>
      <w:r>
        <w:rPr>
          <w:rFonts w:ascii="Times New Roman" w:hAnsi="Times New Roman" w:eastAsia="宋体"/>
          <w:b w:val="0"/>
          <w:i w:val="0"/>
          <w:sz w:val="21"/>
        </w:rPr>
        <w:t>的计算结果（</w:t>
      </w:r>
      <m:oMath>
        <m:sSub>
          <m:e>
            <m:r>
              <m:t>C</m:t>
            </m:r>
          </m:e>
          <m:sub>
            <m:r>
              <m:t>P</m:t>
            </m:r>
          </m:sub>
        </m:sSub>
      </m:oMath>
      <w:r>
        <w:rPr>
          <w:rFonts w:ascii="Times New Roman" w:hAnsi="Times New Roman" w:eastAsia="宋体"/>
          <w:b w:val="0"/>
          <w:i w:val="0"/>
          <w:sz w:val="21"/>
        </w:rPr>
        <w:t>、</w:t>
      </w:r>
      <m:oMath>
        <m:sSub>
          <m:e>
            <m:r>
              <m:t>C</m:t>
            </m:r>
          </m:e>
          <m:sub>
            <m:r>
              <m:t>T</m:t>
            </m:r>
          </m:sub>
        </m:sSub>
      </m:oMath>
      <w:r>
        <w:rPr>
          <w:rFonts w:ascii="Times New Roman" w:hAnsi="Times New Roman" w:eastAsia="宋体"/>
          <w:b w:val="0"/>
          <w:i w:val="0"/>
          <w:sz w:val="21"/>
        </w:rPr>
        <w:t xml:space="preserve"> 曲线）预先给出。理解 BEM 是理解"风机在模型里以什么形式存在"的前提。</w:t>
      </w:r>
    </w:p>
    <w:p>
      <w:pPr>
        <w:spacing w:after="100"/>
        <w:ind w:firstLine="0"/>
      </w:pPr>
      <w:r>
        <w:rPr>
          <w:rFonts w:ascii="Times New Roman" w:hAnsi="Times New Roman" w:eastAsia="宋体"/>
          <w:b/>
          <w:i w:val="0"/>
          <w:sz w:val="21"/>
        </w:rPr>
        <w:t>动量理论</w:t>
      </w:r>
      <w:r>
        <w:rPr>
          <w:rFonts w:ascii="Times New Roman" w:hAnsi="Times New Roman" w:eastAsia="宋体"/>
          <w:b w:val="0"/>
          <w:i w:val="0"/>
          <w:sz w:val="21"/>
        </w:rPr>
        <w:t xml:space="preserve">将风轮视为吸收动量的致动盘。来流速度 </w:t>
      </w:r>
      <m:oMath>
        <m:sSub>
          <m:e>
            <m:r>
              <m:t>U</m:t>
            </m:r>
          </m:e>
          <m:sub>
            <m:r>
              <m:t>1</m:t>
            </m:r>
          </m:sub>
        </m:sSub>
      </m:oMath>
      <w:r>
        <w:rPr>
          <w:rFonts w:ascii="Times New Roman" w:hAnsi="Times New Roman" w:eastAsia="宋体"/>
          <w:b w:val="0"/>
          <w:i w:val="0"/>
          <w:sz w:val="21"/>
        </w:rPr>
        <w:t xml:space="preserve"> 经风轮后降低为 </w:t>
      </w:r>
      <m:oMath>
        <m:sSub>
          <m:e>
            <m:r>
              <m:t>U</m:t>
            </m:r>
          </m:e>
          <m:sub>
            <m:r>
              <m:t>4</m:t>
            </m:r>
          </m:sub>
        </m:sSub>
      </m:oMath>
      <w:r>
        <w:rPr>
          <w:rFonts w:ascii="Times New Roman" w:hAnsi="Times New Roman" w:eastAsia="宋体"/>
          <w:b w:val="0"/>
          <w:i w:val="0"/>
          <w:sz w:val="21"/>
        </w:rPr>
        <w:t xml:space="preserve">，风轮处速度 </w:t>
      </w:r>
      <m:oMath>
        <m:sSub>
          <m:e>
            <m:r>
              <m:t>U</m:t>
            </m:r>
          </m:e>
          <m:sub>
            <m:r>
              <m:t>2</m:t>
            </m:r>
          </m:sub>
        </m:sSub>
      </m:oMath>
      <w:r>
        <w:rPr>
          <w:rFonts w:ascii="Times New Roman" w:hAnsi="Times New Roman" w:eastAsia="宋体"/>
          <w:b w:val="0"/>
          <w:i w:val="0"/>
          <w:sz w:val="21"/>
        </w:rPr>
        <w:t xml:space="preserve"> 介于两者之间。引入轴向诱导因子 </w:t>
      </w:r>
      <m:oMath>
        <m:r>
          <m:t>a</m:t>
        </m:r>
      </m:oMath>
      <w:r>
        <w:rPr>
          <w:rFonts w:ascii="Times New Roman" w:hAnsi="Times New Roman" w:eastAsia="宋体"/>
          <w:b w:val="0"/>
          <w:i w:val="0"/>
          <w:sz w:val="21"/>
        </w:rPr>
        <w:t xml:space="preserve">，令 </w:t>
      </w:r>
      <m:oMath>
        <m:sSub>
          <m:e>
            <m:r>
              <m:t>U</m:t>
            </m:r>
          </m:e>
          <m:sub>
            <m:r>
              <m:t>2</m:t>
            </m:r>
          </m:sub>
        </m:sSub>
        <m:r>
          <m:t>=</m:t>
        </m:r>
        <m:sSub>
          <m:e>
            <m:r>
              <m:t>U</m:t>
            </m:r>
          </m:e>
          <m:sub>
            <m:r>
              <m:t>1</m:t>
            </m:r>
          </m:sub>
        </m:sSub>
        <m:r>
          <m:t>(1−a)</m:t>
        </m:r>
      </m:oMath>
      <w:r>
        <w:rPr>
          <w:rFonts w:ascii="Times New Roman" w:hAnsi="Times New Roman" w:eastAsia="宋体"/>
          <w:b w:val="0"/>
          <w:i w:val="0"/>
          <w:sz w:val="21"/>
        </w:rPr>
        <w:t>。对致动盘上下游应用动量方程与伯努利方程，可得风轮推力与功率：</w:t>
      </w:r>
    </w:p>
    <w:p>
      <w:pPr>
        <w:spacing w:before="100" w:after="100" w:line="276" w:lineRule="auto"/>
        <w:jc w:val="center"/>
      </w:pPr>
      <m:oMath>
        <m:r>
          <m:t>T=2ρA</m:t>
        </m:r>
        <m:sSubSup>
          <m:e>
            <m:r>
              <m:t>U</m:t>
            </m:r>
          </m:e>
          <m:sub>
            <m:r>
              <m:t>1</m:t>
            </m:r>
          </m:sub>
          <m:sup>
            <m:r>
              <m:t>2</m:t>
            </m:r>
          </m:sup>
        </m:sSubSup>
        <m:r>
          <m:t>a(1−a),</m:t>
        </m:r>
        <m:r>
          <m:t>P=2ρA</m:t>
        </m:r>
        <m:sSubSup>
          <m:e>
            <m:r>
              <m:t>U</m:t>
            </m:r>
          </m:e>
          <m:sub>
            <m:r>
              <m:t>1</m:t>
            </m:r>
          </m:sub>
          <m:sup>
            <m:r>
              <m:t>3</m:t>
            </m:r>
          </m:sup>
        </m:sSubSup>
        <m:r>
          <m:t>a(1−a</m:t>
        </m:r>
        <m:sSup>
          <m:e>
            <m:r>
              <m:t>)</m:t>
            </m:r>
          </m:e>
          <m:sup>
            <m:r>
              <m:t>2</m:t>
            </m:r>
          </m:sup>
        </m:sSup>
      </m:oMath>
    </w:p>
    <w:p>
      <w:pPr>
        <w:spacing w:after="100"/>
        <w:ind w:firstLine="0"/>
      </w:pPr>
      <w:r>
        <w:rPr>
          <w:rFonts w:ascii="Times New Roman" w:hAnsi="Times New Roman" w:eastAsia="宋体"/>
          <w:b w:val="0"/>
          <w:i w:val="0"/>
          <w:sz w:val="21"/>
        </w:rPr>
        <w:t xml:space="preserve">对功率表达式求极值可得功率系数上限 </w:t>
      </w:r>
      <m:oMath>
        <m:sSubSup>
          <m:e>
            <m:r>
              <m:t>C</m:t>
            </m:r>
          </m:e>
          <m:sub>
            <m:r>
              <m:t>P</m:t>
            </m:r>
          </m:sub>
          <m:sup>
            <m:r>
              <m:t>max</m:t>
            </m:r>
          </m:sup>
        </m:sSubSup>
        <m:r>
          <m:t>=16/27≈0.593</m:t>
        </m:r>
      </m:oMath>
      <w:r>
        <w:rPr>
          <w:rFonts w:ascii="Times New Roman" w:hAnsi="Times New Roman" w:eastAsia="宋体"/>
          <w:b w:val="0"/>
          <w:i w:val="0"/>
          <w:sz w:val="21"/>
        </w:rPr>
        <w:t>，即</w:t>
      </w:r>
      <w:r>
        <w:rPr>
          <w:rFonts w:ascii="Times New Roman" w:hAnsi="Times New Roman" w:eastAsia="宋体"/>
          <w:b/>
          <w:i w:val="0"/>
          <w:sz w:val="21"/>
        </w:rPr>
        <w:t>贝兹极限</w:t>
      </w:r>
      <w:r>
        <w:rPr>
          <w:rFonts w:ascii="Times New Roman" w:hAnsi="Times New Roman" w:eastAsia="宋体"/>
          <w:b w:val="0"/>
          <w:i w:val="0"/>
          <w:sz w:val="21"/>
        </w:rPr>
        <w:t>：无论风轮如何设计，风能利用效率不可能超过约 59.3%。</w:t>
      </w:r>
    </w:p>
    <w:p>
      <w:pPr>
        <w:spacing w:before="120" w:after="40"/>
        <w:jc w:val="center"/>
      </w:pPr>
      <w:r>
        <w:drawing>
          <wp:inline xmlns:a="http://schemas.openxmlformats.org/drawingml/2006/main" xmlns:pic="http://schemas.openxmlformats.org/drawingml/2006/picture">
            <wp:extent cx="5220000" cy="2325273"/>
            <wp:docPr id="4" name="Picture 4"/>
            <wp:cNvGraphicFramePr>
              <a:graphicFrameLocks noChangeAspect="1"/>
            </wp:cNvGraphicFramePr>
            <a:graphic>
              <a:graphicData uri="http://schemas.openxmlformats.org/drawingml/2006/picture">
                <pic:pic>
                  <pic:nvPicPr>
                    <pic:cNvPr id="0" name="fig_actuator_disk.png"/>
                    <pic:cNvPicPr/>
                  </pic:nvPicPr>
                  <pic:blipFill>
                    <a:blip r:embed="rId12"/>
                    <a:stretch>
                      <a:fillRect/>
                    </a:stretch>
                  </pic:blipFill>
                  <pic:spPr>
                    <a:xfrm>
                      <a:off x="0" y="0"/>
                      <a:ext cx="5220000" cy="2325273"/>
                    </a:xfrm>
                    <a:prstGeom prst="rect"/>
                  </pic:spPr>
                </pic:pic>
              </a:graphicData>
            </a:graphic>
          </wp:inline>
        </w:drawing>
      </w:r>
    </w:p>
    <w:p>
      <w:pPr>
        <w:spacing w:before="0" w:after="160"/>
        <w:jc w:val="center"/>
      </w:pPr>
      <w:r>
        <w:rPr>
          <w:rFonts w:ascii="Times New Roman" w:hAnsi="Times New Roman" w:eastAsia="宋体"/>
          <w:color w:val="595959"/>
          <w:sz w:val="18"/>
        </w:rPr>
        <w:t>图4 致动盘模型示意：风轮吸收动量，下游流速降低、流管扩张</w:t>
      </w:r>
    </w:p>
    <w:p>
      <w:pPr>
        <w:spacing w:after="100"/>
        <w:ind w:firstLine="0"/>
      </w:pPr>
      <w:r>
        <w:rPr>
          <w:rFonts w:ascii="Times New Roman" w:hAnsi="Times New Roman" w:eastAsia="宋体"/>
          <w:b/>
          <w:i w:val="0"/>
          <w:sz w:val="21"/>
        </w:rPr>
        <w:t>叶素理论</w:t>
      </w:r>
      <w:r>
        <w:rPr>
          <w:rFonts w:ascii="Times New Roman" w:hAnsi="Times New Roman" w:eastAsia="宋体"/>
          <w:b w:val="0"/>
          <w:i w:val="0"/>
          <w:sz w:val="21"/>
        </w:rPr>
        <w:t xml:space="preserve">将叶片沿展向离散为若干叶素，每段视为独立二维翼型，根据当地入流角计算升力与阻力，再沿展向积分得到整支叶片的气动力。BEM 将两者联立，迭代求解轴向诱导因子 </w:t>
      </w:r>
      <m:oMath>
        <m:r>
          <m:t>a</m:t>
        </m:r>
      </m:oMath>
      <w:r>
        <w:rPr>
          <w:rFonts w:ascii="Times New Roman" w:hAnsi="Times New Roman" w:eastAsia="宋体"/>
          <w:b w:val="0"/>
          <w:i w:val="0"/>
          <w:sz w:val="21"/>
        </w:rPr>
        <w:t xml:space="preserve"> 与切向诱导因子 </w:t>
      </w:r>
      <m:oMath>
        <m:sSup>
          <m:e>
            <m:r>
              <m:t>a</m:t>
            </m:r>
          </m:e>
          <m:sup>
            <m:r>
              <m:t>′</m:t>
            </m:r>
          </m:sup>
        </m:sSup>
      </m:oMath>
      <w:r>
        <w:rPr>
          <w:rFonts w:ascii="Times New Roman" w:hAnsi="Times New Roman" w:eastAsia="宋体"/>
          <w:b w:val="0"/>
          <w:i w:val="0"/>
          <w:sz w:val="21"/>
        </w:rPr>
        <w:t xml:space="preserve">，直至动量方程与叶素受力方程自洽，最终得到 </w:t>
      </w:r>
      <m:oMath>
        <m:sSub>
          <m:e>
            <m:r>
              <m:t>C</m:t>
            </m:r>
          </m:e>
          <m:sub>
            <m:r>
              <m:t>T</m:t>
            </m:r>
          </m:sub>
        </m:sSub>
      </m:oMath>
      <w:r>
        <w:rPr>
          <w:rFonts w:ascii="Times New Roman" w:hAnsi="Times New Roman" w:eastAsia="宋体"/>
          <w:b w:val="0"/>
          <w:i w:val="0"/>
          <w:sz w:val="21"/>
        </w:rPr>
        <w:t>、</w:t>
      </w:r>
      <m:oMath>
        <m:sSub>
          <m:e>
            <m:r>
              <m:t>C</m:t>
            </m:r>
          </m:e>
          <m:sub>
            <m:r>
              <m:t>P</m:t>
            </m:r>
          </m:sub>
        </m:sSub>
      </m:oMath>
      <w:r>
        <w:rPr>
          <w:rFonts w:ascii="Times New Roman" w:hAnsi="Times New Roman" w:eastAsia="宋体"/>
          <w:b w:val="0"/>
          <w:i w:val="0"/>
          <w:sz w:val="21"/>
        </w:rPr>
        <w:t xml:space="preserve"> 随风速的变化曲线。</w:t>
      </w:r>
    </w:p>
    <w:p>
      <w:pPr>
        <w:spacing w:after="100"/>
        <w:ind w:firstLine="0"/>
      </w:pPr>
      <w:r>
        <w:rPr>
          <w:rFonts w:ascii="Times New Roman" w:hAnsi="Times New Roman" w:eastAsia="宋体"/>
          <w:b w:val="0"/>
          <w:i w:val="0"/>
          <w:sz w:val="21"/>
        </w:rPr>
        <w:t>BEM 建立在定常、无粘、叶素独立等假设之上，工程应用需引入 Prandtl 叶尖与轮毂损失修正以及失速经验修正。</w:t>
      </w:r>
    </w:p>
    <w:p>
      <w:pPr>
        <w:spacing w:after="100"/>
        <w:ind w:firstLine="0"/>
      </w:pPr>
      <w:r>
        <w:rPr>
          <w:rFonts w:ascii="Times New Roman" w:hAnsi="Times New Roman" w:eastAsia="宋体"/>
          <w:b/>
          <w:i w:val="0"/>
          <w:sz w:val="21"/>
        </w:rPr>
        <w:t>对本工作的意义</w:t>
      </w:r>
      <w:r>
        <w:rPr>
          <w:rFonts w:ascii="Times New Roman" w:hAnsi="Times New Roman" w:eastAsia="宋体"/>
          <w:b w:val="0"/>
          <w:i w:val="0"/>
          <w:sz w:val="21"/>
        </w:rPr>
        <w:t>：FLORIS 把单机气动细节与场级尾流耦合</w:t>
      </w:r>
      <w:r>
        <w:rPr>
          <w:rFonts w:ascii="Times New Roman" w:hAnsi="Times New Roman" w:eastAsia="宋体"/>
          <w:b/>
          <w:i w:val="0"/>
          <w:sz w:val="21"/>
        </w:rPr>
        <w:t>解耦</w:t>
      </w:r>
      <w:r>
        <w:rPr>
          <w:rFonts w:ascii="Times New Roman" w:hAnsi="Times New Roman" w:eastAsia="宋体"/>
          <w:b w:val="0"/>
          <w:i w:val="0"/>
          <w:sz w:val="21"/>
        </w:rPr>
        <w:t>——风轮对气流的动量吸收按致动盘处理，具体气动性能直接查曲线。这种分层做法是 FLORIS 达到毫秒级计算速度的关键。</w:t>
      </w:r>
    </w:p>
    <w:p>
      <w:pPr>
        <w:pStyle w:val="Heading3"/>
      </w:pPr>
      <w:r>
        <w:rPr>
          <w:rFonts w:ascii="Times New Roman" w:hAnsi="Times New Roman" w:eastAsia="宋体"/>
          <w:b/>
          <w:i w:val="0"/>
          <w:sz w:val="24"/>
        </w:rPr>
        <w:t>4.2 计算流程：三层结构</w:t>
      </w:r>
    </w:p>
    <w:p>
      <w:pPr>
        <w:spacing w:after="100"/>
        <w:ind w:firstLine="0"/>
      </w:pPr>
      <w:r>
        <w:rPr>
          <w:rFonts w:ascii="Times New Roman" w:hAnsi="Times New Roman" w:eastAsia="宋体"/>
          <w:b w:val="0"/>
          <w:i w:val="0"/>
          <w:sz w:val="21"/>
        </w:rPr>
        <w:t>FLORIS 是稳态工程级风电场仿真框架，计算流程分三层。</w:t>
      </w:r>
    </w:p>
    <w:p>
      <w:pPr>
        <w:spacing w:after="100"/>
        <w:ind w:firstLine="0"/>
      </w:pPr>
      <w:r>
        <w:rPr>
          <w:rFonts w:ascii="Times New Roman" w:hAnsi="Times New Roman" w:eastAsia="宋体"/>
          <w:b/>
          <w:i w:val="0"/>
          <w:sz w:val="21"/>
        </w:rPr>
        <w:t>第一层，风机模型</w:t>
      </w:r>
      <w:r>
        <w:rPr>
          <w:rFonts w:ascii="Times New Roman" w:hAnsi="Times New Roman" w:eastAsia="宋体"/>
          <w:b w:val="0"/>
          <w:i w:val="0"/>
          <w:sz w:val="21"/>
        </w:rPr>
        <w:t xml:space="preserve">：每台风轮按致动盘处理，气动性能由 </w:t>
      </w:r>
      <m:oMath>
        <m:sSub>
          <m:e>
            <m:r>
              <m:t>C</m:t>
            </m:r>
          </m:e>
          <m:sub>
            <m:r>
              <m:t>P</m:t>
            </m:r>
          </m:sub>
        </m:sSub>
      </m:oMath>
      <w:r>
        <w:rPr>
          <w:rFonts w:ascii="Times New Roman" w:hAnsi="Times New Roman" w:eastAsia="宋体"/>
          <w:b w:val="0"/>
          <w:i w:val="0"/>
          <w:sz w:val="21"/>
        </w:rPr>
        <w:t xml:space="preserve"> 与 </w:t>
      </w:r>
      <m:oMath>
        <m:sSub>
          <m:e>
            <m:r>
              <m:t>C</m:t>
            </m:r>
          </m:e>
          <m:sub>
            <m:r>
              <m:t>T</m:t>
            </m:r>
          </m:sub>
        </m:sSub>
      </m:oMath>
      <w:r>
        <w:rPr>
          <w:rFonts w:ascii="Times New Roman" w:hAnsi="Times New Roman" w:eastAsia="宋体"/>
          <w:b w:val="0"/>
          <w:i w:val="0"/>
          <w:sz w:val="21"/>
        </w:rPr>
        <w:t xml:space="preserve"> 曲线完全描述。</w:t>
      </w:r>
    </w:p>
    <w:p>
      <w:pPr>
        <w:spacing w:after="100"/>
        <w:ind w:firstLine="0"/>
      </w:pPr>
      <w:r>
        <w:rPr>
          <w:rFonts w:ascii="Times New Roman" w:hAnsi="Times New Roman" w:eastAsia="宋体"/>
          <w:b/>
          <w:i w:val="0"/>
          <w:sz w:val="21"/>
        </w:rPr>
        <w:t>第二层，尾流模型</w:t>
      </w:r>
      <w:r>
        <w:rPr>
          <w:rFonts w:ascii="Times New Roman" w:hAnsi="Times New Roman" w:eastAsia="宋体"/>
          <w:b w:val="0"/>
          <w:i w:val="0"/>
          <w:sz w:val="21"/>
        </w:rPr>
        <w:t>：描述单机尾流场，包含四个部分。</w:t>
      </w:r>
    </w:p>
    <w:p>
      <w:pPr>
        <w:pStyle w:val="ListBullet"/>
        <w:spacing w:after="40" w:line="288" w:lineRule="auto"/>
        <w:ind w:left="425"/>
      </w:pPr>
      <w:r>
        <w:rPr>
          <w:rFonts w:ascii="Times New Roman" w:hAnsi="Times New Roman" w:eastAsia="宋体"/>
          <w:b/>
          <w:i w:val="0"/>
          <w:sz w:val="21"/>
        </w:rPr>
        <w:t>近尾流初始化</w:t>
      </w:r>
      <w:r>
        <w:rPr>
          <w:rFonts w:ascii="Times New Roman" w:hAnsi="Times New Roman" w:eastAsia="宋体"/>
          <w:b w:val="0"/>
          <w:i w:val="0"/>
          <w:sz w:val="21"/>
        </w:rPr>
        <w:t>：确定风轮下游紧邻区域的初始速度亏损；</w:t>
      </w:r>
    </w:p>
    <w:p>
      <w:pPr>
        <w:pStyle w:val="ListBullet"/>
        <w:spacing w:after="40" w:line="288" w:lineRule="auto"/>
        <w:ind w:left="425"/>
      </w:pPr>
      <w:r>
        <w:rPr>
          <w:rFonts w:ascii="Times New Roman" w:hAnsi="Times New Roman" w:eastAsia="宋体"/>
          <w:b/>
          <w:i w:val="0"/>
          <w:sz w:val="21"/>
        </w:rPr>
        <w:t>远尾流演化</w:t>
      </w:r>
      <w:r>
        <w:rPr>
          <w:rFonts w:ascii="Times New Roman" w:hAnsi="Times New Roman" w:eastAsia="宋体"/>
          <w:b w:val="0"/>
          <w:i w:val="0"/>
          <w:sz w:val="21"/>
        </w:rPr>
        <w:t>：速度亏损沿横向呈高斯分布，中心亏损深度随距离衰减、特征宽度随距离扩张，反映尾流与周围大气的动量交换；</w:t>
      </w:r>
    </w:p>
    <w:p>
      <w:pPr>
        <w:pStyle w:val="ListBullet"/>
        <w:spacing w:after="40" w:line="288" w:lineRule="auto"/>
        <w:ind w:left="425"/>
      </w:pPr>
      <w:r>
        <w:rPr>
          <w:rFonts w:ascii="Times New Roman" w:hAnsi="Times New Roman" w:eastAsia="宋体"/>
          <w:b/>
          <w:i w:val="0"/>
          <w:sz w:val="21"/>
        </w:rPr>
        <w:t>偏转模型</w:t>
      </w:r>
      <w:r>
        <w:rPr>
          <w:rFonts w:ascii="Times New Roman" w:hAnsi="Times New Roman" w:eastAsia="宋体"/>
          <w:b w:val="0"/>
          <w:i w:val="0"/>
          <w:sz w:val="21"/>
        </w:rPr>
        <w:t>：刻画偏航或地面效应导致的尾流中心线横向偏移；</w:t>
      </w:r>
    </w:p>
    <w:p>
      <w:pPr>
        <w:pStyle w:val="ListBullet"/>
        <w:spacing w:after="40" w:line="288" w:lineRule="auto"/>
        <w:ind w:left="425"/>
      </w:pPr>
      <w:r>
        <w:rPr>
          <w:rFonts w:ascii="Times New Roman" w:hAnsi="Times New Roman" w:eastAsia="宋体"/>
          <w:b/>
          <w:i w:val="0"/>
          <w:sz w:val="21"/>
        </w:rPr>
        <w:t>湍流混合模型</w:t>
      </w:r>
      <w:r>
        <w:rPr>
          <w:rFonts w:ascii="Times New Roman" w:hAnsi="Times New Roman" w:eastAsia="宋体"/>
          <w:b w:val="0"/>
          <w:i w:val="0"/>
          <w:sz w:val="21"/>
        </w:rPr>
        <w:t>：描述环境湍流对尾流恢复速率的影响。</w:t>
      </w:r>
    </w:p>
    <w:p>
      <w:pPr>
        <w:spacing w:before="120" w:after="40"/>
        <w:jc w:val="center"/>
      </w:pPr>
      <w:r>
        <w:drawing>
          <wp:inline xmlns:a="http://schemas.openxmlformats.org/drawingml/2006/main" xmlns:pic="http://schemas.openxmlformats.org/drawingml/2006/picture">
            <wp:extent cx="5220000" cy="2580674"/>
            <wp:docPr id="5" name="Picture 5"/>
            <wp:cNvGraphicFramePr>
              <a:graphicFrameLocks noChangeAspect="1"/>
            </wp:cNvGraphicFramePr>
            <a:graphic>
              <a:graphicData uri="http://schemas.openxmlformats.org/drawingml/2006/picture">
                <pic:pic>
                  <pic:nvPicPr>
                    <pic:cNvPr id="0" name="fig_gauss_profile.png"/>
                    <pic:cNvPicPr/>
                  </pic:nvPicPr>
                  <pic:blipFill>
                    <a:blip r:embed="rId13"/>
                    <a:stretch>
                      <a:fillRect/>
                    </a:stretch>
                  </pic:blipFill>
                  <pic:spPr>
                    <a:xfrm>
                      <a:off x="0" y="0"/>
                      <a:ext cx="5220000" cy="2580674"/>
                    </a:xfrm>
                    <a:prstGeom prst="rect"/>
                  </pic:spPr>
                </pic:pic>
              </a:graphicData>
            </a:graphic>
          </wp:inline>
        </w:drawing>
      </w:r>
    </w:p>
    <w:p>
      <w:pPr>
        <w:spacing w:before="0" w:after="160"/>
        <w:jc w:val="center"/>
      </w:pPr>
      <w:r>
        <w:rPr>
          <w:rFonts w:ascii="Times New Roman" w:hAnsi="Times New Roman" w:eastAsia="宋体"/>
          <w:color w:val="595959"/>
          <w:sz w:val="18"/>
        </w:rPr>
        <w:t>图5 高斯型尾流速度亏损剖面（FLORIS 计算生成）</w:t>
      </w:r>
    </w:p>
    <w:p>
      <w:pPr>
        <w:spacing w:after="100"/>
        <w:ind w:firstLine="0"/>
      </w:pPr>
      <w:r>
        <w:rPr>
          <w:rFonts w:ascii="Times New Roman" w:hAnsi="Times New Roman" w:eastAsia="宋体"/>
          <w:b/>
          <w:i w:val="0"/>
          <w:sz w:val="21"/>
        </w:rPr>
        <w:t>第三层，风电场模型</w:t>
      </w:r>
      <w:r>
        <w:rPr>
          <w:rFonts w:ascii="Times New Roman" w:hAnsi="Times New Roman" w:eastAsia="宋体"/>
          <w:b w:val="0"/>
          <w:i w:val="0"/>
          <w:sz w:val="21"/>
        </w:rPr>
        <w:t>：将多机尾流叠加得到全场速度场。FLORIS 采用</w:t>
      </w:r>
      <w:r>
        <w:rPr>
          <w:rFonts w:ascii="Times New Roman" w:hAnsi="Times New Roman" w:eastAsia="宋体"/>
          <w:b/>
          <w:i w:val="0"/>
          <w:sz w:val="21"/>
        </w:rPr>
        <w:t>平方和（sum of squares）</w:t>
      </w:r>
      <w:r>
        <w:rPr>
          <w:rFonts w:ascii="Times New Roman" w:hAnsi="Times New Roman" w:eastAsia="宋体"/>
          <w:b w:val="0"/>
          <w:i w:val="0"/>
          <w:sz w:val="21"/>
        </w:rPr>
        <w:t>策略，该策略避免了对高斯亏损的简单线性叠加造成过度亏损。</w:t>
      </w:r>
    </w:p>
    <w:p>
      <w:pPr>
        <w:pStyle w:val="Heading3"/>
      </w:pPr>
      <w:r>
        <w:rPr>
          <w:rFonts w:ascii="Times New Roman" w:hAnsi="Times New Roman" w:eastAsia="宋体"/>
          <w:b/>
          <w:i w:val="0"/>
          <w:sz w:val="24"/>
        </w:rPr>
        <w:t>4.3 两套尾流模型的机理差别</w:t>
      </w:r>
    </w:p>
    <w:p>
      <w:pPr>
        <w:spacing w:after="100"/>
        <w:ind w:firstLine="0"/>
      </w:pPr>
      <w:r>
        <w:rPr>
          <w:rFonts w:ascii="Times New Roman" w:hAnsi="Times New Roman" w:eastAsia="宋体"/>
          <w:b w:val="0"/>
          <w:i w:val="0"/>
          <w:sz w:val="21"/>
        </w:rPr>
        <w:t>GCH 与 CC 均建立在高斯尾流框架之上，区别在于尾流细节的刻画方式。</w:t>
      </w:r>
    </w:p>
    <w:p>
      <w:pPr>
        <w:pStyle w:val="ListBullet"/>
        <w:spacing w:after="40" w:line="288" w:lineRule="auto"/>
        <w:ind w:left="425"/>
      </w:pPr>
      <w:r>
        <w:rPr>
          <w:rFonts w:ascii="Times New Roman" w:hAnsi="Times New Roman" w:eastAsia="宋体"/>
          <w:b/>
          <w:i w:val="0"/>
          <w:sz w:val="21"/>
        </w:rPr>
        <w:t>GCH</w:t>
      </w:r>
      <w:r>
        <w:rPr>
          <w:rFonts w:ascii="Times New Roman" w:hAnsi="Times New Roman" w:eastAsia="宋体"/>
          <w:b w:val="0"/>
          <w:i w:val="0"/>
          <w:sz w:val="21"/>
        </w:rPr>
        <w:t xml:space="preserve"> 在高斯亏损轮廓上</w:t>
      </w:r>
      <w:r>
        <w:rPr>
          <w:rFonts w:ascii="Times New Roman" w:hAnsi="Times New Roman" w:eastAsia="宋体"/>
          <w:b/>
          <w:i w:val="0"/>
          <w:sz w:val="21"/>
        </w:rPr>
        <w:t>叠加涡旋修正</w:t>
      </w:r>
      <w:r>
        <w:rPr>
          <w:rFonts w:ascii="Times New Roman" w:hAnsi="Times New Roman" w:eastAsia="宋体"/>
          <w:b w:val="0"/>
          <w:i w:val="0"/>
          <w:sz w:val="21"/>
        </w:rPr>
        <w:t>，引入垂直于流向的横向速度分量表征尾流的旋转与偏转，能够反映偏航引起的尾流弯曲。</w:t>
      </w:r>
    </w:p>
    <w:p>
      <w:pPr>
        <w:pStyle w:val="ListBullet"/>
        <w:spacing w:after="40" w:line="288" w:lineRule="auto"/>
        <w:ind w:left="425"/>
      </w:pPr>
      <w:r>
        <w:rPr>
          <w:rFonts w:ascii="Times New Roman" w:hAnsi="Times New Roman" w:eastAsia="宋体"/>
          <w:b/>
          <w:i w:val="0"/>
          <w:sz w:val="21"/>
        </w:rPr>
        <w:t>CC</w:t>
      </w:r>
      <w:r>
        <w:rPr>
          <w:rFonts w:ascii="Times New Roman" w:hAnsi="Times New Roman" w:eastAsia="宋体"/>
          <w:b w:val="0"/>
          <w:i w:val="0"/>
          <w:sz w:val="21"/>
        </w:rPr>
        <w:t xml:space="preserve"> 引入</w:t>
      </w:r>
      <w:r>
        <w:rPr>
          <w:rFonts w:ascii="Times New Roman" w:hAnsi="Times New Roman" w:eastAsia="宋体"/>
          <w:b/>
          <w:i w:val="0"/>
          <w:sz w:val="21"/>
        </w:rPr>
        <w:t>涡度输运方程</w:t>
      </w:r>
      <w:r>
        <w:rPr>
          <w:rFonts w:ascii="Times New Roman" w:hAnsi="Times New Roman" w:eastAsia="宋体"/>
          <w:b w:val="0"/>
          <w:i w:val="0"/>
          <w:sz w:val="21"/>
        </w:rPr>
        <w:t>，将尾流视为沿下游累积演化的涡量场，更准确地描述尾流变形与多机叠加后的深层尾流结构。</w:t>
      </w:r>
    </w:p>
    <w:p>
      <w:pPr>
        <w:pStyle w:val="Heading3"/>
      </w:pPr>
      <w:r>
        <w:rPr>
          <w:rFonts w:ascii="Times New Roman" w:hAnsi="Times New Roman" w:eastAsia="宋体"/>
          <w:b/>
          <w:i w:val="0"/>
          <w:sz w:val="24"/>
        </w:rPr>
        <w:t>4.4 三条重要认识</w:t>
      </w:r>
    </w:p>
    <w:p>
      <w:pPr>
        <w:spacing w:after="100"/>
        <w:ind w:firstLine="0"/>
      </w:pPr>
      <w:r>
        <w:rPr>
          <w:rFonts w:ascii="Times New Roman" w:hAnsi="Times New Roman" w:eastAsia="宋体"/>
          <w:b/>
          <w:i w:val="0"/>
          <w:sz w:val="21"/>
        </w:rPr>
        <w:t>认识一：叠加是策略，不是物理。</w:t>
      </w:r>
      <w:r>
        <w:rPr>
          <w:rFonts w:ascii="Times New Roman" w:hAnsi="Times New Roman" w:eastAsia="宋体"/>
          <w:b w:val="0"/>
          <w:i w:val="0"/>
          <w:sz w:val="21"/>
        </w:rPr>
        <w:t xml:space="preserve"> 解析模型必须人为规定多机尾流的叠加规则（如平方和），这是解析框架的固有近似。相比之下，CFD 中不存在"叠加"这一步，耦合由动量方程自动产生。这一差别是后续用高保真结果校核解析模型时最需要关注的环节，也解释了 3.6 节中 GCH 与 CC 在深层尾流分配上出现相反结论的现象——</w:t>
      </w:r>
      <w:r>
        <w:rPr>
          <w:rFonts w:ascii="Times New Roman" w:hAnsi="Times New Roman" w:eastAsia="宋体"/>
          <w:b/>
          <w:i w:val="0"/>
          <w:sz w:val="21"/>
        </w:rPr>
        <w:t>该差异属于建模假设层面的差异，而非数值错误</w:t>
      </w:r>
      <w:r>
        <w:rPr>
          <w:rFonts w:ascii="Times New Roman" w:hAnsi="Times New Roman" w:eastAsia="宋体"/>
          <w:b w:val="0"/>
          <w:i w:val="0"/>
          <w:sz w:val="21"/>
        </w:rPr>
        <w:t>。</w:t>
      </w:r>
    </w:p>
    <w:p>
      <w:pPr>
        <w:spacing w:after="100"/>
        <w:ind w:firstLine="0"/>
      </w:pPr>
      <w:r>
        <w:rPr>
          <w:rFonts w:ascii="Times New Roman" w:hAnsi="Times New Roman" w:eastAsia="宋体"/>
          <w:b/>
          <w:i w:val="0"/>
          <w:sz w:val="21"/>
        </w:rPr>
        <w:t>认识二：湍流强度通过影响尾流恢复速率起作用。</w:t>
      </w:r>
      <w:r>
        <w:rPr>
          <w:rFonts w:ascii="Times New Roman" w:hAnsi="Times New Roman" w:eastAsia="宋体"/>
          <w:b w:val="0"/>
          <w:i w:val="0"/>
          <w:sz w:val="21"/>
        </w:rPr>
        <w:t xml:space="preserve"> 湍流越强，尾流与自由来流混合越快、亏损恢复越快、下游风速越高、功率越高。这条链与本工作数据中"全场功率随 TI 增大而增大"的观测完全一致。</w:t>
      </w:r>
    </w:p>
    <w:p>
      <w:pPr>
        <w:spacing w:after="100"/>
        <w:ind w:firstLine="0"/>
      </w:pPr>
      <w:r>
        <w:rPr>
          <w:rFonts w:ascii="Times New Roman" w:hAnsi="Times New Roman" w:eastAsia="宋体"/>
          <w:b/>
          <w:i w:val="0"/>
          <w:sz w:val="21"/>
        </w:rPr>
        <w:t>认识三：数据天然携带物理规律。</w:t>
      </w:r>
      <w:r>
        <w:rPr>
          <w:rFonts w:ascii="Times New Roman" w:hAnsi="Times New Roman" w:eastAsia="宋体"/>
          <w:b w:val="0"/>
          <w:i w:val="0"/>
          <w:sz w:val="21"/>
        </w:rPr>
        <w:t xml:space="preserve"> 训练数据由解析尾流方程、致动盘动量近似与叠加策略生成，物理规律以模型形式固化为数据，每条样本均基于动量理论的工程近似与解析尾流演化关系，因此数据-物理融合在</w:t>
      </w:r>
      <w:r>
        <w:rPr>
          <w:rFonts w:ascii="Times New Roman" w:hAnsi="Times New Roman" w:eastAsia="宋体"/>
          <w:b/>
          <w:i w:val="0"/>
          <w:sz w:val="21"/>
        </w:rPr>
        <w:t>数据层面</w:t>
      </w:r>
      <w:r>
        <w:rPr>
          <w:rFonts w:ascii="Times New Roman" w:hAnsi="Times New Roman" w:eastAsia="宋体"/>
          <w:b w:val="0"/>
          <w:i w:val="0"/>
          <w:sz w:val="21"/>
        </w:rPr>
        <w:t>已经成立。</w:t>
      </w:r>
    </w:p>
    <w:p>
      <w:pPr>
        <w:pStyle w:val="Heading2"/>
      </w:pPr>
      <w:r>
        <w:rPr>
          <w:rFonts w:ascii="Times New Roman" w:hAnsi="Times New Roman" w:eastAsia="宋体"/>
          <w:b/>
          <w:i w:val="0"/>
          <w:sz w:val="27"/>
        </w:rPr>
        <w:t>五、Fluent 原理梳理</w:t>
      </w:r>
    </w:p>
    <w:p>
      <w:pPr>
        <w:spacing w:after="100"/>
        <w:ind w:firstLine="0"/>
      </w:pPr>
      <w:r>
        <w:rPr>
          <w:rFonts w:ascii="Times New Roman" w:hAnsi="Times New Roman" w:eastAsia="宋体"/>
          <w:b w:val="0"/>
          <w:i w:val="0"/>
          <w:sz w:val="21"/>
        </w:rPr>
        <w:t>Fluent 路线回答的是一个更基础的问题：</w:t>
      </w:r>
      <w:r>
        <w:rPr>
          <w:rFonts w:ascii="Times New Roman" w:hAnsi="Times New Roman" w:eastAsia="宋体"/>
          <w:b/>
          <w:i w:val="0"/>
          <w:sz w:val="21"/>
        </w:rPr>
        <w:t>把风速输进 Fluent，它凭什么能算出一台风机会发多少电？</w:t>
      </w:r>
      <w:r>
        <w:rPr>
          <w:rFonts w:ascii="Times New Roman" w:hAnsi="Times New Roman" w:eastAsia="宋体"/>
          <w:b w:val="0"/>
          <w:i w:val="0"/>
          <w:sz w:val="21"/>
        </w:rPr>
        <w:t xml:space="preserve"> 本工作梳理出一条从最基础假设到功率数字的完整推导链，并建立了误差归因框架，为后续高保真验证提供理论依据。</w:t>
      </w:r>
    </w:p>
    <w:p>
      <w:pPr>
        <w:pStyle w:val="Heading3"/>
      </w:pPr>
      <w:r>
        <w:rPr>
          <w:rFonts w:ascii="Times New Roman" w:hAnsi="Times New Roman" w:eastAsia="宋体"/>
          <w:b/>
          <w:i w:val="0"/>
          <w:sz w:val="24"/>
        </w:rPr>
        <w:t>5.1 基本假设与控制方程</w:t>
      </w:r>
    </w:p>
    <w:p>
      <w:pPr>
        <w:spacing w:after="100"/>
        <w:ind w:firstLine="0"/>
      </w:pPr>
      <w:r>
        <w:rPr>
          <w:rFonts w:ascii="Times New Roman" w:hAnsi="Times New Roman" w:eastAsia="宋体"/>
          <w:b/>
          <w:i w:val="0"/>
          <w:sz w:val="21"/>
        </w:rPr>
        <w:t>连续介质假设</w:t>
      </w:r>
      <w:r>
        <w:rPr>
          <w:rFonts w:ascii="Times New Roman" w:hAnsi="Times New Roman" w:eastAsia="宋体"/>
          <w:b w:val="0"/>
          <w:i w:val="0"/>
          <w:sz w:val="21"/>
        </w:rPr>
        <w:t xml:space="preserve">：不描述分子，而描述"足够大的一小块"。判据为克努森数 </w:t>
      </w:r>
      <m:oMath>
        <m:r>
          <m:t>Kn=λ/L</m:t>
        </m:r>
      </m:oMath>
      <w:r>
        <w:rPr>
          <w:rFonts w:ascii="Times New Roman" w:hAnsi="Times New Roman" w:eastAsia="宋体"/>
          <w:b w:val="0"/>
          <w:i w:val="0"/>
          <w:sz w:val="21"/>
        </w:rPr>
        <w:t xml:space="preserve">，经验判据是 </w:t>
      </w:r>
      <m:oMath>
        <m:r>
          <m:t>Kn&lt;0.01</m:t>
        </m:r>
      </m:oMath>
      <w:r>
        <w:rPr>
          <w:rFonts w:ascii="Times New Roman" w:hAnsi="Times New Roman" w:eastAsia="宋体"/>
          <w:b w:val="0"/>
          <w:i w:val="0"/>
          <w:sz w:val="21"/>
        </w:rPr>
        <w:t xml:space="preserve"> 时成立。本项目取特征长度 </w:t>
      </w:r>
      <m:oMath>
        <m:r>
          <m:t>L=126</m:t>
        </m:r>
      </m:oMath>
      <w:r>
        <w:rPr>
          <w:rFonts w:ascii="Times New Roman" w:hAnsi="Times New Roman" w:eastAsia="宋体"/>
          <w:b w:val="0"/>
          <w:i w:val="0"/>
          <w:sz w:val="21"/>
        </w:rPr>
        <w:t xml:space="preserve"> m（风轮直径）：</w:t>
      </w:r>
    </w:p>
    <w:p>
      <w:pPr>
        <w:spacing w:before="100" w:after="100" w:line="276" w:lineRule="auto"/>
        <w:jc w:val="center"/>
      </w:pPr>
      <m:oMath>
        <m:r>
          <m:t>Kn=</m:t>
        </m:r>
        <m:f>
          <m:fPr>
            <m:type m:val="bar"/>
          </m:fPr>
          <m:num>
            <m:r>
              <m:t>6.8×</m:t>
            </m:r>
            <m:sSup>
              <m:e>
                <m:r>
                  <m:t>10</m:t>
                </m:r>
              </m:e>
              <m:sup>
                <m:r>
                  <m:t>−8</m:t>
                </m:r>
              </m:sup>
            </m:sSup>
          </m:num>
          <m:den>
            <m:r>
              <m:t>126</m:t>
            </m:r>
          </m:den>
        </m:f>
        <m:r>
          <m:t>≈5.4×</m:t>
        </m:r>
        <m:sSup>
          <m:e>
            <m:r>
              <m:t>10</m:t>
            </m:r>
          </m:e>
          <m:sup>
            <m:r>
              <m:t>−10</m:t>
            </m:r>
          </m:sup>
        </m:sSup>
      </m:oMath>
    </w:p>
    <w:p>
      <w:pPr>
        <w:spacing w:after="100"/>
        <w:ind w:firstLine="0"/>
      </w:pPr>
      <w:r>
        <w:rPr>
          <w:rFonts w:ascii="Times New Roman" w:hAnsi="Times New Roman" w:eastAsia="宋体"/>
          <w:b w:val="0"/>
          <w:i w:val="0"/>
          <w:sz w:val="21"/>
        </w:rPr>
        <w:t>小了七个数量级，因此把空气当连续介质处理毫无问题。另有牛顿流体假设与斯托克斯假设，二者在低马赫数下误差可忽略。</w:t>
      </w:r>
    </w:p>
    <w:p>
      <w:pPr>
        <w:spacing w:after="100"/>
        <w:ind w:firstLine="0"/>
      </w:pPr>
      <w:r>
        <w:rPr>
          <w:rFonts w:ascii="Times New Roman" w:hAnsi="Times New Roman" w:eastAsia="宋体"/>
          <w:b/>
          <w:i w:val="0"/>
          <w:sz w:val="21"/>
        </w:rPr>
        <w:t>连续性方程</w:t>
      </w:r>
      <w:r>
        <w:rPr>
          <w:rFonts w:ascii="Times New Roman" w:hAnsi="Times New Roman" w:eastAsia="宋体"/>
          <w:b w:val="0"/>
          <w:i w:val="0"/>
          <w:sz w:val="21"/>
        </w:rPr>
        <w:t>（质量账）与</w:t>
      </w:r>
      <w:r>
        <w:rPr>
          <w:rFonts w:ascii="Times New Roman" w:hAnsi="Times New Roman" w:eastAsia="宋体"/>
          <w:b/>
          <w:i w:val="0"/>
          <w:sz w:val="21"/>
        </w:rPr>
        <w:t>动量方程</w:t>
      </w:r>
      <w:r>
        <w:rPr>
          <w:rFonts w:ascii="Times New Roman" w:hAnsi="Times New Roman" w:eastAsia="宋体"/>
          <w:b w:val="0"/>
          <w:i w:val="0"/>
          <w:sz w:val="21"/>
        </w:rPr>
        <w:t>（动量账）构成本项目的控制方程组。不可压情形下连续性方程化简为速度场无散度：</w:t>
      </w:r>
    </w:p>
    <w:p>
      <w:pPr>
        <w:spacing w:before="100" w:after="100" w:line="276" w:lineRule="auto"/>
        <w:jc w:val="center"/>
      </w:pPr>
      <m:oMath>
        <m:f>
          <m:fPr>
            <m:type m:val="bar"/>
          </m:fPr>
          <m:num>
            <m:r>
              <m:t>∂</m:t>
            </m:r>
            <m:sSub>
              <m:e>
                <m:r>
                  <m:t>u</m:t>
                </m:r>
              </m:e>
              <m:sub>
                <m:r>
                  <m:t>j</m:t>
                </m:r>
              </m:sub>
            </m:sSub>
          </m:num>
          <m:den>
            <m:r>
              <m:t>∂</m:t>
            </m:r>
            <m:sSub>
              <m:e>
                <m:r>
                  <m:t>x</m:t>
                </m:r>
              </m:e>
              <m:sub>
                <m:r>
                  <m:t>j</m:t>
                </m:r>
              </m:sub>
            </m:sSub>
          </m:den>
        </m:f>
        <m:r>
          <m:t>=0</m:t>
        </m:r>
      </m:oMath>
    </w:p>
    <w:p>
      <w:pPr>
        <w:spacing w:after="100"/>
        <w:ind w:firstLine="0"/>
      </w:pPr>
      <w:r>
        <w:rPr>
          <w:rFonts w:ascii="Times New Roman" w:hAnsi="Times New Roman" w:eastAsia="宋体"/>
          <w:b w:val="0"/>
          <w:i w:val="0"/>
          <w:sz w:val="21"/>
        </w:rPr>
        <w:t>动量方程中各项的物理含义为：</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DCE6F1"/>
          </w:tcPr>
          <w:p>
            <w:pPr>
              <w:spacing w:after="20"/>
            </w:pPr>
            <w:r>
              <w:rPr>
                <w:rFonts w:ascii="Times New Roman" w:hAnsi="Times New Roman" w:eastAsia="宋体"/>
                <w:b/>
                <w:i w:val="0"/>
                <w:sz w:val="18"/>
              </w:rPr>
              <w:t>项</w:t>
            </w:r>
          </w:p>
        </w:tc>
        <w:tc>
          <w:tcPr>
            <w:tcW w:type="dxa" w:w="3137"/>
            <w:shd w:val="clear" w:color="auto" w:fill="DCE6F1"/>
          </w:tcPr>
          <w:p>
            <w:pPr>
              <w:spacing w:after="20"/>
            </w:pPr>
            <w:r>
              <w:rPr>
                <w:rFonts w:ascii="Times New Roman" w:hAnsi="Times New Roman" w:eastAsia="宋体"/>
                <w:b/>
                <w:i w:val="0"/>
                <w:sz w:val="18"/>
              </w:rPr>
              <w:t>名字</w:t>
            </w:r>
          </w:p>
        </w:tc>
        <w:tc>
          <w:tcPr>
            <w:tcW w:type="dxa" w:w="3137"/>
            <w:shd w:val="clear" w:color="auto" w:fill="DCE6F1"/>
          </w:tcPr>
          <w:p>
            <w:pPr>
              <w:spacing w:after="20"/>
            </w:pPr>
            <w:r>
              <w:rPr>
                <w:rFonts w:ascii="Times New Roman" w:hAnsi="Times New Roman" w:eastAsia="宋体"/>
                <w:b/>
                <w:i w:val="0"/>
                <w:sz w:val="18"/>
              </w:rPr>
              <w:t>在说什么</w:t>
            </w:r>
          </w:p>
        </w:tc>
      </w:tr>
      <w:tr>
        <w:tc>
          <w:tcPr>
            <w:tcW w:type="dxa" w:w="3137"/>
          </w:tcPr>
          <w:p>
            <w:pPr>
              <w:spacing w:after="20"/>
            </w:pPr>
            <m:oMath>
              <m:r>
                <m:t>∂(ρ</m:t>
              </m:r>
              <m:sSub>
                <m:e>
                  <m:r>
                    <m:t>u</m:t>
                  </m:r>
                </m:e>
                <m:sub>
                  <m:r>
                    <m:t>i</m:t>
                  </m:r>
                </m:sub>
              </m:sSub>
              <m:r>
                <m:t>)/∂t</m:t>
              </m:r>
            </m:oMath>
          </w:p>
        </w:tc>
        <w:tc>
          <w:tcPr>
            <w:tcW w:type="dxa" w:w="3137"/>
          </w:tcPr>
          <w:p>
            <w:pPr>
              <w:spacing w:after="20"/>
            </w:pPr>
            <w:r>
              <w:rPr>
                <w:rFonts w:ascii="Times New Roman" w:hAnsi="Times New Roman" w:eastAsia="宋体"/>
                <w:b w:val="0"/>
                <w:i w:val="0"/>
                <w:sz w:val="18"/>
              </w:rPr>
              <w:t>非定常项</w:t>
            </w:r>
          </w:p>
        </w:tc>
        <w:tc>
          <w:tcPr>
            <w:tcW w:type="dxa" w:w="3137"/>
          </w:tcPr>
          <w:p>
            <w:pPr>
              <w:spacing w:after="20"/>
            </w:pPr>
            <w:r>
              <w:rPr>
                <w:rFonts w:ascii="Times New Roman" w:hAnsi="Times New Roman" w:eastAsia="宋体"/>
                <w:b w:val="0"/>
                <w:i w:val="0"/>
                <w:sz w:val="18"/>
              </w:rPr>
              <w:t>动量在固定点的累积</w:t>
            </w:r>
          </w:p>
        </w:tc>
      </w:tr>
      <w:tr>
        <w:tc>
          <w:tcPr>
            <w:tcW w:type="dxa" w:w="3137"/>
          </w:tcPr>
          <w:p>
            <w:pPr>
              <w:spacing w:after="20"/>
            </w:pPr>
            <m:oMath>
              <m:r>
                <m:t>∂(ρ</m:t>
              </m:r>
              <m:sSub>
                <m:e>
                  <m:r>
                    <m:t>u</m:t>
                  </m:r>
                </m:e>
                <m:sub>
                  <m:r>
                    <m:t>i</m:t>
                  </m:r>
                </m:sub>
              </m:sSub>
              <m:sSub>
                <m:e>
                  <m:r>
                    <m:t>u</m:t>
                  </m:r>
                </m:e>
                <m:sub>
                  <m:r>
                    <m:t>j</m:t>
                  </m:r>
                </m:sub>
              </m:sSub>
              <m:r>
                <m:t>)/∂</m:t>
              </m:r>
              <m:sSub>
                <m:e>
                  <m:r>
                    <m:t>x</m:t>
                  </m:r>
                </m:e>
                <m:sub>
                  <m:r>
                    <m:t>j</m:t>
                  </m:r>
                </m:sub>
              </m:sSub>
            </m:oMath>
          </w:p>
        </w:tc>
        <w:tc>
          <w:tcPr>
            <w:tcW w:type="dxa" w:w="3137"/>
          </w:tcPr>
          <w:p>
            <w:pPr>
              <w:spacing w:after="20"/>
            </w:pPr>
            <w:r>
              <w:rPr>
                <w:rFonts w:ascii="Times New Roman" w:hAnsi="Times New Roman" w:eastAsia="宋体"/>
                <w:b w:val="0"/>
                <w:i w:val="0"/>
                <w:sz w:val="18"/>
              </w:rPr>
              <w:t>对流项</w:t>
            </w:r>
          </w:p>
        </w:tc>
        <w:tc>
          <w:tcPr>
            <w:tcW w:type="dxa" w:w="3137"/>
          </w:tcPr>
          <w:p>
            <w:pPr>
              <w:spacing w:after="20"/>
            </w:pPr>
            <w:r>
              <w:rPr>
                <w:rFonts w:ascii="Times New Roman" w:hAnsi="Times New Roman" w:eastAsia="宋体"/>
                <w:b w:val="0"/>
                <w:i w:val="0"/>
                <w:sz w:val="18"/>
              </w:rPr>
              <w:t>动量随流体被输运出去</w:t>
            </w:r>
          </w:p>
        </w:tc>
      </w:tr>
      <w:tr>
        <w:tc>
          <w:tcPr>
            <w:tcW w:type="dxa" w:w="3137"/>
          </w:tcPr>
          <w:p>
            <w:pPr>
              <w:spacing w:after="20"/>
            </w:pPr>
            <m:oMath>
              <m:r>
                <m:t>−∂p/∂</m:t>
              </m:r>
              <m:sSub>
                <m:e>
                  <m:r>
                    <m:t>x</m:t>
                  </m:r>
                </m:e>
                <m:sub>
                  <m:r>
                    <m:t>i</m:t>
                  </m:r>
                </m:sub>
              </m:sSub>
            </m:oMath>
          </w:p>
        </w:tc>
        <w:tc>
          <w:tcPr>
            <w:tcW w:type="dxa" w:w="3137"/>
          </w:tcPr>
          <w:p>
            <w:pPr>
              <w:spacing w:after="20"/>
            </w:pPr>
            <w:r>
              <w:rPr>
                <w:rFonts w:ascii="Times New Roman" w:hAnsi="Times New Roman" w:eastAsia="宋体"/>
                <w:b w:val="0"/>
                <w:i w:val="0"/>
                <w:sz w:val="18"/>
              </w:rPr>
              <w:t>压力梯度项</w:t>
            </w:r>
          </w:p>
        </w:tc>
        <w:tc>
          <w:tcPr>
            <w:tcW w:type="dxa" w:w="3137"/>
          </w:tcPr>
          <w:p>
            <w:pPr>
              <w:spacing w:after="20"/>
            </w:pPr>
            <w:r>
              <w:rPr>
                <w:rFonts w:ascii="Times New Roman" w:hAnsi="Times New Roman" w:eastAsia="宋体"/>
                <w:b w:val="0"/>
                <w:i w:val="0"/>
                <w:sz w:val="18"/>
              </w:rPr>
              <w:t>压力差驱动的加速</w:t>
            </w:r>
          </w:p>
        </w:tc>
      </w:tr>
      <w:tr>
        <w:tc>
          <w:tcPr>
            <w:tcW w:type="dxa" w:w="3137"/>
          </w:tcPr>
          <w:p>
            <w:pPr>
              <w:spacing w:after="20"/>
            </w:pPr>
            <m:oMath>
              <m:r>
                <m:t>∂</m:t>
              </m:r>
              <m:sSub>
                <m:e>
                  <m:r>
                    <m:t>τ</m:t>
                  </m:r>
                </m:e>
                <m:sub>
                  <m:r>
                    <m:t>ij</m:t>
                  </m:r>
                </m:sub>
              </m:sSub>
              <m:r>
                <m:t>/∂</m:t>
              </m:r>
              <m:sSub>
                <m:e>
                  <m:r>
                    <m:t>x</m:t>
                  </m:r>
                </m:e>
                <m:sub>
                  <m:r>
                    <m:t>j</m:t>
                  </m:r>
                </m:sub>
              </m:sSub>
            </m:oMath>
          </w:p>
        </w:tc>
        <w:tc>
          <w:tcPr>
            <w:tcW w:type="dxa" w:w="3137"/>
          </w:tcPr>
          <w:p>
            <w:pPr>
              <w:spacing w:after="20"/>
            </w:pPr>
            <w:r>
              <w:rPr>
                <w:rFonts w:ascii="Times New Roman" w:hAnsi="Times New Roman" w:eastAsia="宋体"/>
                <w:b w:val="0"/>
                <w:i w:val="0"/>
                <w:sz w:val="18"/>
              </w:rPr>
              <w:t>黏性扩散项</w:t>
            </w:r>
          </w:p>
        </w:tc>
        <w:tc>
          <w:tcPr>
            <w:tcW w:type="dxa" w:w="3137"/>
          </w:tcPr>
          <w:p>
            <w:pPr>
              <w:spacing w:after="20"/>
            </w:pPr>
            <w:r>
              <w:rPr>
                <w:rFonts w:ascii="Times New Roman" w:hAnsi="Times New Roman" w:eastAsia="宋体"/>
                <w:b w:val="0"/>
                <w:i w:val="0"/>
                <w:sz w:val="18"/>
              </w:rPr>
              <w:t>黏性把动量从快的地方拖到慢的地方</w:t>
            </w:r>
          </w:p>
        </w:tc>
      </w:tr>
      <w:tr>
        <w:tc>
          <w:tcPr>
            <w:tcW w:type="dxa" w:w="3137"/>
          </w:tcPr>
          <w:p>
            <w:pPr>
              <w:spacing w:after="20"/>
            </w:pPr>
            <m:oMath>
              <m:r>
                <m:t>ρ</m:t>
              </m:r>
              <m:sSub>
                <m:e>
                  <m:r>
                    <m:t>f</m:t>
                  </m:r>
                </m:e>
                <m:sub>
                  <m:r>
                    <m:t>i</m:t>
                  </m:r>
                </m:sub>
              </m:sSub>
            </m:oMath>
          </w:p>
        </w:tc>
        <w:tc>
          <w:tcPr>
            <w:tcW w:type="dxa" w:w="3137"/>
          </w:tcPr>
          <w:p>
            <w:pPr>
              <w:spacing w:after="20"/>
            </w:pPr>
            <w:r>
              <w:rPr>
                <w:rFonts w:ascii="Times New Roman" w:hAnsi="Times New Roman" w:eastAsia="宋体"/>
                <w:b w:val="0"/>
                <w:i w:val="0"/>
                <w:sz w:val="18"/>
              </w:rPr>
              <w:t>体积力项</w:t>
            </w:r>
          </w:p>
        </w:tc>
        <w:tc>
          <w:tcPr>
            <w:tcW w:type="dxa" w:w="3137"/>
          </w:tcPr>
          <w:p>
            <w:pPr>
              <w:spacing w:after="20"/>
            </w:pPr>
            <w:r>
              <w:rPr>
                <w:rFonts w:ascii="Times New Roman" w:hAnsi="Times New Roman" w:eastAsia="宋体"/>
                <w:b w:val="0"/>
                <w:i w:val="0"/>
                <w:sz w:val="18"/>
              </w:rPr>
              <w:t>外力（</w:t>
            </w:r>
            <w:r>
              <w:rPr>
                <w:rFonts w:ascii="Times New Roman" w:hAnsi="Times New Roman" w:eastAsia="宋体"/>
                <w:b/>
                <w:i w:val="0"/>
                <w:sz w:val="18"/>
              </w:rPr>
              <w:t>风机的作用力就在这里</w:t>
            </w:r>
            <w:r>
              <w:rPr>
                <w:rFonts w:ascii="Times New Roman" w:hAnsi="Times New Roman" w:eastAsia="宋体"/>
                <w:b w:val="0"/>
                <w:i w:val="0"/>
                <w:sz w:val="18"/>
              </w:rPr>
              <w:t>）</w:t>
            </w:r>
          </w:p>
        </w:tc>
      </w:tr>
    </w:tbl>
    <w:p>
      <w:pPr>
        <w:spacing w:after="40"/>
      </w:pPr>
    </w:p>
    <w:p>
      <w:pPr>
        <w:spacing w:after="100"/>
        <w:ind w:firstLine="0"/>
      </w:pPr>
      <w:r>
        <w:rPr>
          <w:rFonts w:ascii="Times New Roman" w:hAnsi="Times New Roman" w:eastAsia="宋体"/>
          <w:b w:val="0"/>
          <w:i w:val="0"/>
          <w:sz w:val="21"/>
        </w:rPr>
        <w:t xml:space="preserve">其中对流项 </w:t>
      </w:r>
      <m:oMath>
        <m:sSub>
          <m:e>
            <m:r>
              <m:t>u</m:t>
            </m:r>
          </m:e>
          <m:sub>
            <m:r>
              <m:t>j</m:t>
            </m:r>
          </m:sub>
        </m:sSub>
        <m:r>
          <m:t>∂</m:t>
        </m:r>
        <m:sSub>
          <m:e>
            <m:r>
              <m:t>u</m:t>
            </m:r>
          </m:e>
          <m:sub>
            <m:r>
              <m:t>i</m:t>
            </m:r>
          </m:sub>
        </m:sSub>
        <m:r>
          <m:t>/∂</m:t>
        </m:r>
        <m:sSub>
          <m:e>
            <m:r>
              <m:t>x</m:t>
            </m:r>
          </m:e>
          <m:sub>
            <m:r>
              <m:t>j</m:t>
            </m:r>
          </m:sub>
        </m:sSub>
      </m:oMath>
      <w:r>
        <w:rPr>
          <w:rFonts w:ascii="Times New Roman" w:hAnsi="Times New Roman" w:eastAsia="宋体"/>
          <w:b w:val="0"/>
          <w:i w:val="0"/>
          <w:sz w:val="21"/>
        </w:rPr>
        <w:t xml:space="preserve"> 是速度的二次项，</w:t>
      </w:r>
      <w:r>
        <w:rPr>
          <w:rFonts w:ascii="Times New Roman" w:hAnsi="Times New Roman" w:eastAsia="宋体"/>
          <w:b/>
          <w:i w:val="0"/>
          <w:sz w:val="21"/>
        </w:rPr>
        <w:t>这是方程非线性的根源，也是湍流的来源</w:t>
      </w:r>
      <w:r>
        <w:rPr>
          <w:rFonts w:ascii="Times New Roman" w:hAnsi="Times New Roman" w:eastAsia="宋体"/>
          <w:b w:val="0"/>
          <w:i w:val="0"/>
          <w:sz w:val="21"/>
        </w:rPr>
        <w:t>。</w:t>
      </w:r>
    </w:p>
    <w:p>
      <w:pPr>
        <w:pStyle w:val="Heading3"/>
      </w:pPr>
      <w:r>
        <w:rPr>
          <w:rFonts w:ascii="Times New Roman" w:hAnsi="Times New Roman" w:eastAsia="宋体"/>
          <w:b/>
          <w:i w:val="0"/>
          <w:sz w:val="24"/>
        </w:rPr>
        <w:t>5.2 三个关键无量纲数</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DCE6F1"/>
          </w:tcPr>
          <w:p>
            <w:pPr>
              <w:spacing w:after="20"/>
            </w:pPr>
            <w:r>
              <w:rPr>
                <w:rFonts w:ascii="Times New Roman" w:hAnsi="Times New Roman" w:eastAsia="宋体"/>
                <w:b/>
                <w:i w:val="0"/>
                <w:sz w:val="18"/>
              </w:rPr>
              <w:t>无量纲数</w:t>
            </w:r>
          </w:p>
        </w:tc>
        <w:tc>
          <w:tcPr>
            <w:tcW w:type="dxa" w:w="2353"/>
            <w:shd w:val="clear" w:color="auto" w:fill="DCE6F1"/>
          </w:tcPr>
          <w:p>
            <w:pPr>
              <w:spacing w:after="20"/>
            </w:pPr>
            <w:r>
              <w:rPr>
                <w:rFonts w:ascii="Times New Roman" w:hAnsi="Times New Roman" w:eastAsia="宋体"/>
                <w:b/>
                <w:i w:val="0"/>
                <w:sz w:val="18"/>
              </w:rPr>
              <w:t>定义</w:t>
            </w:r>
          </w:p>
        </w:tc>
        <w:tc>
          <w:tcPr>
            <w:tcW w:type="dxa" w:w="2353"/>
            <w:shd w:val="clear" w:color="auto" w:fill="DCE6F1"/>
          </w:tcPr>
          <w:p>
            <w:pPr>
              <w:spacing w:after="20"/>
            </w:pPr>
            <w:r>
              <w:rPr>
                <w:rFonts w:ascii="Times New Roman" w:hAnsi="Times New Roman" w:eastAsia="宋体"/>
                <w:b/>
                <w:i w:val="0"/>
                <w:sz w:val="18"/>
              </w:rPr>
              <w:t>本项目取值</w:t>
            </w:r>
          </w:p>
        </w:tc>
        <w:tc>
          <w:tcPr>
            <w:tcW w:type="dxa" w:w="2353"/>
            <w:shd w:val="clear" w:color="auto" w:fill="DCE6F1"/>
          </w:tcPr>
          <w:p>
            <w:pPr>
              <w:spacing w:after="20"/>
            </w:pPr>
            <w:r>
              <w:rPr>
                <w:rFonts w:ascii="Times New Roman" w:hAnsi="Times New Roman" w:eastAsia="宋体"/>
                <w:b/>
                <w:i w:val="0"/>
                <w:sz w:val="18"/>
              </w:rPr>
              <w:t>结论</w:t>
            </w:r>
          </w:p>
        </w:tc>
      </w:tr>
      <w:tr>
        <w:tc>
          <w:tcPr>
            <w:tcW w:type="dxa" w:w="2353"/>
          </w:tcPr>
          <w:p>
            <w:pPr>
              <w:spacing w:after="20"/>
            </w:pPr>
            <w:r>
              <w:rPr>
                <w:rFonts w:ascii="Times New Roman" w:hAnsi="Times New Roman" w:eastAsia="宋体"/>
                <w:b w:val="0"/>
                <w:i w:val="0"/>
                <w:sz w:val="18"/>
              </w:rPr>
              <w:t>雷诺数</w:t>
            </w:r>
          </w:p>
        </w:tc>
        <w:tc>
          <w:tcPr>
            <w:tcW w:type="dxa" w:w="2353"/>
          </w:tcPr>
          <w:p>
            <w:pPr>
              <w:spacing w:after="20"/>
            </w:pPr>
            <m:oMath>
              <m:r>
                <m:t>Re=ρUL/μ</m:t>
              </m:r>
            </m:oMath>
          </w:p>
        </w:tc>
        <w:tc>
          <w:tcPr>
            <w:tcW w:type="dxa" w:w="2353"/>
          </w:tcPr>
          <w:p>
            <w:pPr>
              <w:spacing w:after="20"/>
            </w:pPr>
            <m:oMath>
              <m:r>
                <m:t>≈6.9×</m:t>
              </m:r>
              <m:sSup>
                <m:e>
                  <m:r>
                    <m:t>10</m:t>
                  </m:r>
                </m:e>
                <m:sup>
                  <m:r>
                    <m:t>7</m:t>
                  </m:r>
                </m:sup>
              </m:sSup>
            </m:oMath>
            <w:r>
              <w:rPr>
                <w:rFonts w:ascii="Times New Roman" w:hAnsi="Times New Roman" w:eastAsia="宋体"/>
                <w:b w:val="0"/>
                <w:i w:val="0"/>
                <w:sz w:val="18"/>
              </w:rPr>
              <w:t>（8 m/s）</w:t>
            </w:r>
          </w:p>
        </w:tc>
        <w:tc>
          <w:tcPr>
            <w:tcW w:type="dxa" w:w="2353"/>
          </w:tcPr>
          <w:p>
            <w:pPr>
              <w:spacing w:after="20"/>
            </w:pPr>
            <w:r>
              <w:rPr>
                <w:rFonts w:ascii="Times New Roman" w:hAnsi="Times New Roman" w:eastAsia="宋体"/>
                <w:b w:val="0"/>
                <w:i w:val="0"/>
                <w:sz w:val="18"/>
              </w:rPr>
              <w:t xml:space="preserve">惯性主导，湍流；黏性项权重仅 </w:t>
            </w:r>
            <m:oMath>
              <m:sSup>
                <m:e>
                  <m:r>
                    <m:t>10</m:t>
                  </m:r>
                </m:e>
                <m:sup>
                  <m:r>
                    <m:t>−8</m:t>
                  </m:r>
                </m:sup>
              </m:sSup>
            </m:oMath>
            <w:r>
              <w:rPr>
                <w:rFonts w:ascii="Times New Roman" w:hAnsi="Times New Roman" w:eastAsia="宋体"/>
                <w:b w:val="0"/>
                <w:i w:val="0"/>
                <w:sz w:val="18"/>
              </w:rPr>
              <w:t xml:space="preserve"> 量级</w:t>
            </w:r>
          </w:p>
        </w:tc>
      </w:tr>
      <w:tr>
        <w:tc>
          <w:tcPr>
            <w:tcW w:type="dxa" w:w="2353"/>
          </w:tcPr>
          <w:p>
            <w:pPr>
              <w:spacing w:after="20"/>
            </w:pPr>
            <w:r>
              <w:rPr>
                <w:rFonts w:ascii="Times New Roman" w:hAnsi="Times New Roman" w:eastAsia="宋体"/>
                <w:b w:val="0"/>
                <w:i w:val="0"/>
                <w:sz w:val="18"/>
              </w:rPr>
              <w:t>马赫数</w:t>
            </w:r>
          </w:p>
        </w:tc>
        <w:tc>
          <w:tcPr>
            <w:tcW w:type="dxa" w:w="2353"/>
          </w:tcPr>
          <w:p>
            <w:pPr>
              <w:spacing w:after="20"/>
            </w:pPr>
            <m:oMath>
              <m:r>
                <m:t>Ma=U/c</m:t>
              </m:r>
            </m:oMath>
          </w:p>
        </w:tc>
        <w:tc>
          <w:tcPr>
            <w:tcW w:type="dxa" w:w="2353"/>
          </w:tcPr>
          <w:p>
            <w:pPr>
              <w:spacing w:after="20"/>
            </w:pPr>
            <m:oMath>
              <m:r>
                <m:t>≈0.035</m:t>
              </m:r>
            </m:oMath>
            <w:r>
              <w:rPr>
                <w:rFonts w:ascii="Times New Roman" w:hAnsi="Times New Roman" w:eastAsia="宋体"/>
                <w:b w:val="0"/>
                <w:i w:val="0"/>
                <w:sz w:val="18"/>
              </w:rPr>
              <w:t>（12 m/s）</w:t>
            </w:r>
          </w:p>
        </w:tc>
        <w:tc>
          <w:tcPr>
            <w:tcW w:type="dxa" w:w="2353"/>
          </w:tcPr>
          <w:p>
            <w:pPr>
              <w:spacing w:after="20"/>
            </w:pPr>
            <w:r>
              <w:rPr>
                <w:rFonts w:ascii="Times New Roman" w:hAnsi="Times New Roman" w:eastAsia="宋体"/>
                <w:b w:val="0"/>
                <w:i w:val="0"/>
                <w:sz w:val="18"/>
              </w:rPr>
              <w:t>密度变化不到千分之一，可作不可压处理</w:t>
            </w:r>
          </w:p>
        </w:tc>
      </w:tr>
      <w:tr>
        <w:tc>
          <w:tcPr>
            <w:tcW w:type="dxa" w:w="2353"/>
          </w:tcPr>
          <w:p>
            <w:pPr>
              <w:spacing w:after="20"/>
            </w:pPr>
            <w:r>
              <w:rPr>
                <w:rFonts w:ascii="Times New Roman" w:hAnsi="Times New Roman" w:eastAsia="宋体"/>
                <w:b w:val="0"/>
                <w:i w:val="0"/>
                <w:sz w:val="18"/>
              </w:rPr>
              <w:t>克努森数</w:t>
            </w:r>
          </w:p>
        </w:tc>
        <w:tc>
          <w:tcPr>
            <w:tcW w:type="dxa" w:w="2353"/>
          </w:tcPr>
          <w:p>
            <w:pPr>
              <w:spacing w:after="20"/>
            </w:pPr>
            <m:oMath>
              <m:r>
                <m:t>Kn=λ/L</m:t>
              </m:r>
            </m:oMath>
          </w:p>
        </w:tc>
        <w:tc>
          <w:tcPr>
            <w:tcW w:type="dxa" w:w="2353"/>
          </w:tcPr>
          <w:p>
            <w:pPr>
              <w:spacing w:after="20"/>
            </w:pPr>
            <m:oMath>
              <m:r>
                <m:t>≈5.4×</m:t>
              </m:r>
              <m:sSup>
                <m:e>
                  <m:r>
                    <m:t>10</m:t>
                  </m:r>
                </m:e>
                <m:sup>
                  <m:r>
                    <m:t>−10</m:t>
                  </m:r>
                </m:sup>
              </m:sSup>
            </m:oMath>
          </w:p>
        </w:tc>
        <w:tc>
          <w:tcPr>
            <w:tcW w:type="dxa" w:w="2353"/>
          </w:tcPr>
          <w:p>
            <w:pPr>
              <w:spacing w:after="20"/>
            </w:pPr>
            <w:r>
              <w:rPr>
                <w:rFonts w:ascii="Times New Roman" w:hAnsi="Times New Roman" w:eastAsia="宋体"/>
                <w:b w:val="0"/>
                <w:i w:val="0"/>
                <w:sz w:val="18"/>
              </w:rPr>
              <w:t>连续介质假设成立</w:t>
            </w:r>
          </w:p>
        </w:tc>
      </w:tr>
    </w:tbl>
    <w:p>
      <w:pPr>
        <w:spacing w:after="40"/>
      </w:pPr>
    </w:p>
    <w:p>
      <w:pPr>
        <w:spacing w:after="100"/>
        <w:ind w:firstLine="0"/>
      </w:pPr>
      <w:r>
        <w:rPr>
          <w:rFonts w:ascii="Times New Roman" w:hAnsi="Times New Roman" w:eastAsia="宋体"/>
          <w:b w:val="0"/>
          <w:i w:val="0"/>
          <w:sz w:val="21"/>
        </w:rPr>
        <w:t xml:space="preserve">雷诺数为 </w:t>
      </w:r>
      <m:oMath>
        <m:r>
          <m:t>6.9×</m:t>
        </m:r>
        <m:sSup>
          <m:e>
            <m:r>
              <m:t>10</m:t>
            </m:r>
          </m:e>
          <m:sup>
            <m:r>
              <m:t>7</m:t>
            </m:r>
          </m:sup>
        </m:sSup>
      </m:oMath>
      <w:r>
        <w:rPr>
          <w:rFonts w:ascii="Times New Roman" w:hAnsi="Times New Roman" w:eastAsia="宋体"/>
          <w:b w:val="0"/>
          <w:i w:val="0"/>
          <w:sz w:val="21"/>
        </w:rPr>
        <w:t xml:space="preserve"> 这一事实有两个重要推论。其一，黏性效应只在极薄的边界层与尾流剪切层内重要，其余区域近似无黏。其二，</w:t>
      </w:r>
      <w:r>
        <w:rPr>
          <w:rFonts w:ascii="Times New Roman" w:hAnsi="Times New Roman" w:eastAsia="宋体"/>
          <w:b/>
          <w:i w:val="0"/>
          <w:sz w:val="21"/>
        </w:rPr>
        <w:t>正因真实黏性项小到亿分之一，数值方法引入的任何一点"假黏性"都会与它同量级甚至更大</w:t>
      </w:r>
      <w:r>
        <w:rPr>
          <w:rFonts w:ascii="Times New Roman" w:hAnsi="Times New Roman" w:eastAsia="宋体"/>
          <w:b w:val="0"/>
          <w:i w:val="0"/>
          <w:sz w:val="21"/>
        </w:rPr>
        <w:t>——这就是 CFD 中最隐蔽的陷阱：数值扩散。</w:t>
      </w:r>
    </w:p>
    <w:p>
      <w:pPr>
        <w:pStyle w:val="Heading3"/>
      </w:pPr>
      <w:r>
        <w:rPr>
          <w:rFonts w:ascii="Times New Roman" w:hAnsi="Times New Roman" w:eastAsia="宋体"/>
          <w:b/>
          <w:i w:val="0"/>
          <w:sz w:val="24"/>
        </w:rPr>
        <w:t>5.3 不可压求解的核心难题：压力</w:t>
      </w:r>
    </w:p>
    <w:p>
      <w:pPr>
        <w:spacing w:after="100"/>
        <w:ind w:firstLine="0"/>
      </w:pPr>
      <w:r>
        <w:rPr>
          <w:rFonts w:ascii="Times New Roman" w:hAnsi="Times New Roman" w:eastAsia="宋体"/>
          <w:b w:val="0"/>
          <w:i w:val="0"/>
          <w:sz w:val="21"/>
        </w:rPr>
        <w:t>压力在不可压流动中没有自己的控制方程，且只以梯度形式出现，因此绝对压力无意义——把压力整体加一个常数，方程一个字都不变。压力的数学身份是</w:t>
      </w:r>
      <w:r>
        <w:rPr>
          <w:rFonts w:ascii="Times New Roman" w:hAnsi="Times New Roman" w:eastAsia="宋体"/>
          <w:b/>
          <w:i w:val="0"/>
          <w:sz w:val="21"/>
        </w:rPr>
        <w:t>为强制速度场满足无散度约束而引入的拉格朗日乘子</w:t>
      </w:r>
      <w:r>
        <w:rPr>
          <w:rFonts w:ascii="Times New Roman" w:hAnsi="Times New Roman" w:eastAsia="宋体"/>
          <w:b w:val="0"/>
          <w:i w:val="0"/>
          <w:sz w:val="21"/>
        </w:rPr>
        <w:t>，其方程为椭圆型，域内任何一点的压力都受整个流场影响。</w:t>
      </w:r>
    </w:p>
    <w:p>
      <w:pPr>
        <w:spacing w:after="100"/>
        <w:ind w:firstLine="0"/>
      </w:pPr>
      <w:r>
        <w:rPr>
          <w:rFonts w:ascii="Times New Roman" w:hAnsi="Times New Roman" w:eastAsia="宋体"/>
          <w:b w:val="0"/>
          <w:i w:val="0"/>
          <w:sz w:val="21"/>
        </w:rPr>
        <w:t>直接离散会引出</w:t>
      </w:r>
      <w:r>
        <w:rPr>
          <w:rFonts w:ascii="Times New Roman" w:hAnsi="Times New Roman" w:eastAsia="宋体"/>
          <w:b/>
          <w:i w:val="0"/>
          <w:sz w:val="21"/>
        </w:rPr>
        <w:t>棋盘格压力振荡</w:t>
      </w:r>
      <w:r>
        <w:rPr>
          <w:rFonts w:ascii="Times New Roman" w:hAnsi="Times New Roman" w:eastAsia="宋体"/>
          <w:b w:val="0"/>
          <w:i w:val="0"/>
          <w:sz w:val="21"/>
        </w:rPr>
        <w:t xml:space="preserve">问题：在共置网格上，交替分布的压力场 </w:t>
      </w:r>
      <m:oMath>
        <m:sSub>
          <m:e>
            <m:r>
              <m:t>p</m:t>
            </m:r>
          </m:e>
          <m:sub>
            <m:r>
              <m:t>i</m:t>
            </m:r>
          </m:sub>
        </m:sSub>
        <m:r>
          <m:t>=</m:t>
        </m:r>
        <m:sSub>
          <m:e>
            <m:r>
              <m:t>p</m:t>
            </m:r>
          </m:e>
          <m:sub>
            <m:r>
              <m:t>0</m:t>
            </m:r>
          </m:sub>
        </m:sSub>
        <m:r>
          <m:t>+(−1</m:t>
        </m:r>
        <m:sSup>
          <m:e>
            <m:r>
              <m:t>)</m:t>
            </m:r>
          </m:e>
          <m:sup>
            <m:r>
              <m:t>i</m:t>
            </m:r>
          </m:sup>
        </m:sSup>
        <m:r>
          <m:t>δp</m:t>
        </m:r>
      </m:oMath>
      <w:r>
        <w:rPr>
          <w:rFonts w:ascii="Times New Roman" w:hAnsi="Times New Roman" w:eastAsia="宋体"/>
          <w:b w:val="0"/>
          <w:i w:val="0"/>
          <w:sz w:val="21"/>
        </w:rPr>
        <w:t xml:space="preserve"> 对动量方程完全隐形，无法被纠正。Fluent 采用 </w:t>
      </w:r>
      <w:r>
        <w:rPr>
          <w:rFonts w:ascii="Times New Roman" w:hAnsi="Times New Roman" w:eastAsia="宋体"/>
          <w:b/>
          <w:i w:val="0"/>
          <w:sz w:val="21"/>
        </w:rPr>
        <w:t>Rhie–Chow 插值</w:t>
      </w:r>
      <w:r>
        <w:rPr>
          <w:rFonts w:ascii="Times New Roman" w:hAnsi="Times New Roman" w:eastAsia="宋体"/>
          <w:b w:val="0"/>
          <w:i w:val="0"/>
          <w:sz w:val="21"/>
        </w:rPr>
        <w:t>解决：面速度在插值基础上额外加一项与两侧压力差成正比的修正，使面速度中的压力项变为相邻两压力的直接差，从而"抓住"棋盘格模式。</w:t>
      </w:r>
      <w:r>
        <w:rPr>
          <w:rFonts w:ascii="Times New Roman" w:hAnsi="Times New Roman" w:eastAsia="宋体"/>
          <w:b/>
          <w:i w:val="0"/>
          <w:sz w:val="21"/>
        </w:rPr>
        <w:t>这是所有基于共置网格的现代 CFD 软件能正常工作的基础。</w:t>
      </w:r>
    </w:p>
    <w:p>
      <w:pPr>
        <w:spacing w:after="100"/>
        <w:ind w:firstLine="0"/>
      </w:pPr>
      <w:r>
        <w:rPr>
          <w:rFonts w:ascii="Times New Roman" w:hAnsi="Times New Roman" w:eastAsia="宋体"/>
          <w:b w:val="0"/>
          <w:i w:val="0"/>
          <w:sz w:val="21"/>
        </w:rPr>
        <w:t>工程含义有两条：Fluent 中的压力均为相对操作压力（默认 101325 Pa）的</w:t>
      </w:r>
      <w:r>
        <w:rPr>
          <w:rFonts w:ascii="Times New Roman" w:hAnsi="Times New Roman" w:eastAsia="宋体"/>
          <w:b/>
          <w:i w:val="0"/>
          <w:sz w:val="21"/>
        </w:rPr>
        <w:t>表压</w:t>
      </w:r>
      <w:r>
        <w:rPr>
          <w:rFonts w:ascii="Times New Roman" w:hAnsi="Times New Roman" w:eastAsia="宋体"/>
          <w:b w:val="0"/>
          <w:i w:val="0"/>
          <w:sz w:val="21"/>
        </w:rPr>
        <w:t>；压力出口在数学上是"弱"条件，若出口放在尾流尚未恢复处会出现回流并污染整个解——症状是残差降不下去，根源却在计算域尺寸。</w:t>
      </w:r>
    </w:p>
    <w:p>
      <w:pPr>
        <w:pStyle w:val="Heading3"/>
      </w:pPr>
      <w:r>
        <w:rPr>
          <w:rFonts w:ascii="Times New Roman" w:hAnsi="Times New Roman" w:eastAsia="宋体"/>
          <w:b/>
          <w:i w:val="0"/>
          <w:sz w:val="24"/>
        </w:rPr>
        <w:t>5.4 湍流：为什么不能直接算</w:t>
      </w:r>
    </w:p>
    <w:p>
      <w:pPr>
        <w:spacing w:after="100"/>
        <w:ind w:firstLine="0"/>
      </w:pPr>
      <w:r>
        <w:rPr>
          <w:rFonts w:ascii="Times New Roman" w:hAnsi="Times New Roman" w:eastAsia="宋体"/>
          <w:b w:val="0"/>
          <w:i w:val="0"/>
          <w:sz w:val="21"/>
        </w:rPr>
        <w:t xml:space="preserve">湍流具有能量级串结构（大尺度供能 → 惯性子区传能 → 耗散尺度耗能）。DNS 需分辨到 Kolmogorov 尺度 </w:t>
      </w:r>
      <m:oMath>
        <m:r>
          <m:t>η=(</m:t>
        </m:r>
        <m:sSup>
          <m:e>
            <m:r>
              <m:t>ν</m:t>
            </m:r>
          </m:e>
          <m:sup>
            <m:r>
              <m:t>3</m:t>
            </m:r>
          </m:sup>
        </m:sSup>
        <m:r>
          <m:t>/ε</m:t>
        </m:r>
        <m:sSup>
          <m:e>
            <m:r>
              <m:t>)</m:t>
            </m:r>
          </m:e>
          <m:sup>
            <m:f>
              <m:fPr>
                <m:type m:val="lin"/>
              </m:fPr>
              <m:num>
                <m:r>
                  <m:t>1</m:t>
                </m:r>
              </m:num>
              <m:den>
                <m:r>
                  <m:t>4</m:t>
                </m:r>
              </m:den>
            </m:f>
          </m:sup>
        </m:sSup>
      </m:oMath>
      <w:r>
        <w:rPr>
          <w:rFonts w:ascii="Times New Roman" w:hAnsi="Times New Roman" w:eastAsia="宋体"/>
          <w:b w:val="0"/>
          <w:i w:val="0"/>
          <w:sz w:val="21"/>
        </w:rPr>
        <w:t xml:space="preserve">，而 </w:t>
      </w:r>
      <m:oMath>
        <m:r>
          <m:t>L/η~R</m:t>
        </m:r>
        <m:sSup>
          <m:e>
            <m:r>
              <m:t>e</m:t>
            </m:r>
          </m:e>
          <m:sup>
            <m:f>
              <m:fPr>
                <m:type m:val="lin"/>
              </m:fPr>
              <m:num>
                <m:r>
                  <m:t>3</m:t>
                </m:r>
              </m:num>
              <m:den>
                <m:r>
                  <m:t>4</m:t>
                </m:r>
              </m:den>
            </m:f>
          </m:sup>
        </m:sSup>
      </m:oMath>
      <w:r>
        <w:rPr>
          <w:rFonts w:ascii="Times New Roman" w:hAnsi="Times New Roman" w:eastAsia="宋体"/>
          <w:b w:val="0"/>
          <w:i w:val="0"/>
          <w:sz w:val="21"/>
        </w:rPr>
        <w:t xml:space="preserve">，故三维网格数 </w:t>
      </w:r>
      <m:oMath>
        <m:r>
          <m:t>N~R</m:t>
        </m:r>
        <m:sSup>
          <m:e>
            <m:r>
              <m:t>e</m:t>
            </m:r>
          </m:e>
          <m:sup>
            <m:f>
              <m:fPr>
                <m:type m:val="lin"/>
              </m:fPr>
              <m:num>
                <m:r>
                  <m:t>9</m:t>
                </m:r>
              </m:num>
              <m:den>
                <m:r>
                  <m:t>4</m:t>
                </m:r>
              </m:den>
            </m:f>
          </m:sup>
        </m:sSup>
      </m:oMath>
      <w:r>
        <w:rPr>
          <w:rFonts w:ascii="Times New Roman" w:hAnsi="Times New Roman" w:eastAsia="宋体"/>
          <w:b w:val="0"/>
          <w:i w:val="0"/>
          <w:sz w:val="21"/>
        </w:rPr>
        <w:t xml:space="preserve">。代入本项目 </w:t>
      </w:r>
      <m:oMath>
        <m:r>
          <m:t>Re≈6.9×</m:t>
        </m:r>
        <m:sSup>
          <m:e>
            <m:r>
              <m:t>10</m:t>
            </m:r>
          </m:e>
          <m:sup>
            <m:r>
              <m:t>7</m:t>
            </m:r>
          </m:sup>
        </m:sSup>
      </m:oMath>
      <w:r>
        <w:rPr>
          <w:rFonts w:ascii="Times New Roman" w:hAnsi="Times New Roman" w:eastAsia="宋体"/>
          <w:b w:val="0"/>
          <w:i w:val="0"/>
          <w:sz w:val="21"/>
        </w:rPr>
        <w:t>：</w:t>
      </w:r>
    </w:p>
    <w:p>
      <w:pPr>
        <w:spacing w:before="100" w:after="100" w:line="276" w:lineRule="auto"/>
        <w:jc w:val="center"/>
      </w:pPr>
      <m:oMath>
        <m:r>
          <m:t>N~</m:t>
        </m:r>
        <m:sSup>
          <m:e>
            <m:r>
              <m:t>10</m:t>
            </m:r>
          </m:e>
          <m:sup>
            <m:r>
              <m:t>17.6</m:t>
            </m:r>
          </m:sup>
        </m:sSup>
        <m:r>
          <m:t>≈4×</m:t>
        </m:r>
        <m:sSup>
          <m:e>
            <m:r>
              <m:t>10</m:t>
            </m:r>
          </m:e>
          <m:sup>
            <m:r>
              <m:t>17</m:t>
            </m:r>
          </m:sup>
        </m:sSup>
        <m:r>
          <m:rPr>
            <m:nor/>
          </m:rPr>
          <m:t> 个网格单元</m:t>
        </m:r>
      </m:oMath>
    </w:p>
    <w:p>
      <w:pPr>
        <w:spacing w:after="100"/>
        <w:ind w:firstLine="0"/>
      </w:pPr>
      <w:r>
        <w:rPr>
          <w:rFonts w:ascii="Times New Roman" w:hAnsi="Times New Roman" w:eastAsia="宋体"/>
          <w:b w:val="0"/>
          <w:i w:val="0"/>
          <w:sz w:val="21"/>
        </w:rPr>
        <w:t>仅存储一个时刻的流场就需约 13 艾字节，而这样的时间步需推进数千万步。</w:t>
      </w:r>
      <w:r>
        <w:rPr>
          <w:rFonts w:ascii="Times New Roman" w:hAnsi="Times New Roman" w:eastAsia="宋体"/>
          <w:b/>
          <w:i w:val="0"/>
          <w:sz w:val="21"/>
        </w:rPr>
        <w:t>结论：DNS 在风电场尺度上完全不可行，必须对湍流做近似。</w:t>
      </w:r>
      <w:r>
        <w:rPr>
          <w:rFonts w:ascii="Times New Roman" w:hAnsi="Times New Roman" w:eastAsia="宋体"/>
          <w:b w:val="0"/>
          <w:i w:val="0"/>
          <w:sz w:val="21"/>
        </w:rPr>
        <w:t xml:space="preserve"> 这就是"湍流模型"存在的全部理由。</w:t>
      </w:r>
    </w:p>
    <w:p>
      <w:pPr>
        <w:spacing w:after="100"/>
        <w:ind w:firstLine="0"/>
      </w:pPr>
      <w:r>
        <w:rPr>
          <w:rFonts w:ascii="Times New Roman" w:hAnsi="Times New Roman" w:eastAsia="宋体"/>
          <w:b w:val="0"/>
          <w:i w:val="0"/>
          <w:sz w:val="21"/>
        </w:rPr>
        <w:t>工程上有两条路。</w:t>
      </w:r>
    </w:p>
    <w:p>
      <w:pPr>
        <w:spacing w:after="100"/>
        <w:ind w:firstLine="0"/>
      </w:pPr>
      <w:r>
        <w:rPr>
          <w:rFonts w:ascii="Times New Roman" w:hAnsi="Times New Roman" w:eastAsia="宋体"/>
          <w:b/>
          <w:i w:val="0"/>
          <w:sz w:val="21"/>
        </w:rPr>
        <w:t>RANS（雷诺平均）</w:t>
      </w:r>
      <w:r>
        <w:rPr>
          <w:rFonts w:ascii="Times New Roman" w:hAnsi="Times New Roman" w:eastAsia="宋体"/>
          <w:b w:val="0"/>
          <w:i w:val="0"/>
          <w:sz w:val="21"/>
        </w:rPr>
        <w:t xml:space="preserve">：只求时间平均的流动，把脉动影响打包成雷诺应力 </w:t>
      </w:r>
      <m:oMath>
        <m:sSubSup>
          <m:e>
            <m:r>
              <m:t>τ</m:t>
            </m:r>
          </m:e>
          <m:sub>
            <m:r>
              <m:t>ij</m:t>
            </m:r>
          </m:sub>
          <m:sup>
            <m:r>
              <m:t>turb</m:t>
            </m:r>
          </m:sup>
        </m:sSubSup>
        <m:r>
          <m:t>=−ρ</m:t>
        </m:r>
        <m:acc>
          <m:accPr>
            <m:chr m:val="―"/>
          </m:accPr>
          <m:e>
            <m:sSubSup>
              <m:e>
                <m:r>
                  <m:t>u</m:t>
                </m:r>
              </m:e>
              <m:sub>
                <m:r>
                  <m:t>i</m:t>
                </m:r>
              </m:sub>
              <m:sup>
                <m:r>
                  <m:t>′</m:t>
                </m:r>
              </m:sup>
            </m:sSubSup>
            <m:sSubSup>
              <m:e>
                <m:r>
                  <m:t>u</m:t>
                </m:r>
              </m:e>
              <m:sub>
                <m:r>
                  <m:t>j</m:t>
                </m:r>
              </m:sub>
              <m:sup>
                <m:r>
                  <m:t>′</m:t>
                </m:r>
              </m:sup>
            </m:sSubSup>
          </m:e>
        </m:acc>
      </m:oMath>
      <w:r>
        <w:rPr>
          <w:rFonts w:ascii="Times New Roman" w:hAnsi="Times New Roman" w:eastAsia="宋体"/>
          <w:b w:val="0"/>
          <w:i w:val="0"/>
          <w:sz w:val="21"/>
        </w:rPr>
        <w:t xml:space="preserve"> 待建模。方程仍为 4 个，未知量变为 10 个（多出 6 个雷诺应力），</w:t>
      </w:r>
      <w:r>
        <w:rPr>
          <w:rFonts w:ascii="Times New Roman" w:hAnsi="Times New Roman" w:eastAsia="宋体"/>
          <w:b/>
          <w:i w:val="0"/>
          <w:sz w:val="21"/>
        </w:rPr>
        <w:t>方程组再度不闭合</w:t>
      </w:r>
      <w:r>
        <w:rPr>
          <w:rFonts w:ascii="Times New Roman" w:hAnsi="Times New Roman" w:eastAsia="宋体"/>
          <w:b w:val="0"/>
          <w:i w:val="0"/>
          <w:sz w:val="21"/>
        </w:rPr>
        <w:t>，且为三阶关联量问题，</w:t>
      </w:r>
      <w:r>
        <w:rPr>
          <w:rFonts w:ascii="Times New Roman" w:hAnsi="Times New Roman" w:eastAsia="宋体"/>
          <w:b/>
          <w:i w:val="0"/>
          <w:sz w:val="21"/>
        </w:rPr>
        <w:t>永远差一阶</w:t>
      </w:r>
      <w:r>
        <w:rPr>
          <w:rFonts w:ascii="Times New Roman" w:hAnsi="Times New Roman" w:eastAsia="宋体"/>
          <w:b w:val="0"/>
          <w:i w:val="0"/>
          <w:sz w:val="21"/>
        </w:rPr>
        <w:t>。所以：</w:t>
      </w:r>
      <w:r>
        <w:rPr>
          <w:rFonts w:ascii="Times New Roman" w:hAnsi="Times New Roman" w:eastAsia="宋体"/>
          <w:b/>
          <w:i w:val="0"/>
          <w:sz w:val="21"/>
        </w:rPr>
        <w:t>所有湍流模型都是对这个不闭合项的近似，都带经验成分，都不可能精确</w:t>
      </w:r>
      <w:r>
        <w:rPr>
          <w:rFonts w:ascii="Times New Roman" w:hAnsi="Times New Roman" w:eastAsia="宋体"/>
          <w:b w:val="0"/>
          <w:i w:val="0"/>
          <w:sz w:val="21"/>
        </w:rPr>
        <w:t>——这是解释误差来源时必须记住的一句话。</w:t>
      </w:r>
    </w:p>
    <w:p>
      <w:pPr>
        <w:spacing w:after="100"/>
        <w:ind w:firstLine="0"/>
      </w:pPr>
      <w:r>
        <w:rPr>
          <w:rFonts w:ascii="Times New Roman" w:hAnsi="Times New Roman" w:eastAsia="宋体"/>
          <w:b/>
          <w:i w:val="0"/>
          <w:sz w:val="21"/>
        </w:rPr>
        <w:t>Boussinesq 涡黏假设</w:t>
      </w:r>
      <w:r>
        <w:rPr>
          <w:rFonts w:ascii="Times New Roman" w:hAnsi="Times New Roman" w:eastAsia="宋体"/>
          <w:b w:val="0"/>
          <w:i w:val="0"/>
          <w:sz w:val="21"/>
        </w:rPr>
        <w:t xml:space="preserve">用类比闭合该问题：湍流涡旋随机运动搬运动量，效果与分子黏性一致，于是假设雷诺应力与平均速度梯度成正比，比例系数为涡黏系数 </w:t>
      </w:r>
      <m:oMath>
        <m:sSub>
          <m:e>
            <m:r>
              <m:t>μ</m:t>
            </m:r>
          </m:e>
          <m:sub>
            <m:r>
              <m:t>t</m:t>
            </m:r>
          </m:sub>
        </m:sSub>
      </m:oMath>
      <w:r>
        <w:rPr>
          <w:rFonts w:ascii="Times New Roman" w:hAnsi="Times New Roman" w:eastAsia="宋体"/>
          <w:b w:val="0"/>
          <w:i w:val="0"/>
          <w:sz w:val="21"/>
        </w:rPr>
        <w:t xml:space="preserve">。由此 6 个未知量简化为 1 个 </w:t>
      </w:r>
      <m:oMath>
        <m:sSub>
          <m:e>
            <m:r>
              <m:t>μ</m:t>
            </m:r>
          </m:e>
          <m:sub>
            <m:r>
              <m:t>t</m:t>
            </m:r>
          </m:sub>
        </m:sSub>
      </m:oMath>
      <w:r>
        <w:rPr>
          <w:rFonts w:ascii="Times New Roman" w:hAnsi="Times New Roman" w:eastAsia="宋体"/>
          <w:b w:val="0"/>
          <w:i w:val="0"/>
          <w:sz w:val="21"/>
        </w:rPr>
        <w:t>。三件必须清楚的事：</w:t>
      </w:r>
    </w:p>
    <w:p>
      <w:pPr>
        <w:pStyle w:val="ListBullet"/>
        <w:spacing w:after="40" w:line="288" w:lineRule="auto"/>
        <w:ind w:left="425"/>
      </w:pPr>
      <m:oMath>
        <m:sSub>
          <m:e>
            <m:r>
              <m:t>μ</m:t>
            </m:r>
          </m:e>
          <m:sub>
            <m:r>
              <m:t>t</m:t>
            </m:r>
          </m:sub>
        </m:sSub>
      </m:oMath>
      <w:r>
        <w:rPr>
          <w:rFonts w:ascii="Times New Roman" w:hAnsi="Times New Roman" w:eastAsia="宋体"/>
          <w:b w:val="0"/>
          <w:i w:val="0"/>
          <w:sz w:val="21"/>
        </w:rPr>
        <w:t xml:space="preserve"> </w:t>
      </w:r>
      <w:r>
        <w:rPr>
          <w:rFonts w:ascii="Times New Roman" w:hAnsi="Times New Roman" w:eastAsia="宋体"/>
          <w:b/>
          <w:i w:val="0"/>
          <w:sz w:val="21"/>
        </w:rPr>
        <w:t>不是物性</w:t>
      </w:r>
      <w:r>
        <w:rPr>
          <w:rFonts w:ascii="Times New Roman" w:hAnsi="Times New Roman" w:eastAsia="宋体"/>
          <w:b w:val="0"/>
          <w:i w:val="0"/>
          <w:sz w:val="21"/>
        </w:rPr>
        <w:t>，而是流动状态的一部分，同一流场内不同位置可差几个数量级；</w:t>
      </w:r>
    </w:p>
    <w:p>
      <w:pPr>
        <w:pStyle w:val="ListBullet"/>
        <w:spacing w:after="40" w:line="288" w:lineRule="auto"/>
        <w:ind w:left="425"/>
      </w:pPr>
      <m:oMath>
        <m:sSub>
          <m:e>
            <m:r>
              <m:t>μ</m:t>
            </m:r>
          </m:e>
          <m:sub>
            <m:r>
              <m:t>t</m:t>
            </m:r>
          </m:sub>
        </m:sSub>
      </m:oMath>
      <w:r>
        <w:rPr>
          <w:rFonts w:ascii="Times New Roman" w:hAnsi="Times New Roman" w:eastAsia="宋体"/>
          <w:b w:val="0"/>
          <w:i w:val="0"/>
          <w:sz w:val="21"/>
        </w:rPr>
        <w:t xml:space="preserve"> 比分子黏性 </w:t>
      </w:r>
      <m:oMath>
        <m:r>
          <m:t>μ</m:t>
        </m:r>
      </m:oMath>
      <w:r>
        <w:rPr>
          <w:rFonts w:ascii="Times New Roman" w:hAnsi="Times New Roman" w:eastAsia="宋体"/>
          <w:b w:val="0"/>
          <w:i w:val="0"/>
          <w:sz w:val="21"/>
        </w:rPr>
        <w:t xml:space="preserve"> 大几个数量级（本项目尾流区量级估算约 </w:t>
      </w:r>
      <m:oMath>
        <m:r>
          <m:t>12</m:t>
        </m:r>
      </m:oMath>
      <w:r>
        <w:rPr>
          <w:rFonts w:ascii="Times New Roman" w:hAnsi="Times New Roman" w:eastAsia="宋体"/>
          <w:b w:val="0"/>
          <w:i w:val="0"/>
          <w:sz w:val="21"/>
        </w:rPr>
        <w:t xml:space="preserve"> Pa·s，与 </w:t>
      </w:r>
      <m:oMath>
        <m:r>
          <m:t>μ=1.789×</m:t>
        </m:r>
        <m:sSup>
          <m:e>
            <m:r>
              <m:t>10</m:t>
            </m:r>
          </m:e>
          <m:sup>
            <m:r>
              <m:t>−5</m:t>
            </m:r>
          </m:sup>
        </m:sSup>
      </m:oMath>
      <w:r>
        <w:rPr>
          <w:rFonts w:ascii="Times New Roman" w:hAnsi="Times New Roman" w:eastAsia="宋体"/>
          <w:b w:val="0"/>
          <w:i w:val="0"/>
          <w:sz w:val="21"/>
        </w:rPr>
        <w:t xml:space="preserve"> Pa·s 相差约 70 万倍），故湍流区动量扩散几乎完全由 </w:t>
      </w:r>
      <m:oMath>
        <m:sSub>
          <m:e>
            <m:r>
              <m:t>μ</m:t>
            </m:r>
          </m:e>
          <m:sub>
            <m:r>
              <m:t>t</m:t>
            </m:r>
          </m:sub>
        </m:sSub>
      </m:oMath>
      <w:r>
        <w:rPr>
          <w:rFonts w:ascii="Times New Roman" w:hAnsi="Times New Roman" w:eastAsia="宋体"/>
          <w:b w:val="0"/>
          <w:i w:val="0"/>
          <w:sz w:val="21"/>
        </w:rPr>
        <w:t xml:space="preserve"> 支配；</w:t>
      </w:r>
    </w:p>
    <w:p>
      <w:pPr>
        <w:pStyle w:val="ListBullet"/>
        <w:spacing w:after="40" w:line="288" w:lineRule="auto"/>
        <w:ind w:left="425"/>
      </w:pPr>
      <m:oMath>
        <m:sSub>
          <m:e>
            <m:r>
              <m:t>μ</m:t>
            </m:r>
          </m:e>
          <m:sub>
            <m:r>
              <m:t>t</m:t>
            </m:r>
          </m:sub>
        </m:sSub>
      </m:oMath>
      <w:r>
        <w:rPr>
          <w:rFonts w:ascii="Times New Roman" w:hAnsi="Times New Roman" w:eastAsia="宋体"/>
          <w:b w:val="0"/>
          <w:i w:val="0"/>
          <w:sz w:val="21"/>
        </w:rPr>
        <w:t xml:space="preserve"> </w:t>
      </w:r>
      <w:r>
        <w:rPr>
          <w:rFonts w:ascii="Times New Roman" w:hAnsi="Times New Roman" w:eastAsia="宋体"/>
          <w:b/>
          <w:i w:val="0"/>
          <w:sz w:val="21"/>
        </w:rPr>
        <w:t>控制尾流恢复的快慢</w:t>
      </w:r>
      <w:r>
        <w:rPr>
          <w:rFonts w:ascii="Times New Roman" w:hAnsi="Times New Roman" w:eastAsia="宋体"/>
          <w:b w:val="0"/>
          <w:i w:val="0"/>
          <w:sz w:val="21"/>
        </w:rPr>
        <w:t>：</w:t>
      </w:r>
      <m:oMath>
        <m:sSub>
          <m:e>
            <m:r>
              <m:t>μ</m:t>
            </m:r>
          </m:e>
          <m:sub>
            <m:r>
              <m:t>t</m:t>
            </m:r>
          </m:sub>
        </m:sSub>
        <m:r>
          <m:t>↑⇒</m:t>
        </m:r>
      </m:oMath>
      <w:r>
        <w:rPr>
          <w:rFonts w:ascii="Times New Roman" w:hAnsi="Times New Roman" w:eastAsia="宋体"/>
          <w:b w:val="0"/>
          <w:i w:val="0"/>
          <w:sz w:val="21"/>
        </w:rPr>
        <w:t xml:space="preserve"> 尾流混合越快 </w:t>
      </w:r>
      <m:oMath>
        <m:r>
          <m:t>⇒</m:t>
        </m:r>
      </m:oMath>
      <w:r>
        <w:rPr>
          <w:rFonts w:ascii="Times New Roman" w:hAnsi="Times New Roman" w:eastAsia="宋体"/>
          <w:b w:val="0"/>
          <w:i w:val="0"/>
          <w:sz w:val="21"/>
        </w:rPr>
        <w:t xml:space="preserve"> 亏损恢复越快 </w:t>
      </w:r>
      <m:oMath>
        <m:r>
          <m:t>⇒</m:t>
        </m:r>
      </m:oMath>
      <w:r>
        <w:rPr>
          <w:rFonts w:ascii="Times New Roman" w:hAnsi="Times New Roman" w:eastAsia="宋体"/>
          <w:b w:val="0"/>
          <w:i w:val="0"/>
          <w:sz w:val="21"/>
        </w:rPr>
        <w:t xml:space="preserve"> 下游风速越高 </w:t>
      </w:r>
      <m:oMath>
        <m:r>
          <m:t>⇒</m:t>
        </m:r>
      </m:oMath>
      <w:r>
        <w:rPr>
          <w:rFonts w:ascii="Times New Roman" w:hAnsi="Times New Roman" w:eastAsia="宋体"/>
          <w:b w:val="0"/>
          <w:i w:val="0"/>
          <w:sz w:val="21"/>
        </w:rPr>
        <w:t xml:space="preserve"> 功率越高。</w:t>
      </w:r>
    </w:p>
    <w:p>
      <w:pPr>
        <w:spacing w:after="100"/>
        <w:ind w:firstLine="0"/>
      </w:pPr>
      <w:r>
        <w:rPr>
          <w:rFonts w:ascii="Times New Roman" w:hAnsi="Times New Roman" w:eastAsia="宋体"/>
          <w:b/>
          <w:i w:val="0"/>
          <w:sz w:val="21"/>
        </w:rPr>
        <w:t>k-ε 模型</w:t>
      </w:r>
      <w:r>
        <w:rPr>
          <w:rFonts w:ascii="Times New Roman" w:hAnsi="Times New Roman" w:eastAsia="宋体"/>
          <w:b w:val="0"/>
          <w:i w:val="0"/>
          <w:sz w:val="21"/>
        </w:rPr>
        <w:t xml:space="preserve">用两个输运方程求 </w:t>
      </w:r>
      <m:oMath>
        <m:r>
          <m:t>k</m:t>
        </m:r>
      </m:oMath>
      <w:r>
        <w:rPr>
          <w:rFonts w:ascii="Times New Roman" w:hAnsi="Times New Roman" w:eastAsia="宋体"/>
          <w:b w:val="0"/>
          <w:i w:val="0"/>
          <w:sz w:val="21"/>
        </w:rPr>
        <w:t xml:space="preserve"> 与 </w:t>
      </w:r>
      <m:oMath>
        <m:r>
          <m:t>ε</m:t>
        </m:r>
      </m:oMath>
      <w:r>
        <w:rPr>
          <w:rFonts w:ascii="Times New Roman" w:hAnsi="Times New Roman" w:eastAsia="宋体"/>
          <w:b w:val="0"/>
          <w:i w:val="0"/>
          <w:sz w:val="21"/>
        </w:rPr>
        <w:t xml:space="preserve">，并组合出 </w:t>
      </w:r>
      <m:oMath>
        <m:sSub>
          <m:e>
            <m:r>
              <m:t>μ</m:t>
            </m:r>
          </m:e>
          <m:sub>
            <m:r>
              <m:t>t</m:t>
            </m:r>
          </m:sub>
        </m:sSub>
        <m:r>
          <m:t>=ρ</m:t>
        </m:r>
        <m:sSub>
          <m:e>
            <m:r>
              <m:t>C</m:t>
            </m:r>
          </m:e>
          <m:sub>
            <m:r>
              <m:t>μ</m:t>
            </m:r>
          </m:sub>
        </m:sSub>
        <m:sSup>
          <m:e>
            <m:r>
              <m:t>k</m:t>
            </m:r>
          </m:e>
          <m:sup>
            <m:r>
              <m:t>2</m:t>
            </m:r>
          </m:sup>
        </m:sSup>
        <m:r>
          <m:t>/ε</m:t>
        </m:r>
      </m:oMath>
      <w:r>
        <w:rPr>
          <w:rFonts w:ascii="Times New Roman" w:hAnsi="Times New Roman" w:eastAsia="宋体"/>
          <w:b w:val="0"/>
          <w:i w:val="0"/>
          <w:sz w:val="21"/>
        </w:rPr>
        <w:t>。其五个模型常数（</w:t>
      </w:r>
      <m:oMath>
        <m:sSub>
          <m:e>
            <m:r>
              <m:t>C</m:t>
            </m:r>
          </m:e>
          <m:sub>
            <m:r>
              <m:t>μ</m:t>
            </m:r>
          </m:sub>
        </m:sSub>
        <m:r>
          <m:t>=0.09</m:t>
        </m:r>
      </m:oMath>
      <w:r>
        <w:rPr>
          <w:rFonts w:ascii="Times New Roman" w:hAnsi="Times New Roman" w:eastAsia="宋体"/>
          <w:b w:val="0"/>
          <w:i w:val="0"/>
          <w:sz w:val="21"/>
        </w:rPr>
        <w:t>、</w:t>
      </w:r>
      <m:oMath>
        <m:sSub>
          <m:e>
            <m:r>
              <m:t>C</m:t>
            </m:r>
          </m:e>
          <m:sub>
            <m:r>
              <m:t>1ε</m:t>
            </m:r>
          </m:sub>
        </m:sSub>
        <m:r>
          <m:t>=1.44</m:t>
        </m:r>
      </m:oMath>
      <w:r>
        <w:rPr>
          <w:rFonts w:ascii="Times New Roman" w:hAnsi="Times New Roman" w:eastAsia="宋体"/>
          <w:b w:val="0"/>
          <w:i w:val="0"/>
          <w:sz w:val="21"/>
        </w:rPr>
        <w:t>、</w:t>
      </w:r>
      <m:oMath>
        <m:sSub>
          <m:e>
            <m:r>
              <m:t>C</m:t>
            </m:r>
          </m:e>
          <m:sub>
            <m:r>
              <m:t>2ε</m:t>
            </m:r>
          </m:sub>
        </m:sSub>
        <m:r>
          <m:t>=1.92</m:t>
        </m:r>
      </m:oMath>
      <w:r>
        <w:rPr>
          <w:rFonts w:ascii="Times New Roman" w:hAnsi="Times New Roman" w:eastAsia="宋体"/>
          <w:b w:val="0"/>
          <w:i w:val="0"/>
          <w:sz w:val="21"/>
        </w:rPr>
        <w:t>、</w:t>
      </w:r>
      <m:oMath>
        <m:sSub>
          <m:e>
            <m:r>
              <m:t>σ</m:t>
            </m:r>
          </m:e>
          <m:sub>
            <m:r>
              <m:t>k</m:t>
            </m:r>
          </m:sub>
        </m:sSub>
        <m:r>
          <m:t>=1.0</m:t>
        </m:r>
      </m:oMath>
      <w:r>
        <w:rPr>
          <w:rFonts w:ascii="Times New Roman" w:hAnsi="Times New Roman" w:eastAsia="宋体"/>
          <w:b w:val="0"/>
          <w:i w:val="0"/>
          <w:sz w:val="21"/>
        </w:rPr>
        <w:t>、</w:t>
      </w:r>
      <m:oMath>
        <m:sSub>
          <m:e>
            <m:r>
              <m:t>σ</m:t>
            </m:r>
          </m:e>
          <m:sub>
            <m:r>
              <m:t>ε</m:t>
            </m:r>
          </m:sub>
        </m:sSub>
        <m:r>
          <m:t>=1.3</m:t>
        </m:r>
      </m:oMath>
      <w:r>
        <w:rPr>
          <w:rFonts w:ascii="Times New Roman" w:hAnsi="Times New Roman" w:eastAsia="宋体"/>
          <w:b w:val="0"/>
          <w:i w:val="0"/>
          <w:sz w:val="21"/>
        </w:rPr>
        <w:t>）不是从第一性原理推出，而是用经典流动标定的，因此对风电场这种大尺度、强切变、带强体积力的流动</w:t>
      </w:r>
      <w:r>
        <w:rPr>
          <w:rFonts w:ascii="Times New Roman" w:hAnsi="Times New Roman" w:eastAsia="宋体"/>
          <w:b/>
          <w:i w:val="0"/>
          <w:sz w:val="21"/>
        </w:rPr>
        <w:t>只是近似</w:t>
      </w:r>
      <w:r>
        <w:rPr>
          <w:rFonts w:ascii="Times New Roman" w:hAnsi="Times New Roman" w:eastAsia="宋体"/>
          <w:b w:val="0"/>
          <w:i w:val="0"/>
          <w:sz w:val="21"/>
        </w:rPr>
        <w:t>；结果不对时应先查网格与边界条件，而非调这些常数。</w:t>
      </w:r>
    </w:p>
    <w:p>
      <w:pPr>
        <w:spacing w:after="100"/>
        <w:ind w:firstLine="0"/>
      </w:pPr>
      <w:r>
        <w:rPr>
          <w:rFonts w:ascii="Times New Roman" w:hAnsi="Times New Roman" w:eastAsia="宋体"/>
          <w:b/>
          <w:i w:val="0"/>
          <w:sz w:val="21"/>
        </w:rPr>
        <w:t>k-ω SST</w:t>
      </w:r>
      <w:r>
        <w:rPr>
          <w:rFonts w:ascii="Times New Roman" w:hAnsi="Times New Roman" w:eastAsia="宋体"/>
          <w:b w:val="0"/>
          <w:i w:val="0"/>
          <w:sz w:val="21"/>
        </w:rPr>
        <w:t xml:space="preserve"> 用混合函数在近壁取 k-ω、远场取 k-ε 的行为，并加剪切应力限制器，对分离区（塔架尾流、机舱后方）刻画更好，故风电场外流场通常推荐使用。</w:t>
      </w:r>
    </w:p>
    <w:p>
      <w:pPr>
        <w:spacing w:after="100"/>
        <w:ind w:firstLine="0"/>
      </w:pPr>
      <w:r>
        <w:rPr>
          <w:rFonts w:ascii="Times New Roman" w:hAnsi="Times New Roman" w:eastAsia="宋体"/>
          <w:b/>
          <w:i w:val="0"/>
          <w:sz w:val="21"/>
        </w:rPr>
        <w:t>LES（大涡模拟）</w:t>
      </w:r>
      <w:r>
        <w:rPr>
          <w:rFonts w:ascii="Times New Roman" w:hAnsi="Times New Roman" w:eastAsia="宋体"/>
          <w:b w:val="0"/>
          <w:i w:val="0"/>
          <w:sz w:val="21"/>
        </w:rPr>
        <w:t xml:space="preserve"> 走另一条路：大涡直接算、只对小涡建模。其数学操作是空间滤波，滤波宽度取 </w:t>
      </w:r>
      <m:oMath>
        <m:r>
          <m:t>Δ=</m:t>
        </m:r>
        <m:sSubSup>
          <m:e>
            <m:r>
              <m:t>V</m:t>
            </m:r>
          </m:e>
          <m:sub>
            <m:r>
              <m:t>cell</m:t>
            </m:r>
          </m:sub>
          <m:sup>
            <m:f>
              <m:fPr>
                <m:type m:val="lin"/>
              </m:fPr>
              <m:num>
                <m:r>
                  <m:t>1</m:t>
                </m:r>
              </m:num>
              <m:den>
                <m:r>
                  <m:t>3</m:t>
                </m:r>
              </m:den>
            </m:f>
          </m:sup>
        </m:sSubSup>
      </m:oMath>
      <w:r>
        <w:rPr>
          <w:rFonts w:ascii="Times New Roman" w:hAnsi="Times New Roman" w:eastAsia="宋体"/>
          <w:b w:val="0"/>
          <w:i w:val="0"/>
          <w:sz w:val="21"/>
        </w:rPr>
        <w:t>——</w:t>
      </w:r>
      <w:r>
        <w:rPr>
          <w:rFonts w:ascii="Times New Roman" w:hAnsi="Times New Roman" w:eastAsia="宋体"/>
          <w:b/>
          <w:i w:val="0"/>
          <w:sz w:val="21"/>
        </w:rPr>
        <w:t>这意味着网格尺寸直接决定"哪些尺度被算、哪些被建模"，加密网格不只是减小离散误差，而是在改变物理模型的分工</w:t>
      </w:r>
      <w:r>
        <w:rPr>
          <w:rFonts w:ascii="Times New Roman" w:hAnsi="Times New Roman" w:eastAsia="宋体"/>
          <w:b w:val="0"/>
          <w:i w:val="0"/>
          <w:sz w:val="21"/>
        </w:rPr>
        <w:t xml:space="preserve">。亚格子应力 </w:t>
      </w:r>
      <m:oMath>
        <m:sSubSup>
          <m:e>
            <m:r>
              <m:t>τ</m:t>
            </m:r>
          </m:e>
          <m:sub>
            <m:r>
              <m:t>ij</m:t>
            </m:r>
          </m:sub>
          <m:sup>
            <m:r>
              <m:t>SGS</m:t>
            </m:r>
          </m:sup>
        </m:sSubSup>
        <m:r>
          <m:t>=</m:t>
        </m:r>
        <m:limUpp>
          <m:e>
            <m:sSub>
              <m:e>
                <m:r>
                  <m:t>u</m:t>
                </m:r>
              </m:e>
              <m:sub>
                <m:r>
                  <m:t>i</m:t>
                </m:r>
              </m:sub>
            </m:sSub>
            <m:sSub>
              <m:e>
                <m:r>
                  <m:t>u</m:t>
                </m:r>
              </m:e>
              <m:sub>
                <m:r>
                  <m:t>j</m:t>
                </m:r>
              </m:sub>
            </m:sSub>
          </m:e>
          <m:lim>
            <m:r>
              <m:t>~</m:t>
            </m:r>
          </m:lim>
        </m:limUpp>
        <m:r>
          <m:t>−</m:t>
        </m:r>
        <m:sSub>
          <m:e>
            <m:limUpp>
              <m:e>
                <m:r>
                  <m:t>u</m:t>
                </m:r>
              </m:e>
              <m:lim>
                <m:r>
                  <m:t>~</m:t>
                </m:r>
              </m:lim>
            </m:limUpp>
          </m:e>
          <m:sub>
            <m:r>
              <m:t>i</m:t>
            </m:r>
          </m:sub>
        </m:sSub>
        <m:sSub>
          <m:e>
            <m:limUpp>
              <m:e>
                <m:r>
                  <m:t>u</m:t>
                </m:r>
              </m:e>
              <m:lim>
                <m:r>
                  <m:t>~</m:t>
                </m:r>
              </m:lim>
            </m:limUpp>
          </m:e>
          <m:sub>
            <m:r>
              <m:t>j</m:t>
            </m:r>
          </m:sub>
        </m:sSub>
      </m:oMath>
      <w:r>
        <w:rPr>
          <w:rFonts w:ascii="Times New Roman" w:hAnsi="Times New Roman" w:eastAsia="宋体"/>
          <w:b w:val="0"/>
          <w:i w:val="0"/>
          <w:sz w:val="21"/>
        </w:rPr>
        <w:t xml:space="preserve"> 需建模，最经典的是 Smagorinsky 模型 </w:t>
      </w:r>
      <m:oMath>
        <m:sSubSup>
          <m:e>
            <m:r>
              <m:t>ν</m:t>
            </m:r>
          </m:e>
          <m:sub>
            <m:r>
              <m:t>t</m:t>
            </m:r>
          </m:sub>
          <m:sup>
            <m:r>
              <m:t>SGS</m:t>
            </m:r>
          </m:sup>
        </m:sSubSup>
        <m:r>
          <m:t>=(</m:t>
        </m:r>
        <m:sSub>
          <m:e>
            <m:r>
              <m:t>C</m:t>
            </m:r>
          </m:e>
          <m:sub>
            <m:r>
              <m:t>s</m:t>
            </m:r>
          </m:sub>
        </m:sSub>
        <m:r>
          <m:t>Δ</m:t>
        </m:r>
        <m:sSup>
          <m:e>
            <m:r>
              <m:t>)</m:t>
            </m:r>
          </m:e>
          <m:sup>
            <m:r>
              <m:t>2</m:t>
            </m:r>
          </m:sup>
        </m:sSup>
        <m:r>
          <m:t>|</m:t>
        </m:r>
        <m:limUpp>
          <m:e>
            <m:r>
              <m:t>S</m:t>
            </m:r>
          </m:e>
          <m:lim>
            <m:r>
              <m:t>~</m:t>
            </m:r>
          </m:lim>
        </m:limUpp>
        <m:r>
          <m:t>|</m:t>
        </m:r>
      </m:oMath>
      <w:r>
        <w:rPr>
          <w:rFonts w:ascii="Times New Roman" w:hAnsi="Times New Roman" w:eastAsia="宋体"/>
          <w:b w:val="0"/>
          <w:i w:val="0"/>
          <w:sz w:val="21"/>
        </w:rPr>
        <w:t>；因其在层流剪切区错误给出非零涡黏、近壁衰减不正确，</w:t>
      </w:r>
      <w:r>
        <w:rPr>
          <w:rFonts w:ascii="Times New Roman" w:hAnsi="Times New Roman" w:eastAsia="宋体"/>
          <w:b/>
          <w:i w:val="0"/>
          <w:sz w:val="21"/>
        </w:rPr>
        <w:t>风电场的 LES 更推荐 WALE 模型</w:t>
      </w:r>
      <w:r>
        <w:rPr>
          <w:rFonts w:ascii="Times New Roman" w:hAnsi="Times New Roman" w:eastAsia="宋体"/>
          <w:b w:val="0"/>
          <w:i w:val="0"/>
          <w:sz w:val="21"/>
        </w:rPr>
        <w:t>。</w:t>
      </w:r>
    </w:p>
    <w:p>
      <w:pPr>
        <w:spacing w:after="100"/>
        <w:ind w:firstLine="0"/>
      </w:pPr>
      <w:r>
        <w:rPr>
          <w:rFonts w:ascii="Times New Roman" w:hAnsi="Times New Roman" w:eastAsia="宋体"/>
          <w:b w:val="0"/>
          <w:i w:val="0"/>
          <w:sz w:val="21"/>
        </w:rPr>
        <w:t>必须强调一个物理事实：</w:t>
      </w:r>
      <w:r>
        <w:rPr>
          <w:rFonts w:ascii="Times New Roman" w:hAnsi="Times New Roman" w:eastAsia="宋体"/>
          <w:b/>
          <w:i w:val="0"/>
          <w:sz w:val="21"/>
        </w:rPr>
        <w:t>真实尾流会左右摆动，单看某一时刻尾流是不对称、随机的，只有时间平均之后才得到稳定的尾流形态。</w:t>
      </w:r>
      <w:r>
        <w:rPr>
          <w:rFonts w:ascii="Times New Roman" w:hAnsi="Times New Roman" w:eastAsia="宋体"/>
          <w:b w:val="0"/>
          <w:i w:val="0"/>
          <w:sz w:val="21"/>
        </w:rPr>
        <w:t xml:space="preserve"> 拿瞬时场当结果是 LES 最经典的错误。</w:t>
      </w:r>
    </w:p>
    <w:p>
      <w:pPr>
        <w:pStyle w:val="Heading3"/>
      </w:pPr>
      <w:r>
        <w:rPr>
          <w:rFonts w:ascii="Times New Roman" w:hAnsi="Times New Roman" w:eastAsia="宋体"/>
          <w:b/>
          <w:i w:val="0"/>
          <w:sz w:val="24"/>
        </w:rPr>
        <w:t>5.5 风机如何进入方程：体积力源项</w:t>
      </w:r>
    </w:p>
    <w:p>
      <w:pPr>
        <w:spacing w:after="100"/>
        <w:ind w:firstLine="0"/>
      </w:pPr>
      <w:r>
        <w:rPr>
          <w:rFonts w:ascii="Times New Roman" w:hAnsi="Times New Roman" w:eastAsia="宋体"/>
          <w:b/>
          <w:i w:val="0"/>
          <w:sz w:val="21"/>
        </w:rPr>
        <w:t>风机不是几何，是体积力源项。</w:t>
      </w:r>
      <w:r>
        <w:rPr>
          <w:rFonts w:ascii="Times New Roman" w:hAnsi="Times New Roman" w:eastAsia="宋体"/>
          <w:b w:val="0"/>
          <w:i w:val="0"/>
          <w:sz w:val="21"/>
        </w:rPr>
        <w:t xml:space="preserve"> 这是本工作梳理中最关键的一条认识。</w:t>
      </w:r>
    </w:p>
    <w:p>
      <w:pPr>
        <w:spacing w:after="100"/>
        <w:ind w:firstLine="0"/>
      </w:pPr>
      <w:r>
        <w:rPr>
          <w:rFonts w:ascii="Times New Roman" w:hAnsi="Times New Roman" w:eastAsia="宋体"/>
          <w:b w:val="0"/>
          <w:i w:val="0"/>
          <w:sz w:val="21"/>
        </w:rPr>
        <w:t>Fluent 中常用</w:t>
      </w:r>
      <w:r>
        <w:rPr>
          <w:rFonts w:ascii="Times New Roman" w:hAnsi="Times New Roman" w:eastAsia="宋体"/>
          <w:b/>
          <w:i w:val="0"/>
          <w:sz w:val="21"/>
        </w:rPr>
        <w:t>致动盘</w:t>
      </w:r>
      <w:r>
        <w:rPr>
          <w:rFonts w:ascii="Times New Roman" w:hAnsi="Times New Roman" w:eastAsia="宋体"/>
          <w:b w:val="0"/>
          <w:i w:val="0"/>
          <w:sz w:val="21"/>
        </w:rPr>
        <w:t>模型：把风轮等效成一个"会吸风的圆盘"，在圆盘所在的那层网格里施加一个流向的体积力：</w:t>
      </w:r>
    </w:p>
    <w:p>
      <w:pPr>
        <w:spacing w:before="100" w:after="100" w:line="276" w:lineRule="auto"/>
        <w:jc w:val="center"/>
      </w:pPr>
      <m:oMath>
        <m:sSub>
          <m:e>
            <m:r>
              <m:t>f</m:t>
            </m:r>
          </m:e>
          <m:sub>
            <m:r>
              <m:t>x</m:t>
            </m:r>
          </m:sub>
        </m:sSub>
        <m:r>
          <m:t>=−</m:t>
        </m:r>
        <m:f>
          <m:fPr>
            <m:type m:val="bar"/>
          </m:fPr>
          <m:num>
            <m:r>
              <m:t>1</m:t>
            </m:r>
          </m:num>
          <m:den>
            <m:r>
              <m:t>2</m:t>
            </m:r>
          </m:den>
        </m:f>
        <m:r>
          <m:t>ρ</m:t>
        </m:r>
        <m:sSubSup>
          <m:e>
            <m:r>
              <m:t>U</m:t>
            </m:r>
          </m:e>
          <m:sub>
            <m:r>
              <m:t>disk</m:t>
            </m:r>
          </m:sub>
          <m:sup>
            <m:r>
              <m:t>2</m:t>
            </m:r>
          </m:sup>
        </m:sSubSup>
        <m:sSub>
          <m:e>
            <m:r>
              <m:t>C</m:t>
            </m:r>
          </m:e>
          <m:sub>
            <m:r>
              <m:t>T</m:t>
            </m:r>
          </m:sub>
        </m:sSub>
        <m:r>
          <m:t>/Δ</m:t>
        </m:r>
        <m:sSub>
          <m:e>
            <m:r>
              <m:t>x</m:t>
            </m:r>
          </m:e>
          <m:sub>
            <m:r>
              <m:t>disk</m:t>
            </m:r>
          </m:sub>
        </m:sSub>
      </m:oMath>
    </w:p>
    <w:p>
      <w:pPr>
        <w:spacing w:after="100"/>
        <w:ind w:firstLine="0"/>
      </w:pPr>
      <w:r>
        <w:rPr>
          <w:rFonts w:ascii="Times New Roman" w:hAnsi="Times New Roman" w:eastAsia="宋体"/>
          <w:b w:val="0"/>
          <w:i w:val="0"/>
          <w:sz w:val="21"/>
        </w:rPr>
        <w:t xml:space="preserve">其中 </w:t>
      </w:r>
      <m:oMath>
        <m:sSub>
          <m:e>
            <m:r>
              <m:t>U</m:t>
            </m:r>
          </m:e>
          <m:sub>
            <m:r>
              <m:t>disk</m:t>
            </m:r>
          </m:sub>
        </m:sSub>
      </m:oMath>
      <w:r>
        <w:rPr>
          <w:rFonts w:ascii="Times New Roman" w:hAnsi="Times New Roman" w:eastAsia="宋体"/>
          <w:b w:val="0"/>
          <w:i w:val="0"/>
          <w:sz w:val="21"/>
        </w:rPr>
        <w:t xml:space="preserve"> 是</w:t>
      </w:r>
      <w:r>
        <w:rPr>
          <w:rFonts w:ascii="Times New Roman" w:hAnsi="Times New Roman" w:eastAsia="宋体"/>
          <w:b/>
          <w:i w:val="0"/>
          <w:sz w:val="21"/>
        </w:rPr>
        <w:t>盘面当地</w:t>
      </w:r>
      <w:r>
        <w:rPr>
          <w:rFonts w:ascii="Times New Roman" w:hAnsi="Times New Roman" w:eastAsia="宋体"/>
          <w:b w:val="0"/>
          <w:i w:val="0"/>
          <w:sz w:val="21"/>
        </w:rPr>
        <w:t>风速（每个时间步从流场中读出），</w:t>
      </w:r>
      <m:oMath>
        <m:sSub>
          <m:e>
            <m:r>
              <m:t>C</m:t>
            </m:r>
          </m:e>
          <m:sub>
            <m:r>
              <m:t>T</m:t>
            </m:r>
          </m:sub>
        </m:sSub>
      </m:oMath>
      <w:r>
        <w:rPr>
          <w:rFonts w:ascii="Times New Roman" w:hAnsi="Times New Roman" w:eastAsia="宋体"/>
          <w:b w:val="0"/>
          <w:i w:val="0"/>
          <w:sz w:val="21"/>
        </w:rPr>
        <w:t xml:space="preserve"> 按 </w:t>
      </w:r>
      <m:oMath>
        <m:sSub>
          <m:e>
            <m:r>
              <m:t>U</m:t>
            </m:r>
          </m:e>
          <m:sub>
            <m:r>
              <m:t>disk</m:t>
            </m:r>
          </m:sub>
        </m:sSub>
      </m:oMath>
      <w:r>
        <w:rPr>
          <w:rFonts w:ascii="Times New Roman" w:hAnsi="Times New Roman" w:eastAsia="宋体"/>
          <w:b w:val="0"/>
          <w:i w:val="0"/>
          <w:sz w:val="21"/>
        </w:rPr>
        <w:t xml:space="preserve"> 查曲线，</w:t>
      </w:r>
      <m:oMath>
        <m:r>
          <m:t>Δ</m:t>
        </m:r>
        <m:sSub>
          <m:e>
            <m:r>
              <m:t>x</m:t>
            </m:r>
          </m:e>
          <m:sub>
            <m:r>
              <m:t>disk</m:t>
            </m:r>
          </m:sub>
        </m:sSub>
      </m:oMath>
      <w:r>
        <w:rPr>
          <w:rFonts w:ascii="Times New Roman" w:hAnsi="Times New Roman" w:eastAsia="宋体"/>
          <w:b w:val="0"/>
          <w:i w:val="0"/>
          <w:sz w:val="21"/>
        </w:rPr>
        <w:t xml:space="preserve"> 是力铺开的厚度。</w:t>
      </w:r>
      <w:r>
        <w:rPr>
          <w:rFonts w:ascii="Times New Roman" w:hAnsi="Times New Roman" w:eastAsia="宋体"/>
          <w:b/>
          <w:i w:val="0"/>
          <w:sz w:val="21"/>
        </w:rPr>
        <w:t xml:space="preserve">关键在 </w:t>
      </w:r>
      <m:oMath>
        <m:sSub>
          <m:e>
            <m:r>
              <m:t>U</m:t>
            </m:r>
          </m:e>
          <m:sub>
            <m:r>
              <m:t>disk</m:t>
            </m:r>
          </m:sub>
        </m:sSub>
      </m:oMath>
      <w:r>
        <w:rPr>
          <w:rFonts w:ascii="Times New Roman" w:hAnsi="Times New Roman" w:eastAsia="宋体"/>
          <w:b/>
          <w:i w:val="0"/>
          <w:sz w:val="21"/>
        </w:rPr>
        <w:t xml:space="preserve"> 必须是当地值</w:t>
      </w:r>
      <w:r>
        <w:rPr>
          <w:rFonts w:ascii="Times New Roman" w:hAnsi="Times New Roman" w:eastAsia="宋体"/>
          <w:b w:val="0"/>
          <w:i w:val="0"/>
          <w:sz w:val="21"/>
        </w:rPr>
        <w:t>——因为盘面风速本身受尾流影响，若用入口风速就不自洽了。这就是需要写 UDF（用户自定义函数）的原因。</w:t>
      </w:r>
    </w:p>
    <w:p>
      <w:pPr>
        <w:spacing w:after="100"/>
        <w:ind w:firstLine="0"/>
      </w:pPr>
      <w:r>
        <w:rPr>
          <w:rFonts w:ascii="Times New Roman" w:hAnsi="Times New Roman" w:eastAsia="宋体"/>
          <w:b/>
          <w:i w:val="0"/>
          <w:sz w:val="21"/>
        </w:rPr>
        <w:t>致动盘丢掉了什么</w:t>
      </w:r>
      <w:r>
        <w:rPr>
          <w:rFonts w:ascii="Times New Roman" w:hAnsi="Times New Roman" w:eastAsia="宋体"/>
          <w:b w:val="0"/>
          <w:i w:val="0"/>
          <w:sz w:val="21"/>
        </w:rPr>
        <w:t>：力在盘面周向均匀分布，因此没有叶尖涡、没有叶片通过频率、没有塔影、没有尾流旋转，</w:t>
      </w:r>
      <w:r>
        <w:rPr>
          <w:rFonts w:ascii="Times New Roman" w:hAnsi="Times New Roman" w:eastAsia="宋体"/>
          <w:b/>
          <w:i w:val="0"/>
          <w:sz w:val="21"/>
        </w:rPr>
        <w:t>近尾流区（3D 以内）的湍动能会被明显低估</w:t>
      </w:r>
      <w:r>
        <w:rPr>
          <w:rFonts w:ascii="Times New Roman" w:hAnsi="Times New Roman" w:eastAsia="宋体"/>
          <w:b w:val="0"/>
          <w:i w:val="0"/>
          <w:sz w:val="21"/>
        </w:rPr>
        <w:t>。但远场尾流（3D 以外）的速度亏损与积分量（功率、推力）与更精细方法差别不大。</w:t>
      </w:r>
    </w:p>
    <w:p>
      <w:pPr>
        <w:spacing w:after="100"/>
        <w:ind w:firstLine="0"/>
      </w:pPr>
      <w:r>
        <w:rPr>
          <w:rFonts w:ascii="Times New Roman" w:hAnsi="Times New Roman" w:eastAsia="宋体"/>
          <w:b w:val="0"/>
          <w:i w:val="0"/>
          <w:sz w:val="21"/>
        </w:rPr>
        <w:t>对本项目而言，机间距恰好是 3D——</w:t>
      </w:r>
      <w:r>
        <w:rPr>
          <w:rFonts w:ascii="Times New Roman" w:hAnsi="Times New Roman" w:eastAsia="宋体"/>
          <w:b/>
          <w:i w:val="0"/>
          <w:sz w:val="21"/>
        </w:rPr>
        <w:t>正处在"致动盘误差开始变大"的边界上</w:t>
      </w:r>
      <w:r>
        <w:rPr>
          <w:rFonts w:ascii="Times New Roman" w:hAnsi="Times New Roman" w:eastAsia="宋体"/>
          <w:b w:val="0"/>
          <w:i w:val="0"/>
          <w:sz w:val="21"/>
        </w:rPr>
        <w:t>。因此建议方案为：主计算用致动盘，在 2–3 个代表性工况上用致动线校核，量化"致动盘究竟差多少"；这个量化结果本身就是一份可交付成果。</w:t>
      </w:r>
    </w:p>
    <w:p>
      <w:pPr>
        <w:pStyle w:val="Heading3"/>
      </w:pPr>
      <w:r>
        <w:rPr>
          <w:rFonts w:ascii="Times New Roman" w:hAnsi="Times New Roman" w:eastAsia="宋体"/>
          <w:b/>
          <w:i w:val="0"/>
          <w:sz w:val="24"/>
        </w:rPr>
        <w:t>5.6 网格与数值格式</w:t>
      </w:r>
    </w:p>
    <w:p>
      <w:pPr>
        <w:spacing w:after="100"/>
        <w:ind w:firstLine="0"/>
      </w:pPr>
      <w:r>
        <w:rPr>
          <w:rFonts w:ascii="Times New Roman" w:hAnsi="Times New Roman" w:eastAsia="宋体"/>
          <w:b w:val="0"/>
          <w:i w:val="0"/>
          <w:sz w:val="21"/>
        </w:rPr>
        <w:t>网格的作用是把连续问题变成有限问题。每个单元自带一套离散方程系数，其账本形式为：</w:t>
      </w:r>
    </w:p>
    <w:p>
      <w:pPr>
        <w:spacing w:before="100" w:after="100" w:line="276" w:lineRule="auto"/>
        <w:jc w:val="center"/>
      </w:pPr>
      <m:oMath>
        <m:sSub>
          <m:e>
            <m:r>
              <m:t>a</m:t>
            </m:r>
          </m:e>
          <m:sub>
            <m:r>
              <m:t>P</m:t>
            </m:r>
          </m:sub>
        </m:sSub>
        <m:sSub>
          <m:e>
            <m:r>
              <m:t>ϕ</m:t>
            </m:r>
          </m:e>
          <m:sub>
            <m:r>
              <m:t>P</m:t>
            </m:r>
          </m:sub>
        </m:sSub>
        <m:r>
          <m:t>=</m:t>
        </m:r>
        <m:nary>
          <m:naryPr>
            <m:chr m:val="∑"/>
            <m:limLoc m:val="subSup"/>
            <m:grow m:val="1"/>
            <m:subHide m:val="off"/>
            <m:supHide m:val="on"/>
          </m:naryPr>
          <m:sub>
            <m:r>
              <m:t>nb</m:t>
            </m:r>
          </m:sub>
          <m:sup/>
          <m:e>
            <m:sSub>
              <m:e>
                <m:r>
                  <m:t>a</m:t>
                </m:r>
              </m:e>
              <m:sub>
                <m:r>
                  <m:t>nb</m:t>
                </m:r>
              </m:sub>
            </m:sSub>
          </m:e>
        </m:nary>
        <m:sSub>
          <m:e>
            <m:r>
              <m:t>ϕ</m:t>
            </m:r>
          </m:e>
          <m:sub>
            <m:r>
              <m:t>nb</m:t>
            </m:r>
          </m:sub>
        </m:sSub>
        <m:r>
          <m:t>+</m:t>
        </m:r>
        <m:sSub>
          <m:e>
            <m:r>
              <m:t>b</m:t>
            </m:r>
          </m:e>
          <m:sub>
            <m:r>
              <m:t>P</m:t>
            </m:r>
          </m:sub>
        </m:sSub>
      </m:oMath>
    </w:p>
    <w:p>
      <w:pPr>
        <w:spacing w:after="100"/>
        <w:ind w:firstLine="0"/>
      </w:pPr>
      <w:r>
        <w:rPr>
          <w:rFonts w:ascii="Times New Roman" w:hAnsi="Times New Roman" w:eastAsia="宋体"/>
          <w:b w:val="0"/>
          <w:i w:val="0"/>
          <w:sz w:val="21"/>
        </w:rPr>
        <w:t>即</w:t>
      </w:r>
      <w:r>
        <w:rPr>
          <w:rFonts w:ascii="Times New Roman" w:hAnsi="Times New Roman" w:eastAsia="宋体"/>
          <w:b/>
          <w:i w:val="0"/>
          <w:sz w:val="21"/>
        </w:rPr>
        <w:t>"本单元的值取决于各面邻居的值，再叠上自己的源项"</w:t>
      </w:r>
      <w:r>
        <w:rPr>
          <w:rFonts w:ascii="Times New Roman" w:hAnsi="Times New Roman" w:eastAsia="宋体"/>
          <w:b w:val="0"/>
          <w:i w:val="0"/>
          <w:sz w:val="21"/>
        </w:rPr>
        <w:t>。若单元位于风轮盘面上，</w:t>
      </w:r>
      <m:oMath>
        <m:sSub>
          <m:e>
            <m:r>
              <m:t>b</m:t>
            </m:r>
          </m:e>
          <m:sub>
            <m:r>
              <m:t>P</m:t>
            </m:r>
          </m:sub>
        </m:sSub>
      </m:oMath>
      <w:r>
        <w:rPr>
          <w:rFonts w:ascii="Times New Roman" w:hAnsi="Times New Roman" w:eastAsia="宋体"/>
          <w:b w:val="0"/>
          <w:i w:val="0"/>
          <w:sz w:val="21"/>
        </w:rPr>
        <w:t xml:space="preserve"> 中就多出一大块 </w:t>
      </w:r>
      <m:oMath>
        <m:sSub>
          <m:e>
            <m:r>
              <m:t>f</m:t>
            </m:r>
          </m:e>
          <m:sub>
            <m:r>
              <m:t>x</m:t>
            </m:r>
          </m:sub>
        </m:sSub>
        <m:sSub>
          <m:e>
            <m:r>
              <m:t>V</m:t>
            </m:r>
          </m:e>
          <m:sub>
            <m:r>
              <m:t>P</m:t>
            </m:r>
          </m:sub>
        </m:sSub>
      </m:oMath>
      <w:r>
        <w:rPr>
          <w:rFonts w:ascii="Times New Roman" w:hAnsi="Times New Roman" w:eastAsia="宋体"/>
          <w:b w:val="0"/>
          <w:i w:val="0"/>
          <w:sz w:val="21"/>
        </w:rPr>
        <w:t>——这就是风轮作用力进入计算的全部方式。边界单元则用边界值替换"不存在的邻居"，因此</w:t>
      </w:r>
      <w:r>
        <w:rPr>
          <w:rFonts w:ascii="Times New Roman" w:hAnsi="Times New Roman" w:eastAsia="宋体"/>
          <w:b/>
          <w:i w:val="0"/>
          <w:sz w:val="21"/>
        </w:rPr>
        <w:t>边界条件不是一句口号，它具体地改变了边界单元那几个系数与源项的取值</w:t>
      </w:r>
      <w:r>
        <w:rPr>
          <w:rFonts w:ascii="Times New Roman" w:hAnsi="Times New Roman" w:eastAsia="宋体"/>
          <w:b w:val="0"/>
          <w:i w:val="0"/>
          <w:sz w:val="21"/>
        </w:rPr>
        <w:t>。</w:t>
      </w:r>
    </w:p>
    <w:p>
      <w:pPr>
        <w:spacing w:after="100"/>
        <w:ind w:firstLine="0"/>
      </w:pPr>
      <w:r>
        <w:rPr>
          <w:rFonts w:ascii="Times New Roman" w:hAnsi="Times New Roman" w:eastAsia="宋体"/>
          <w:b w:val="0"/>
          <w:i w:val="0"/>
          <w:sz w:val="21"/>
        </w:rPr>
        <w:t>需要澄清一个常见误解：单元之间</w:t>
      </w:r>
      <w:r>
        <w:rPr>
          <w:rFonts w:ascii="Times New Roman" w:hAnsi="Times New Roman" w:eastAsia="宋体"/>
          <w:b/>
          <w:i w:val="0"/>
          <w:sz w:val="21"/>
        </w:rPr>
        <w:t>不是把物理量线性叠加，而是加权平均</w:t>
      </w:r>
      <w:r>
        <w:rPr>
          <w:rFonts w:ascii="Times New Roman" w:hAnsi="Times New Roman" w:eastAsia="宋体"/>
          <w:b w:val="0"/>
          <w:i w:val="0"/>
          <w:sz w:val="21"/>
        </w:rPr>
        <w:t xml:space="preserve">，即 </w:t>
      </w:r>
      <m:oMath>
        <m:sSub>
          <m:e>
            <m:r>
              <m:t>ϕ</m:t>
            </m:r>
          </m:e>
          <m:sub>
            <m:r>
              <m:t>P</m:t>
            </m:r>
          </m:sub>
        </m:sSub>
        <m:r>
          <m:t>=</m:t>
        </m:r>
        <m:nary>
          <m:naryPr>
            <m:chr m:val="∑"/>
            <m:limLoc m:val="subSup"/>
            <m:grow m:val="1"/>
            <m:subHide m:val="off"/>
            <m:supHide m:val="on"/>
          </m:naryPr>
          <m:sub>
            <m:r>
              <m:t>nb</m:t>
            </m:r>
          </m:sub>
          <m:sup/>
          <m:e>
            <m:r>
              <m:t>(</m:t>
            </m:r>
          </m:e>
        </m:nary>
        <m:sSub>
          <m:e>
            <m:r>
              <m:t>a</m:t>
            </m:r>
          </m:e>
          <m:sub>
            <m:r>
              <m:t>nb</m:t>
            </m:r>
          </m:sub>
        </m:sSub>
        <m:r>
          <m:t>/</m:t>
        </m:r>
        <m:sSub>
          <m:e>
            <m:r>
              <m:t>a</m:t>
            </m:r>
          </m:e>
          <m:sub>
            <m:r>
              <m:t>P</m:t>
            </m:r>
          </m:sub>
        </m:sSub>
        <m:r>
          <m:t>)</m:t>
        </m:r>
        <m:sSub>
          <m:e>
            <m:r>
              <m:t>ϕ</m:t>
            </m:r>
          </m:e>
          <m:sub>
            <m:r>
              <m:t>nb</m:t>
            </m:r>
          </m:sub>
        </m:sSub>
        <m:r>
          <m:t>+</m:t>
        </m:r>
        <m:sSub>
          <m:e>
            <m:r>
              <m:t>b</m:t>
            </m:r>
          </m:e>
          <m:sub>
            <m:r>
              <m:t>P</m:t>
            </m:r>
          </m:sub>
        </m:sSub>
        <m:r>
          <m:t>/</m:t>
        </m:r>
        <m:sSub>
          <m:e>
            <m:r>
              <m:t>a</m:t>
            </m:r>
          </m:e>
          <m:sub>
            <m:r>
              <m:t>P</m:t>
            </m:r>
          </m:sub>
        </m:sSub>
      </m:oMath>
      <w:r>
        <w:rPr>
          <w:rFonts w:ascii="Times New Roman" w:hAnsi="Times New Roman" w:eastAsia="宋体"/>
          <w:b w:val="0"/>
          <w:i w:val="0"/>
          <w:sz w:val="21"/>
        </w:rPr>
        <w:t xml:space="preserve">，且满足 </w:t>
      </w:r>
      <m:oMath>
        <m:sSub>
          <m:e>
            <m:r>
              <m:t>a</m:t>
            </m:r>
          </m:e>
          <m:sub>
            <m:r>
              <m:t>nb</m:t>
            </m:r>
          </m:sub>
        </m:sSub>
        <m:r>
          <m:t>≥0</m:t>
        </m:r>
      </m:oMath>
      <w:r>
        <w:rPr>
          <w:rFonts w:ascii="Times New Roman" w:hAnsi="Times New Roman" w:eastAsia="宋体"/>
          <w:b w:val="0"/>
          <w:i w:val="0"/>
          <w:sz w:val="21"/>
        </w:rPr>
        <w:t>、</w:t>
      </w:r>
      <m:oMath>
        <m:r>
          <m:t>∑</m:t>
        </m:r>
        <m:sSub>
          <m:e>
            <m:r>
              <m:t>a</m:t>
            </m:r>
          </m:e>
          <m:sub>
            <m:r>
              <m:t>nb</m:t>
            </m:r>
          </m:sub>
        </m:sSub>
        <m:r>
          <m:t>/</m:t>
        </m:r>
        <m:sSub>
          <m:e>
            <m:r>
              <m:t>a</m:t>
            </m:r>
          </m:e>
          <m:sub>
            <m:r>
              <m:t>P</m:t>
            </m:r>
          </m:sub>
        </m:sSub>
        <m:r>
          <m:t>≤1</m:t>
        </m:r>
      </m:oMath>
      <w:r>
        <w:rPr>
          <w:rFonts w:ascii="Times New Roman" w:hAnsi="Times New Roman" w:eastAsia="宋体"/>
          <w:b w:val="0"/>
          <w:i w:val="0"/>
          <w:sz w:val="21"/>
        </w:rPr>
        <w:t>。这两条性质给出</w:t>
      </w:r>
      <w:r>
        <w:rPr>
          <w:rFonts w:ascii="Times New Roman" w:hAnsi="Times New Roman" w:eastAsia="宋体"/>
          <w:b/>
          <w:i w:val="0"/>
          <w:sz w:val="21"/>
        </w:rPr>
        <w:t>离散极值原理</w:t>
      </w:r>
      <w:r>
        <w:rPr>
          <w:rFonts w:ascii="Times New Roman" w:hAnsi="Times New Roman" w:eastAsia="宋体"/>
          <w:b w:val="0"/>
          <w:i w:val="0"/>
          <w:sz w:val="21"/>
        </w:rPr>
        <w:t>：新值必然落在邻居值范围内，解不会出现凭空冒出的极值点。一阶迎风格式能保证系数非负（故绝对稳定），高阶格式可能产生负系数从而出现过冲振荡，必须加限制器。</w:t>
      </w:r>
    </w:p>
    <w:p>
      <w:pPr>
        <w:spacing w:after="100"/>
        <w:ind w:firstLine="0"/>
      </w:pPr>
      <w:r>
        <w:rPr>
          <w:rFonts w:ascii="Times New Roman" w:hAnsi="Times New Roman" w:eastAsia="宋体"/>
          <w:b/>
          <w:i w:val="0"/>
          <w:sz w:val="21"/>
        </w:rPr>
        <w:t>数值扩散</w:t>
      </w:r>
      <w:r>
        <w:rPr>
          <w:rFonts w:ascii="Times New Roman" w:hAnsi="Times New Roman" w:eastAsia="宋体"/>
          <w:b w:val="0"/>
          <w:i w:val="0"/>
          <w:sz w:val="21"/>
        </w:rPr>
        <w:t>是必须警惕的现象。一阶迎风格式的截断误差在数学上等价于向方程中额外加入一项扩散：</w:t>
      </w:r>
    </w:p>
    <w:p>
      <w:pPr>
        <w:spacing w:before="100" w:after="100" w:line="276" w:lineRule="auto"/>
        <w:jc w:val="center"/>
      </w:pPr>
      <m:oMath>
        <m:sSub>
          <m:e>
            <m:r>
              <m:t>Γ</m:t>
            </m:r>
          </m:e>
          <m:sub>
            <m:r>
              <m:t>num</m:t>
            </m:r>
          </m:sub>
        </m:sSub>
        <m:r>
          <m:t>≈</m:t>
        </m:r>
        <m:f>
          <m:fPr>
            <m:type m:val="bar"/>
          </m:fPr>
          <m:num>
            <m:r>
              <m:t>ρuΔx</m:t>
            </m:r>
          </m:num>
          <m:den>
            <m:r>
              <m:t>2</m:t>
            </m:r>
          </m:den>
        </m:f>
      </m:oMath>
    </w:p>
    <w:p>
      <w:pPr>
        <w:spacing w:after="100"/>
        <w:ind w:firstLine="0"/>
      </w:pPr>
      <w:r>
        <w:rPr>
          <w:rFonts w:ascii="Times New Roman" w:hAnsi="Times New Roman" w:eastAsia="宋体"/>
          <w:b w:val="0"/>
          <w:i w:val="0"/>
          <w:sz w:val="21"/>
        </w:rPr>
        <w:t>它与真实湍流扩散在方程里形式完全相同，从结果上无法区分。后果是</w:t>
      </w:r>
      <w:r>
        <w:rPr>
          <w:rFonts w:ascii="Times New Roman" w:hAnsi="Times New Roman" w:eastAsia="宋体"/>
          <w:b/>
          <w:i w:val="0"/>
          <w:sz w:val="21"/>
        </w:rPr>
        <w:t>假扩散把尾流抹宽、抹浅，下游风机功率被算高，且网格越粗越严重</w:t>
      </w:r>
      <w:r>
        <w:rPr>
          <w:rFonts w:ascii="Times New Roman" w:hAnsi="Times New Roman" w:eastAsia="宋体"/>
          <w:b w:val="0"/>
          <w:i w:val="0"/>
          <w:sz w:val="21"/>
        </w:rPr>
        <w:t>。这就是为什么一阶格式只能热身，正式结果必须用二阶（LES 必须有界中心差分）。</w:t>
      </w:r>
    </w:p>
    <w:p>
      <w:pPr>
        <w:spacing w:after="100"/>
        <w:ind w:firstLine="0"/>
      </w:pPr>
      <w:r>
        <w:rPr>
          <w:rFonts w:ascii="Times New Roman" w:hAnsi="Times New Roman" w:eastAsia="宋体"/>
          <w:b w:val="0"/>
          <w:i w:val="0"/>
          <w:sz w:val="21"/>
        </w:rPr>
        <w:t xml:space="preserve">按风轮直径 </w:t>
      </w:r>
      <m:oMath>
        <m:r>
          <m:t>D=126</m:t>
        </m:r>
      </m:oMath>
      <w:r>
        <w:rPr>
          <w:rFonts w:ascii="Times New Roman" w:hAnsi="Times New Roman" w:eastAsia="宋体"/>
          <w:b w:val="0"/>
          <w:i w:val="0"/>
          <w:sz w:val="21"/>
        </w:rPr>
        <w:t xml:space="preserve"> m 计，网格尺度的建议分级为：风轮区与近尾流（下游 3D 内）每 D 约 20–40 个单元（对应 3–6 m）；中远尾流 10–20 个（6–12 m）；远场 5–10 个（12–25 m）。全场均匀加密的计算量不可承受，故需局部加密。</w:t>
      </w:r>
    </w:p>
    <w:p>
      <w:pPr>
        <w:pStyle w:val="Heading3"/>
      </w:pPr>
      <w:r>
        <w:rPr>
          <w:rFonts w:ascii="Times New Roman" w:hAnsi="Times New Roman" w:eastAsia="宋体"/>
          <w:b/>
          <w:i w:val="0"/>
          <w:sz w:val="24"/>
        </w:rPr>
        <w:t>5.7 从场到数字，以及凭什么相信结果</w:t>
      </w:r>
    </w:p>
    <w:p>
      <w:pPr>
        <w:spacing w:after="100"/>
        <w:ind w:firstLine="0"/>
      </w:pPr>
      <w:r>
        <w:rPr>
          <w:rFonts w:ascii="Times New Roman" w:hAnsi="Times New Roman" w:eastAsia="宋体"/>
          <w:b w:val="0"/>
          <w:i w:val="0"/>
          <w:sz w:val="21"/>
        </w:rPr>
        <w:t>Fluent 算完给的是三维场，而需要的是"每台风机一个功率数"。最直接的取法是看体积力做了多少功：</w:t>
      </w:r>
    </w:p>
    <w:p>
      <w:pPr>
        <w:spacing w:before="100" w:after="100" w:line="276" w:lineRule="auto"/>
        <w:jc w:val="center"/>
      </w:pPr>
      <m:oMath>
        <m:r>
          <m:t>P=−</m:t>
        </m:r>
        <m:nary>
          <m:naryPr>
            <m:chr m:val="∫"/>
            <m:limLoc m:val="subSup"/>
            <m:grow m:val="1"/>
            <m:subHide m:val="off"/>
            <m:supHide m:val="on"/>
          </m:naryPr>
          <m:sub>
            <m:r>
              <m:t>V</m:t>
            </m:r>
          </m:sub>
          <m:sup/>
          <m:e>
            <m:sSub>
              <m:e>
                <m:r>
                  <m:t>f</m:t>
                </m:r>
              </m:e>
              <m:sub>
                <m:r>
                  <m:t>x</m:t>
                </m:r>
              </m:sub>
            </m:sSub>
          </m:e>
        </m:nary>
        <m:sSub>
          <m:e>
            <m:r>
              <m:t>u</m:t>
            </m:r>
          </m:e>
          <m:sub>
            <m:r>
              <m:t>x</m:t>
            </m:r>
          </m:sub>
        </m:sSub>
        <m:r>
          <m:t>dV</m:t>
        </m:r>
      </m:oMath>
    </w:p>
    <w:p>
      <w:pPr>
        <w:spacing w:after="100"/>
        <w:ind w:firstLine="0"/>
      </w:pPr>
      <w:r>
        <w:rPr>
          <w:rFonts w:ascii="Times New Roman" w:hAnsi="Times New Roman" w:eastAsia="宋体"/>
          <w:b w:val="0"/>
          <w:i w:val="0"/>
          <w:sz w:val="21"/>
        </w:rPr>
        <w:t>负号表示体积力是从空气中</w:t>
      </w:r>
      <w:r>
        <w:rPr>
          <w:rFonts w:ascii="Times New Roman" w:hAnsi="Times New Roman" w:eastAsia="宋体"/>
          <w:b/>
          <w:i w:val="0"/>
          <w:sz w:val="21"/>
        </w:rPr>
        <w:t>取走</w:t>
      </w:r>
      <w:r>
        <w:rPr>
          <w:rFonts w:ascii="Times New Roman" w:hAnsi="Times New Roman" w:eastAsia="宋体"/>
          <w:b w:val="0"/>
          <w:i w:val="0"/>
          <w:sz w:val="21"/>
        </w:rPr>
        <w:t>能量。另外两种取法（叶片力矩法、控制体收支法）可用于交叉验证，三个数应在几个百分点内吻合。</w:t>
      </w:r>
    </w:p>
    <w:p>
      <w:pPr>
        <w:spacing w:after="100"/>
        <w:ind w:firstLine="0"/>
      </w:pPr>
      <w:r>
        <w:rPr>
          <w:rFonts w:ascii="Times New Roman" w:hAnsi="Times New Roman" w:eastAsia="宋体"/>
          <w:b w:val="0"/>
          <w:i w:val="0"/>
          <w:sz w:val="21"/>
        </w:rPr>
        <w:t>结果可信度需三层验证。</w:t>
      </w:r>
    </w:p>
    <w:p>
      <w:pPr>
        <w:spacing w:after="100"/>
        <w:ind w:firstLine="0"/>
      </w:pPr>
      <w:r>
        <w:rPr>
          <w:rFonts w:ascii="Times New Roman" w:hAnsi="Times New Roman" w:eastAsia="宋体"/>
          <w:b/>
          <w:i w:val="0"/>
          <w:sz w:val="21"/>
        </w:rPr>
        <w:t>第一层，网格无关性</w:t>
      </w:r>
      <w:r>
        <w:rPr>
          <w:rFonts w:ascii="Times New Roman" w:hAnsi="Times New Roman" w:eastAsia="宋体"/>
          <w:b w:val="0"/>
          <w:i w:val="0"/>
          <w:sz w:val="21"/>
        </w:rPr>
        <w:t>：把网格加密两三次看结果是否变化，用网格收敛指数（GCI）定量报出。</w:t>
      </w:r>
    </w:p>
    <w:p>
      <w:pPr>
        <w:spacing w:after="100"/>
        <w:ind w:firstLine="0"/>
      </w:pPr>
      <w:r>
        <w:rPr>
          <w:rFonts w:ascii="Times New Roman" w:hAnsi="Times New Roman" w:eastAsia="宋体"/>
          <w:b/>
          <w:i w:val="0"/>
          <w:sz w:val="21"/>
        </w:rPr>
        <w:t>第二层，物理自检</w:t>
      </w:r>
      <w:r>
        <w:rPr>
          <w:rFonts w:ascii="Times New Roman" w:hAnsi="Times New Roman" w:eastAsia="宋体"/>
          <w:b w:val="0"/>
          <w:i w:val="0"/>
          <w:sz w:val="21"/>
        </w:rPr>
        <w:t xml:space="preserve">：单机锚点（第一台不受尾流影响的风机功率应接近功率曲线值，8 m/s 时约 1.771 MW，差超 5% 就先查风轮模型和网格）；可行域（全场功率不超过三台满发之和 5.31 MW，不低于第一台单机功率）；单调性（正对来流时 </w:t>
      </w:r>
      <m:oMath>
        <m:sSub>
          <m:e>
            <m:r>
              <m:t>P</m:t>
            </m:r>
          </m:e>
          <m:sub>
            <m:r>
              <m:t>1</m:t>
            </m:r>
          </m:sub>
        </m:sSub>
        <m:r>
          <m:t>&gt;</m:t>
        </m:r>
        <m:sSub>
          <m:e>
            <m:r>
              <m:t>P</m:t>
            </m:r>
          </m:e>
          <m:sub>
            <m:r>
              <m:t>2</m:t>
            </m:r>
          </m:sub>
        </m:sSub>
        <m:r>
          <m:t>&gt;</m:t>
        </m:r>
        <m:sSub>
          <m:e>
            <m:r>
              <m:t>P</m:t>
            </m:r>
          </m:e>
          <m:sub>
            <m:r>
              <m:t>3</m:t>
            </m:r>
          </m:sub>
        </m:sSub>
      </m:oMath>
      <w:r>
        <w:rPr>
          <w:rFonts w:ascii="Times New Roman" w:hAnsi="Times New Roman" w:eastAsia="宋体"/>
          <w:b w:val="0"/>
          <w:i w:val="0"/>
          <w:sz w:val="21"/>
        </w:rPr>
        <w:t>，湍流强度增大应使下游功率上升）；对称性；质量守恒（进出口不平衡 &lt; 0.1%）。</w:t>
      </w:r>
    </w:p>
    <w:p>
      <w:pPr>
        <w:spacing w:after="100"/>
        <w:ind w:firstLine="0"/>
      </w:pPr>
      <w:r>
        <w:rPr>
          <w:rFonts w:ascii="Times New Roman" w:hAnsi="Times New Roman" w:eastAsia="宋体"/>
          <w:b/>
          <w:i w:val="0"/>
          <w:sz w:val="21"/>
        </w:rPr>
        <w:t>第三层，与外部比</w:t>
      </w:r>
      <w:r>
        <w:rPr>
          <w:rFonts w:ascii="Times New Roman" w:hAnsi="Times New Roman" w:eastAsia="宋体"/>
          <w:b w:val="0"/>
          <w:i w:val="0"/>
          <w:sz w:val="21"/>
        </w:rPr>
        <w:t>：与一维动量理论核对单机系数，有条件时与实测数据或文献基准算例比较。</w:t>
      </w:r>
    </w:p>
    <w:p>
      <w:pPr>
        <w:pStyle w:val="Heading3"/>
      </w:pPr>
      <w:r>
        <w:rPr>
          <w:rFonts w:ascii="Times New Roman" w:hAnsi="Times New Roman" w:eastAsia="宋体"/>
          <w:b/>
          <w:i w:val="0"/>
          <w:sz w:val="24"/>
        </w:rPr>
        <w:t>5.8 误差归因框架</w:t>
      </w:r>
    </w:p>
    <w:p>
      <w:pPr>
        <w:spacing w:after="100"/>
        <w:ind w:firstLine="0"/>
      </w:pPr>
      <w:r>
        <w:rPr>
          <w:rFonts w:ascii="Times New Roman" w:hAnsi="Times New Roman" w:eastAsia="宋体"/>
          <w:b w:val="0"/>
          <w:i w:val="0"/>
          <w:sz w:val="21"/>
        </w:rPr>
        <w:t>CFD 结果的误差不是一个数，而是四笔性质完全不同的账。</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DCE6F1"/>
          </w:tcPr>
          <w:p>
            <w:pPr>
              <w:spacing w:after="20"/>
            </w:pPr>
            <w:r>
              <w:rPr>
                <w:rFonts w:ascii="Times New Roman" w:hAnsi="Times New Roman" w:eastAsia="宋体"/>
                <w:b/>
                <w:i w:val="0"/>
                <w:sz w:val="18"/>
              </w:rPr>
              <w:t>误差类型</w:t>
            </w:r>
          </w:p>
        </w:tc>
        <w:tc>
          <w:tcPr>
            <w:tcW w:type="dxa" w:w="2353"/>
            <w:shd w:val="clear" w:color="auto" w:fill="DCE6F1"/>
          </w:tcPr>
          <w:p>
            <w:pPr>
              <w:spacing w:after="20"/>
            </w:pPr>
            <w:r>
              <w:rPr>
                <w:rFonts w:ascii="Times New Roman" w:hAnsi="Times New Roman" w:eastAsia="宋体"/>
                <w:b/>
                <w:i w:val="0"/>
                <w:sz w:val="18"/>
              </w:rPr>
              <w:t>来源</w:t>
            </w:r>
          </w:p>
        </w:tc>
        <w:tc>
          <w:tcPr>
            <w:tcW w:type="dxa" w:w="2353"/>
            <w:shd w:val="clear" w:color="auto" w:fill="DCE6F1"/>
          </w:tcPr>
          <w:p>
            <w:pPr>
              <w:spacing w:after="20"/>
            </w:pPr>
            <w:r>
              <w:rPr>
                <w:rFonts w:ascii="Times New Roman" w:hAnsi="Times New Roman" w:eastAsia="宋体"/>
                <w:b/>
                <w:i w:val="0"/>
                <w:sz w:val="18"/>
              </w:rPr>
              <w:t>能不能减小</w:t>
            </w:r>
          </w:p>
        </w:tc>
        <w:tc>
          <w:tcPr>
            <w:tcW w:type="dxa" w:w="2353"/>
            <w:shd w:val="clear" w:color="auto" w:fill="DCE6F1"/>
          </w:tcPr>
          <w:p>
            <w:pPr>
              <w:spacing w:after="20"/>
            </w:pPr>
            <w:r>
              <w:rPr>
                <w:rFonts w:ascii="Times New Roman" w:hAnsi="Times New Roman" w:eastAsia="宋体"/>
                <w:b/>
                <w:i w:val="0"/>
                <w:sz w:val="18"/>
              </w:rPr>
              <w:t>怎么量化</w:t>
            </w:r>
          </w:p>
        </w:tc>
      </w:tr>
      <w:tr>
        <w:tc>
          <w:tcPr>
            <w:tcW w:type="dxa" w:w="2353"/>
          </w:tcPr>
          <w:p>
            <w:pPr>
              <w:spacing w:after="20"/>
            </w:pPr>
            <w:r>
              <w:rPr>
                <w:rFonts w:ascii="Times New Roman" w:hAnsi="Times New Roman" w:eastAsia="宋体"/>
                <w:b w:val="0"/>
                <w:i w:val="0"/>
                <w:sz w:val="18"/>
              </w:rPr>
              <w:t>物理建模误差</w:t>
            </w:r>
          </w:p>
        </w:tc>
        <w:tc>
          <w:tcPr>
            <w:tcW w:type="dxa" w:w="2353"/>
          </w:tcPr>
          <w:p>
            <w:pPr>
              <w:spacing w:after="20"/>
            </w:pPr>
            <w:r>
              <w:rPr>
                <w:rFonts w:ascii="Times New Roman" w:hAnsi="Times New Roman" w:eastAsia="宋体"/>
                <w:b w:val="0"/>
                <w:i w:val="0"/>
                <w:sz w:val="18"/>
              </w:rPr>
              <w:t>湍流模型、风轮表示方式、来流理想化</w:t>
            </w:r>
          </w:p>
        </w:tc>
        <w:tc>
          <w:tcPr>
            <w:tcW w:type="dxa" w:w="2353"/>
          </w:tcPr>
          <w:p>
            <w:pPr>
              <w:spacing w:after="20"/>
            </w:pPr>
            <w:r>
              <w:rPr>
                <w:rFonts w:ascii="Times New Roman" w:hAnsi="Times New Roman" w:eastAsia="宋体"/>
                <w:b/>
                <w:i w:val="0"/>
                <w:sz w:val="18"/>
              </w:rPr>
              <w:t>不能</w:t>
            </w:r>
            <w:r>
              <w:rPr>
                <w:rFonts w:ascii="Times New Roman" w:hAnsi="Times New Roman" w:eastAsia="宋体"/>
                <w:b w:val="0"/>
                <w:i w:val="0"/>
                <w:sz w:val="18"/>
              </w:rPr>
              <w:t>，只能与实验对比评估</w:t>
            </w:r>
          </w:p>
        </w:tc>
        <w:tc>
          <w:tcPr>
            <w:tcW w:type="dxa" w:w="2353"/>
          </w:tcPr>
          <w:p>
            <w:pPr>
              <w:spacing w:after="20"/>
            </w:pPr>
            <w:r>
              <w:rPr>
                <w:rFonts w:ascii="Times New Roman" w:hAnsi="Times New Roman" w:eastAsia="宋体"/>
                <w:b w:val="0"/>
                <w:i w:val="0"/>
                <w:sz w:val="18"/>
              </w:rPr>
              <w:t>与实测/高保真数据对比</w:t>
            </w:r>
          </w:p>
        </w:tc>
      </w:tr>
      <w:tr>
        <w:tc>
          <w:tcPr>
            <w:tcW w:type="dxa" w:w="2353"/>
          </w:tcPr>
          <w:p>
            <w:pPr>
              <w:spacing w:after="20"/>
            </w:pPr>
            <w:r>
              <w:rPr>
                <w:rFonts w:ascii="Times New Roman" w:hAnsi="Times New Roman" w:eastAsia="宋体"/>
                <w:b w:val="0"/>
                <w:i w:val="0"/>
                <w:sz w:val="18"/>
              </w:rPr>
              <w:t>离散误差</w:t>
            </w:r>
          </w:p>
        </w:tc>
        <w:tc>
          <w:tcPr>
            <w:tcW w:type="dxa" w:w="2353"/>
          </w:tcPr>
          <w:p>
            <w:pPr>
              <w:spacing w:after="20"/>
            </w:pPr>
            <w:r>
              <w:rPr>
                <w:rFonts w:ascii="Times New Roman" w:hAnsi="Times New Roman" w:eastAsia="宋体"/>
                <w:b w:val="0"/>
                <w:i w:val="0"/>
                <w:sz w:val="18"/>
              </w:rPr>
              <w:t>网格尺寸、离散格式</w:t>
            </w:r>
          </w:p>
        </w:tc>
        <w:tc>
          <w:tcPr>
            <w:tcW w:type="dxa" w:w="2353"/>
          </w:tcPr>
          <w:p>
            <w:pPr>
              <w:spacing w:after="20"/>
            </w:pPr>
            <w:r>
              <w:rPr>
                <w:rFonts w:ascii="Times New Roman" w:hAnsi="Times New Roman" w:eastAsia="宋体"/>
                <w:b w:val="0"/>
                <w:i w:val="0"/>
                <w:sz w:val="18"/>
              </w:rPr>
              <w:t>能，加密网格可减小</w:t>
            </w:r>
          </w:p>
        </w:tc>
        <w:tc>
          <w:tcPr>
            <w:tcW w:type="dxa" w:w="2353"/>
          </w:tcPr>
          <w:p>
            <w:pPr>
              <w:spacing w:after="20"/>
            </w:pPr>
            <w:r>
              <w:rPr>
                <w:rFonts w:ascii="Times New Roman" w:hAnsi="Times New Roman" w:eastAsia="宋体"/>
                <w:b w:val="0"/>
                <w:i w:val="0"/>
                <w:sz w:val="18"/>
              </w:rPr>
              <w:t>网格无关性研究</w:t>
            </w:r>
          </w:p>
        </w:tc>
      </w:tr>
      <w:tr>
        <w:tc>
          <w:tcPr>
            <w:tcW w:type="dxa" w:w="2353"/>
          </w:tcPr>
          <w:p>
            <w:pPr>
              <w:spacing w:after="20"/>
            </w:pPr>
            <w:r>
              <w:rPr>
                <w:rFonts w:ascii="Times New Roman" w:hAnsi="Times New Roman" w:eastAsia="宋体"/>
                <w:b w:val="0"/>
                <w:i w:val="0"/>
                <w:sz w:val="18"/>
              </w:rPr>
              <w:t>迭代误差</w:t>
            </w:r>
          </w:p>
        </w:tc>
        <w:tc>
          <w:tcPr>
            <w:tcW w:type="dxa" w:w="2353"/>
          </w:tcPr>
          <w:p>
            <w:pPr>
              <w:spacing w:after="20"/>
            </w:pPr>
            <w:r>
              <w:rPr>
                <w:rFonts w:ascii="Times New Roman" w:hAnsi="Times New Roman" w:eastAsia="宋体"/>
                <w:b w:val="0"/>
                <w:i w:val="0"/>
                <w:sz w:val="18"/>
              </w:rPr>
              <w:t>残差没降到足够低</w:t>
            </w:r>
          </w:p>
        </w:tc>
        <w:tc>
          <w:tcPr>
            <w:tcW w:type="dxa" w:w="2353"/>
          </w:tcPr>
          <w:p>
            <w:pPr>
              <w:spacing w:after="20"/>
            </w:pPr>
            <w:r>
              <w:rPr>
                <w:rFonts w:ascii="Times New Roman" w:hAnsi="Times New Roman" w:eastAsia="宋体"/>
                <w:b w:val="0"/>
                <w:i w:val="0"/>
                <w:sz w:val="18"/>
              </w:rPr>
              <w:t>能，多算几步</w:t>
            </w:r>
          </w:p>
        </w:tc>
        <w:tc>
          <w:tcPr>
            <w:tcW w:type="dxa" w:w="2353"/>
          </w:tcPr>
          <w:p>
            <w:pPr>
              <w:spacing w:after="20"/>
            </w:pPr>
            <w:r>
              <w:rPr>
                <w:rFonts w:ascii="Times New Roman" w:hAnsi="Times New Roman" w:eastAsia="宋体"/>
                <w:b w:val="0"/>
                <w:i w:val="0"/>
                <w:sz w:val="18"/>
              </w:rPr>
              <w:t>残差与监控量</w:t>
            </w:r>
          </w:p>
        </w:tc>
      </w:tr>
      <w:tr>
        <w:tc>
          <w:tcPr>
            <w:tcW w:type="dxa" w:w="2353"/>
          </w:tcPr>
          <w:p>
            <w:pPr>
              <w:spacing w:after="20"/>
            </w:pPr>
            <w:r>
              <w:rPr>
                <w:rFonts w:ascii="Times New Roman" w:hAnsi="Times New Roman" w:eastAsia="宋体"/>
                <w:b w:val="0"/>
                <w:i w:val="0"/>
                <w:sz w:val="18"/>
              </w:rPr>
              <w:t>统计误差</w:t>
            </w:r>
          </w:p>
        </w:tc>
        <w:tc>
          <w:tcPr>
            <w:tcW w:type="dxa" w:w="2353"/>
          </w:tcPr>
          <w:p>
            <w:pPr>
              <w:spacing w:after="20"/>
            </w:pPr>
            <w:r>
              <w:rPr>
                <w:rFonts w:ascii="Times New Roman" w:hAnsi="Times New Roman" w:eastAsia="宋体"/>
                <w:b w:val="0"/>
                <w:i w:val="0"/>
                <w:sz w:val="18"/>
              </w:rPr>
              <w:t>LES 时间平均采样不足</w:t>
            </w:r>
          </w:p>
        </w:tc>
        <w:tc>
          <w:tcPr>
            <w:tcW w:type="dxa" w:w="2353"/>
          </w:tcPr>
          <w:p>
            <w:pPr>
              <w:spacing w:after="20"/>
            </w:pPr>
            <w:r>
              <w:rPr>
                <w:rFonts w:ascii="Times New Roman" w:hAnsi="Times New Roman" w:eastAsia="宋体"/>
                <w:b w:val="0"/>
                <w:i w:val="0"/>
                <w:sz w:val="18"/>
              </w:rPr>
              <w:t>能，延长采样</w:t>
            </w:r>
          </w:p>
        </w:tc>
        <w:tc>
          <w:tcPr>
            <w:tcW w:type="dxa" w:w="2353"/>
          </w:tcPr>
          <w:p>
            <w:pPr>
              <w:spacing w:after="20"/>
            </w:pPr>
            <w:r>
              <w:rPr>
                <w:rFonts w:ascii="Times New Roman" w:hAnsi="Times New Roman" w:eastAsia="宋体"/>
                <w:b w:val="0"/>
                <w:i w:val="0"/>
                <w:sz w:val="18"/>
              </w:rPr>
              <w:t>报置信区间</w:t>
            </w:r>
          </w:p>
        </w:tc>
      </w:tr>
    </w:tbl>
    <w:p>
      <w:pPr>
        <w:spacing w:after="40"/>
      </w:pPr>
    </w:p>
    <w:p>
      <w:pPr>
        <w:spacing w:after="100"/>
        <w:ind w:firstLine="0"/>
      </w:pPr>
      <w:r>
        <w:rPr>
          <w:rFonts w:ascii="Times New Roman" w:hAnsi="Times New Roman" w:eastAsia="宋体"/>
          <w:b w:val="0"/>
          <w:i w:val="0"/>
          <w:sz w:val="21"/>
        </w:rPr>
        <w:t>由此得到一个必须记住的推论：</w:t>
      </w:r>
      <w:r>
        <w:rPr>
          <w:rFonts w:ascii="Times New Roman" w:hAnsi="Times New Roman" w:eastAsia="宋体"/>
          <w:b/>
          <w:i w:val="0"/>
          <w:sz w:val="21"/>
        </w:rPr>
        <w:t>如果 CFD 结果与实测差 20%，而网格无关性是 3%、统计误差是 2%，那么这 20% 主要来自物理模型，而不是数值方法——再加密网格也没用。</w:t>
      </w:r>
      <w:r>
        <w:rPr>
          <w:rFonts w:ascii="Times New Roman" w:hAnsi="Times New Roman" w:eastAsia="宋体"/>
          <w:b w:val="0"/>
          <w:i w:val="0"/>
          <w:sz w:val="21"/>
        </w:rPr>
        <w:t xml:space="preserve"> 反过来，若网格无关性只有 1% 而模型误差未知，那这个 1% 只是"数值上算稳了"，不代表结果接近真实。</w:t>
      </w:r>
    </w:p>
    <w:p>
      <w:pPr>
        <w:spacing w:after="100"/>
        <w:ind w:firstLine="0"/>
      </w:pPr>
      <w:r>
        <w:rPr>
          <w:rFonts w:ascii="Times New Roman" w:hAnsi="Times New Roman" w:eastAsia="宋体"/>
          <w:b/>
          <w:i w:val="0"/>
          <w:sz w:val="21"/>
        </w:rPr>
        <w:t>一句话总结 Fluent 原理的落脚点：Fluent 的输出是一个带误差的数值解，不是真值；它值得相信的程度，等于为它所做的验证工作的程度。</w:t>
      </w:r>
    </w:p>
    <w:p>
      <w:pPr>
        <w:pStyle w:val="Heading2"/>
      </w:pPr>
      <w:r>
        <w:rPr>
          <w:rFonts w:ascii="Times New Roman" w:hAnsi="Times New Roman" w:eastAsia="宋体"/>
          <w:b/>
          <w:i w:val="0"/>
          <w:sz w:val="27"/>
        </w:rPr>
        <w:t>六、两条技术路线的关系</w:t>
      </w:r>
    </w:p>
    <w:p>
      <w:pPr>
        <w:spacing w:after="100"/>
        <w:ind w:firstLine="0"/>
      </w:pPr>
      <w:r>
        <w:rPr>
          <w:rFonts w:ascii="Times New Roman" w:hAnsi="Times New Roman" w:eastAsia="宋体"/>
          <w:b w:val="0"/>
          <w:i w:val="0"/>
          <w:sz w:val="21"/>
        </w:rPr>
        <w:t>本工作梳理的两套工具并非替代关系，而是</w:t>
      </w:r>
      <w:r>
        <w:rPr>
          <w:rFonts w:ascii="Times New Roman" w:hAnsi="Times New Roman" w:eastAsia="宋体"/>
          <w:b/>
          <w:i w:val="0"/>
          <w:sz w:val="21"/>
        </w:rPr>
        <w:t>分工与互校</w:t>
      </w:r>
      <w:r>
        <w:rPr>
          <w:rFonts w:ascii="Times New Roman" w:hAnsi="Times New Roman" w:eastAsia="宋体"/>
          <w:b w:val="0"/>
          <w:i w:val="0"/>
          <w:sz w:val="21"/>
        </w:rPr>
        <w:t>的关系。</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DCE6F1"/>
          </w:tcPr>
          <w:p>
            <w:pPr>
              <w:spacing w:after="20"/>
            </w:pPr>
            <w:r>
              <w:rPr>
                <w:rFonts w:ascii="Times New Roman" w:hAnsi="Times New Roman" w:eastAsia="宋体"/>
                <w:b/>
                <w:i w:val="0"/>
                <w:sz w:val="18"/>
              </w:rPr>
              <w:t>维度</w:t>
            </w:r>
          </w:p>
        </w:tc>
        <w:tc>
          <w:tcPr>
            <w:tcW w:type="dxa" w:w="3137"/>
            <w:shd w:val="clear" w:color="auto" w:fill="DCE6F1"/>
          </w:tcPr>
          <w:p>
            <w:pPr>
              <w:spacing w:after="20"/>
            </w:pPr>
            <w:r>
              <w:rPr>
                <w:rFonts w:ascii="Times New Roman" w:hAnsi="Times New Roman" w:eastAsia="宋体"/>
                <w:b/>
                <w:i w:val="0"/>
                <w:sz w:val="18"/>
              </w:rPr>
              <w:t>FLORIS（本工作数据生成）</w:t>
            </w:r>
          </w:p>
        </w:tc>
        <w:tc>
          <w:tcPr>
            <w:tcW w:type="dxa" w:w="3137"/>
            <w:shd w:val="clear" w:color="auto" w:fill="DCE6F1"/>
          </w:tcPr>
          <w:p>
            <w:pPr>
              <w:spacing w:after="20"/>
            </w:pPr>
            <w:r>
              <w:rPr>
                <w:rFonts w:ascii="Times New Roman" w:hAnsi="Times New Roman" w:eastAsia="宋体"/>
                <w:b/>
                <w:i w:val="0"/>
                <w:sz w:val="18"/>
              </w:rPr>
              <w:t>Fluent（后续高保真验证）</w:t>
            </w:r>
          </w:p>
        </w:tc>
      </w:tr>
      <w:tr>
        <w:tc>
          <w:tcPr>
            <w:tcW w:type="dxa" w:w="3137"/>
          </w:tcPr>
          <w:p>
            <w:pPr>
              <w:spacing w:after="20"/>
            </w:pPr>
            <w:r>
              <w:rPr>
                <w:rFonts w:ascii="Times New Roman" w:hAnsi="Times New Roman" w:eastAsia="宋体"/>
                <w:b w:val="0"/>
                <w:i w:val="0"/>
                <w:sz w:val="18"/>
              </w:rPr>
              <w:t>方法</w:t>
            </w:r>
          </w:p>
        </w:tc>
        <w:tc>
          <w:tcPr>
            <w:tcW w:type="dxa" w:w="3137"/>
          </w:tcPr>
          <w:p>
            <w:pPr>
              <w:spacing w:after="20"/>
            </w:pPr>
            <w:r>
              <w:rPr>
                <w:rFonts w:ascii="Times New Roman" w:hAnsi="Times New Roman" w:eastAsia="宋体"/>
                <w:b w:val="0"/>
                <w:i w:val="0"/>
                <w:sz w:val="18"/>
              </w:rPr>
              <w:t>解析尾流模型 + 致动盘气动分层</w:t>
            </w:r>
          </w:p>
        </w:tc>
        <w:tc>
          <w:tcPr>
            <w:tcW w:type="dxa" w:w="3137"/>
          </w:tcPr>
          <w:p>
            <w:pPr>
              <w:spacing w:after="20"/>
            </w:pPr>
            <w:r>
              <w:rPr>
                <w:rFonts w:ascii="Times New Roman" w:hAnsi="Times New Roman" w:eastAsia="宋体"/>
                <w:b w:val="0"/>
                <w:i w:val="0"/>
                <w:sz w:val="18"/>
              </w:rPr>
              <w:t>求解 N-S 方程 + 体积力源项</w:t>
            </w:r>
          </w:p>
        </w:tc>
      </w:tr>
      <w:tr>
        <w:tc>
          <w:tcPr>
            <w:tcW w:type="dxa" w:w="3137"/>
          </w:tcPr>
          <w:p>
            <w:pPr>
              <w:spacing w:after="20"/>
            </w:pPr>
            <w:r>
              <w:rPr>
                <w:rFonts w:ascii="Times New Roman" w:hAnsi="Times New Roman" w:eastAsia="宋体"/>
                <w:b w:val="0"/>
                <w:i w:val="0"/>
                <w:sz w:val="18"/>
              </w:rPr>
              <w:t>单工况成本</w:t>
            </w:r>
          </w:p>
        </w:tc>
        <w:tc>
          <w:tcPr>
            <w:tcW w:type="dxa" w:w="3137"/>
          </w:tcPr>
          <w:p>
            <w:pPr>
              <w:spacing w:after="20"/>
            </w:pPr>
            <w:r>
              <w:rPr>
                <w:rFonts w:ascii="Times New Roman" w:hAnsi="Times New Roman" w:eastAsia="宋体"/>
                <w:b w:val="0"/>
                <w:i w:val="0"/>
                <w:sz w:val="18"/>
              </w:rPr>
              <w:t>毫秒级</w:t>
            </w:r>
          </w:p>
        </w:tc>
        <w:tc>
          <w:tcPr>
            <w:tcW w:type="dxa" w:w="3137"/>
          </w:tcPr>
          <w:p>
            <w:pPr>
              <w:spacing w:after="20"/>
            </w:pPr>
            <w:r>
              <w:rPr>
                <w:rFonts w:ascii="Times New Roman" w:hAnsi="Times New Roman" w:eastAsia="宋体"/>
                <w:b w:val="0"/>
                <w:i w:val="0"/>
                <w:sz w:val="18"/>
              </w:rPr>
              <w:t>分钟至小时级</w:t>
            </w:r>
          </w:p>
        </w:tc>
      </w:tr>
      <w:tr>
        <w:tc>
          <w:tcPr>
            <w:tcW w:type="dxa" w:w="3137"/>
          </w:tcPr>
          <w:p>
            <w:pPr>
              <w:spacing w:after="20"/>
            </w:pPr>
            <w:r>
              <w:rPr>
                <w:rFonts w:ascii="Times New Roman" w:hAnsi="Times New Roman" w:eastAsia="宋体"/>
                <w:b w:val="0"/>
                <w:i w:val="0"/>
                <w:sz w:val="18"/>
              </w:rPr>
              <w:t>多机耦合</w:t>
            </w:r>
          </w:p>
        </w:tc>
        <w:tc>
          <w:tcPr>
            <w:tcW w:type="dxa" w:w="3137"/>
          </w:tcPr>
          <w:p>
            <w:pPr>
              <w:spacing w:after="20"/>
            </w:pPr>
            <w:r>
              <w:rPr>
                <w:rFonts w:ascii="Times New Roman" w:hAnsi="Times New Roman" w:eastAsia="宋体"/>
                <w:b w:val="0"/>
                <w:i w:val="0"/>
                <w:sz w:val="18"/>
              </w:rPr>
              <w:t>需人为规定叠加规则</w:t>
            </w:r>
          </w:p>
        </w:tc>
        <w:tc>
          <w:tcPr>
            <w:tcW w:type="dxa" w:w="3137"/>
          </w:tcPr>
          <w:p>
            <w:pPr>
              <w:spacing w:after="20"/>
            </w:pPr>
            <w:r>
              <w:rPr>
                <w:rFonts w:ascii="Times New Roman" w:hAnsi="Times New Roman" w:eastAsia="宋体"/>
                <w:b w:val="0"/>
                <w:i w:val="0"/>
                <w:sz w:val="18"/>
              </w:rPr>
              <w:t>由动量方程自动产生</w:t>
            </w:r>
          </w:p>
        </w:tc>
      </w:tr>
      <w:tr>
        <w:tc>
          <w:tcPr>
            <w:tcW w:type="dxa" w:w="3137"/>
          </w:tcPr>
          <w:p>
            <w:pPr>
              <w:spacing w:after="20"/>
            </w:pPr>
            <w:r>
              <w:rPr>
                <w:rFonts w:ascii="Times New Roman" w:hAnsi="Times New Roman" w:eastAsia="宋体"/>
                <w:b w:val="0"/>
                <w:i w:val="0"/>
                <w:sz w:val="18"/>
              </w:rPr>
              <w:t>适用阶段</w:t>
            </w:r>
          </w:p>
        </w:tc>
        <w:tc>
          <w:tcPr>
            <w:tcW w:type="dxa" w:w="3137"/>
          </w:tcPr>
          <w:p>
            <w:pPr>
              <w:spacing w:after="20"/>
            </w:pPr>
            <w:r>
              <w:rPr>
                <w:rFonts w:ascii="Times New Roman" w:hAnsi="Times New Roman" w:eastAsia="宋体"/>
                <w:b w:val="0"/>
                <w:i w:val="0"/>
                <w:sz w:val="18"/>
              </w:rPr>
              <w:t>批量数据生成、神经网络训练</w:t>
            </w:r>
          </w:p>
        </w:tc>
        <w:tc>
          <w:tcPr>
            <w:tcW w:type="dxa" w:w="3137"/>
          </w:tcPr>
          <w:p>
            <w:pPr>
              <w:spacing w:after="20"/>
            </w:pPr>
            <w:r>
              <w:rPr>
                <w:rFonts w:ascii="Times New Roman" w:hAnsi="Times New Roman" w:eastAsia="宋体"/>
                <w:b w:val="0"/>
                <w:i w:val="0"/>
                <w:sz w:val="18"/>
              </w:rPr>
              <w:t>代表性工况校核、模型偏差量化</w:t>
            </w:r>
          </w:p>
        </w:tc>
      </w:tr>
      <w:tr>
        <w:tc>
          <w:tcPr>
            <w:tcW w:type="dxa" w:w="3137"/>
          </w:tcPr>
          <w:p>
            <w:pPr>
              <w:spacing w:after="20"/>
            </w:pPr>
            <w:r>
              <w:rPr>
                <w:rFonts w:ascii="Times New Roman" w:hAnsi="Times New Roman" w:eastAsia="宋体"/>
                <w:b w:val="0"/>
                <w:i w:val="0"/>
                <w:sz w:val="18"/>
              </w:rPr>
              <w:t>精度上限</w:t>
            </w:r>
          </w:p>
        </w:tc>
        <w:tc>
          <w:tcPr>
            <w:tcW w:type="dxa" w:w="3137"/>
          </w:tcPr>
          <w:p>
            <w:pPr>
              <w:spacing w:after="20"/>
            </w:pPr>
            <w:r>
              <w:rPr>
                <w:rFonts w:ascii="Times New Roman" w:hAnsi="Times New Roman" w:eastAsia="宋体"/>
                <w:b w:val="0"/>
                <w:i w:val="0"/>
                <w:sz w:val="18"/>
              </w:rPr>
              <w:t>由解析假设决定，无法靠增加样本弥补</w:t>
            </w:r>
          </w:p>
        </w:tc>
        <w:tc>
          <w:tcPr>
            <w:tcW w:type="dxa" w:w="3137"/>
          </w:tcPr>
          <w:p>
            <w:pPr>
              <w:spacing w:after="20"/>
            </w:pPr>
            <w:r>
              <w:rPr>
                <w:rFonts w:ascii="Times New Roman" w:hAnsi="Times New Roman" w:eastAsia="宋体"/>
                <w:b w:val="0"/>
                <w:i w:val="0"/>
                <w:sz w:val="18"/>
              </w:rPr>
              <w:t>由湍流模型与网格决定</w:t>
            </w:r>
          </w:p>
        </w:tc>
      </w:tr>
    </w:tbl>
    <w:p>
      <w:pPr>
        <w:spacing w:after="40"/>
      </w:pPr>
    </w:p>
    <w:p>
      <w:pPr>
        <w:spacing w:after="100"/>
        <w:ind w:firstLine="0"/>
      </w:pPr>
      <w:r>
        <w:rPr>
          <w:rFonts w:ascii="Times New Roman" w:hAnsi="Times New Roman" w:eastAsia="宋体"/>
          <w:b/>
          <w:i w:val="0"/>
          <w:sz w:val="21"/>
        </w:rPr>
        <w:t xml:space="preserve">两者的接口是同一套机型参数与同一条 </w:t>
      </w:r>
      <m:oMath>
        <m:sSub>
          <m:e>
            <m:r>
              <m:t>C</m:t>
            </m:r>
          </m:e>
          <m:sub>
            <m:r>
              <m:t>T</m:t>
            </m:r>
          </m:sub>
        </m:sSub>
      </m:oMath>
      <w:r>
        <w:rPr>
          <w:rFonts w:ascii="Times New Roman" w:hAnsi="Times New Roman" w:eastAsia="宋体"/>
          <w:b/>
          <w:i w:val="0"/>
          <w:sz w:val="21"/>
        </w:rPr>
        <w:t xml:space="preserve"> 曲线</w:t>
      </w:r>
      <w:r>
        <w:rPr>
          <w:rFonts w:ascii="Times New Roman" w:hAnsi="Times New Roman" w:eastAsia="宋体"/>
          <w:b w:val="0"/>
          <w:i w:val="0"/>
          <w:sz w:val="21"/>
        </w:rPr>
        <w:t>，因此结果可直接对比。本工作的数据可作为 Fluent 算例的合理区间参照（例如 8 m/s、270° 工况下 FLORIS 全场功率 2.23 MW，即三台合计仅相当于 1.26 台满发，这正是 3D 间距下尾流损失的严重程度）。</w:t>
      </w:r>
    </w:p>
    <w:p>
      <w:pPr>
        <w:pStyle w:val="Heading2"/>
      </w:pPr>
      <w:r>
        <w:rPr>
          <w:rFonts w:ascii="Times New Roman" w:hAnsi="Times New Roman" w:eastAsia="宋体"/>
          <w:b/>
          <w:i w:val="0"/>
          <w:sz w:val="27"/>
        </w:rPr>
        <w:t>七、交付物清单</w:t>
      </w:r>
    </w:p>
    <w:tbl>
      <w:tblPr>
        <w:tblStyle w:val="TableGrid"/>
        <w:tblW w:type="auto" w:w="0"/>
        <w:jc w:val="center"/>
        <w:tblLook w:firstColumn="1" w:firstRow="1" w:lastColumn="0" w:lastRow="0" w:noHBand="0" w:noVBand="1" w:val="04A0"/>
      </w:tblPr>
      <w:tblGrid>
        <w:gridCol w:w="4705"/>
        <w:gridCol w:w="4705"/>
      </w:tblGrid>
      <w:tr>
        <w:tc>
          <w:tcPr>
            <w:tcW w:type="dxa" w:w="4705"/>
            <w:shd w:val="clear" w:color="auto" w:fill="DCE6F1"/>
          </w:tcPr>
          <w:p>
            <w:pPr>
              <w:spacing w:after="20"/>
            </w:pPr>
            <w:r>
              <w:rPr>
                <w:rFonts w:ascii="Times New Roman" w:hAnsi="Times New Roman" w:eastAsia="宋体"/>
                <w:b/>
                <w:i w:val="0"/>
                <w:sz w:val="18"/>
              </w:rPr>
              <w:t>类别</w:t>
            </w:r>
          </w:p>
        </w:tc>
        <w:tc>
          <w:tcPr>
            <w:tcW w:type="dxa" w:w="4705"/>
            <w:shd w:val="clear" w:color="auto" w:fill="DCE6F1"/>
          </w:tcPr>
          <w:p>
            <w:pPr>
              <w:spacing w:after="20"/>
            </w:pPr>
            <w:r>
              <w:rPr>
                <w:rFonts w:ascii="Times New Roman" w:hAnsi="Times New Roman" w:eastAsia="宋体"/>
                <w:b/>
                <w:i w:val="0"/>
                <w:sz w:val="18"/>
              </w:rPr>
              <w:t>交付物</w:t>
            </w:r>
          </w:p>
        </w:tc>
      </w:tr>
      <w:tr>
        <w:tc>
          <w:tcPr>
            <w:tcW w:type="dxa" w:w="4705"/>
          </w:tcPr>
          <w:p>
            <w:pPr>
              <w:spacing w:after="20"/>
            </w:pPr>
            <w:r>
              <w:rPr>
                <w:rFonts w:ascii="Times New Roman" w:hAnsi="Times New Roman" w:eastAsia="宋体"/>
                <w:b w:val="0"/>
                <w:i w:val="0"/>
                <w:sz w:val="18"/>
              </w:rPr>
              <w:t>数据集</w:t>
            </w:r>
          </w:p>
        </w:tc>
        <w:tc>
          <w:tcPr>
            <w:tcW w:type="dxa" w:w="4705"/>
          </w:tcPr>
          <w:p>
            <w:pPr>
              <w:spacing w:after="20"/>
            </w:pPr>
            <w:r>
              <w:rPr>
                <w:rFonts w:ascii="Times New Roman" w:hAnsi="Times New Roman" w:eastAsia="宋体"/>
                <w:b w:val="0"/>
                <w:i w:val="0"/>
                <w:sz w:val="18"/>
              </w:rPr>
              <w:t>两套尾流模型（GCH、CC）各 1224 条样本，合计 2448 条，CSV 格式</w:t>
            </w:r>
          </w:p>
        </w:tc>
      </w:tr>
      <w:tr>
        <w:tc>
          <w:tcPr>
            <w:tcW w:type="dxa" w:w="4705"/>
          </w:tcPr>
          <w:p>
            <w:pPr>
              <w:spacing w:after="20"/>
            </w:pPr>
            <w:r>
              <w:rPr>
                <w:rFonts w:ascii="Times New Roman" w:hAnsi="Times New Roman" w:eastAsia="宋体"/>
                <w:b w:val="0"/>
                <w:i w:val="0"/>
                <w:sz w:val="18"/>
              </w:rPr>
              <w:t>图件</w:t>
            </w:r>
          </w:p>
        </w:tc>
        <w:tc>
          <w:tcPr>
            <w:tcW w:type="dxa" w:w="4705"/>
          </w:tcPr>
          <w:p>
            <w:pPr>
              <w:spacing w:after="20"/>
            </w:pPr>
            <w:r>
              <w:rPr>
                <w:rFonts w:ascii="Times New Roman" w:hAnsi="Times New Roman" w:eastAsia="宋体"/>
                <w:b w:val="0"/>
                <w:i w:val="0"/>
                <w:sz w:val="18"/>
              </w:rPr>
              <w:t>风机布局图、功率/推力曲线图、高斯尾流剖面图、GCH 与 CC 尾流云图对比</w:t>
            </w:r>
          </w:p>
        </w:tc>
      </w:tr>
      <w:tr>
        <w:tc>
          <w:tcPr>
            <w:tcW w:type="dxa" w:w="4705"/>
          </w:tcPr>
          <w:p>
            <w:pPr>
              <w:spacing w:after="20"/>
            </w:pPr>
            <w:r>
              <w:rPr>
                <w:rFonts w:ascii="Times New Roman" w:hAnsi="Times New Roman" w:eastAsia="宋体"/>
                <w:b w:val="0"/>
                <w:i w:val="0"/>
                <w:sz w:val="18"/>
              </w:rPr>
              <w:t>文档</w:t>
            </w:r>
          </w:p>
        </w:tc>
        <w:tc>
          <w:tcPr>
            <w:tcW w:type="dxa" w:w="4705"/>
          </w:tcPr>
          <w:p>
            <w:pPr>
              <w:spacing w:after="20"/>
            </w:pPr>
            <w:r>
              <w:rPr>
                <w:rFonts w:ascii="Times New Roman" w:hAnsi="Times New Roman" w:eastAsia="宋体"/>
                <w:b w:val="0"/>
                <w:i w:val="0"/>
                <w:sz w:val="18"/>
              </w:rPr>
              <w:t>建模工作说明、风电场流场建模与数据生成技术说明、FLORIS 数据生成报告</w:t>
            </w:r>
          </w:p>
        </w:tc>
      </w:tr>
      <w:tr>
        <w:tc>
          <w:tcPr>
            <w:tcW w:type="dxa" w:w="4705"/>
          </w:tcPr>
          <w:p>
            <w:pPr>
              <w:spacing w:after="20"/>
            </w:pPr>
            <w:r>
              <w:rPr>
                <w:rFonts w:ascii="Times New Roman" w:hAnsi="Times New Roman" w:eastAsia="宋体"/>
                <w:b w:val="0"/>
                <w:i w:val="0"/>
                <w:sz w:val="18"/>
              </w:rPr>
              <w:t>原理文档</w:t>
            </w:r>
          </w:p>
        </w:tc>
        <w:tc>
          <w:tcPr>
            <w:tcW w:type="dxa" w:w="4705"/>
          </w:tcPr>
          <w:p>
            <w:pPr>
              <w:spacing w:after="20"/>
            </w:pPr>
            <w:r>
              <w:rPr>
                <w:rFonts w:ascii="Times New Roman" w:hAnsi="Times New Roman" w:eastAsia="宋体"/>
                <w:b w:val="0"/>
                <w:i w:val="0"/>
                <w:sz w:val="18"/>
              </w:rPr>
              <w:t>FLORIS 尾流模型机理说明、Fluent 风电场仿真原理详解、GCH 与 CC 推导过程详解</w:t>
            </w:r>
          </w:p>
        </w:tc>
      </w:tr>
      <w:tr>
        <w:tc>
          <w:tcPr>
            <w:tcW w:type="dxa" w:w="4705"/>
          </w:tcPr>
          <w:p>
            <w:pPr>
              <w:spacing w:after="20"/>
            </w:pPr>
            <w:r>
              <w:rPr>
                <w:rFonts w:ascii="Times New Roman" w:hAnsi="Times New Roman" w:eastAsia="宋体"/>
                <w:b w:val="0"/>
                <w:i w:val="0"/>
                <w:sz w:val="18"/>
              </w:rPr>
              <w:t>补充成果</w:t>
            </w:r>
          </w:p>
        </w:tc>
        <w:tc>
          <w:tcPr>
            <w:tcW w:type="dxa" w:w="4705"/>
          </w:tcPr>
          <w:p>
            <w:pPr>
              <w:spacing w:after="20"/>
            </w:pPr>
            <w:r>
              <w:rPr>
                <w:rFonts w:ascii="Times New Roman" w:hAnsi="Times New Roman" w:eastAsia="宋体"/>
                <w:b w:val="0"/>
                <w:i w:val="0"/>
                <w:sz w:val="18"/>
              </w:rPr>
              <w:t>NREL 5MW 风机 SolidWorks 三维 CAD 模型，用于几何校核与可视化展示</w:t>
            </w:r>
          </w:p>
        </w:tc>
      </w:tr>
    </w:tbl>
    <w:p>
      <w:pPr>
        <w:spacing w:after="40"/>
      </w:pPr>
    </w:p>
    <w:p>
      <w:pPr>
        <w:pStyle w:val="Heading2"/>
      </w:pPr>
      <w:r>
        <w:rPr>
          <w:rFonts w:ascii="Times New Roman" w:hAnsi="Times New Roman" w:eastAsia="宋体"/>
          <w:b/>
          <w:i w:val="0"/>
          <w:sz w:val="27"/>
        </w:rPr>
        <w:t>八、局限性与后续方向</w:t>
      </w:r>
    </w:p>
    <w:p>
      <w:pPr>
        <w:spacing w:after="100"/>
        <w:ind w:firstLine="0"/>
      </w:pPr>
      <w:r>
        <w:rPr>
          <w:rFonts w:ascii="Times New Roman" w:hAnsi="Times New Roman" w:eastAsia="宋体"/>
          <w:b/>
          <w:i w:val="0"/>
          <w:sz w:val="21"/>
        </w:rPr>
        <w:t>核心局限</w:t>
      </w:r>
      <w:r>
        <w:rPr>
          <w:rFonts w:ascii="Times New Roman" w:hAnsi="Times New Roman" w:eastAsia="宋体"/>
          <w:b w:val="0"/>
          <w:i w:val="0"/>
          <w:sz w:val="21"/>
        </w:rPr>
        <w:t>：FLORIS 是工程级解析模型，精度低于 SOWFA、AMR-Wind 等高保真大涡模拟软件。解析模型在近尾流区、非稳态效应、复杂地形、大气分层以及极端工况下的刻画能力有限。选择它的原因是单工况计算在毫秒级完成，计算成本比高保真方法低数个数量级，这一取舍保证了数据规模，但</w:t>
      </w:r>
      <w:r>
        <w:rPr>
          <w:rFonts w:ascii="Times New Roman" w:hAnsi="Times New Roman" w:eastAsia="宋体"/>
          <w:b/>
          <w:i w:val="0"/>
          <w:sz w:val="21"/>
        </w:rPr>
        <w:t>精度上限由模型本质决定，无法通过增加样本数弥补</w:t>
      </w:r>
      <w:r>
        <w:rPr>
          <w:rFonts w:ascii="Times New Roman" w:hAnsi="Times New Roman" w:eastAsia="宋体"/>
          <w:b w:val="0"/>
          <w:i w:val="0"/>
          <w:sz w:val="21"/>
        </w:rPr>
        <w:t>。此外，本工作布局为固定三机链式、机型为单一标准机型、仿真为稳态解析模型，因此数据适用范围为本次研究的三机布局与拟定工况区间；外推至其他布局、机型或极端工况时需重新生成数据或引入高保真方法补充验证。</w:t>
      </w:r>
    </w:p>
    <w:p>
      <w:pPr>
        <w:spacing w:after="100"/>
        <w:ind w:firstLine="0"/>
      </w:pPr>
      <w:r>
        <w:rPr>
          <w:rFonts w:ascii="Times New Roman" w:hAnsi="Times New Roman" w:eastAsia="宋体"/>
          <w:b/>
          <w:i w:val="0"/>
          <w:sz w:val="21"/>
        </w:rPr>
        <w:t>后续方向</w:t>
      </w:r>
      <w:r>
        <w:rPr>
          <w:rFonts w:ascii="Times New Roman" w:hAnsi="Times New Roman" w:eastAsia="宋体"/>
          <w:b w:val="0"/>
          <w:i w:val="0"/>
          <w:sz w:val="21"/>
        </w:rPr>
        <w:t>：</w:t>
      </w:r>
    </w:p>
    <w:p>
      <w:pPr>
        <w:pStyle w:val="ListNumber"/>
        <w:spacing w:after="40" w:line="288" w:lineRule="auto"/>
        <w:ind w:left="425"/>
      </w:pPr>
      <w:r>
        <w:rPr>
          <w:rFonts w:ascii="Times New Roman" w:hAnsi="Times New Roman" w:eastAsia="宋体"/>
          <w:b/>
          <w:i w:val="0"/>
          <w:sz w:val="21"/>
        </w:rPr>
        <w:t>参数校准</w:t>
      </w:r>
      <w:r>
        <w:rPr>
          <w:rFonts w:ascii="Times New Roman" w:hAnsi="Times New Roman" w:eastAsia="宋体"/>
          <w:b w:val="0"/>
          <w:i w:val="0"/>
          <w:sz w:val="21"/>
        </w:rPr>
        <w:t>：若获得风电场实际运行数据（SCADA），可借助 NREL FLASC 工具包对模型参数自动校准（据 FLASC 官方文档，校准后全场功率预测误差最高可降低 65%）；</w:t>
      </w:r>
    </w:p>
    <w:p>
      <w:pPr>
        <w:pStyle w:val="ListNumber"/>
        <w:spacing w:after="40" w:line="288" w:lineRule="auto"/>
        <w:ind w:left="425"/>
      </w:pPr>
      <w:r>
        <w:rPr>
          <w:rFonts w:ascii="Times New Roman" w:hAnsi="Times New Roman" w:eastAsia="宋体"/>
          <w:b/>
          <w:i w:val="0"/>
          <w:sz w:val="21"/>
        </w:rPr>
        <w:t>高保真对标</w:t>
      </w:r>
      <w:r>
        <w:rPr>
          <w:rFonts w:ascii="Times New Roman" w:hAnsi="Times New Roman" w:eastAsia="宋体"/>
          <w:b w:val="0"/>
          <w:i w:val="0"/>
          <w:sz w:val="21"/>
        </w:rPr>
        <w:t>：选取代表性工况（如 270°、265° 正对与近正对工况）与 LES 结果逐点对比，量化解析模型的系统偏差；</w:t>
      </w:r>
    </w:p>
    <w:p>
      <w:pPr>
        <w:pStyle w:val="ListNumber"/>
        <w:spacing w:after="40" w:line="288" w:lineRule="auto"/>
        <w:ind w:left="425"/>
      </w:pPr>
      <w:r>
        <w:rPr>
          <w:rFonts w:ascii="Times New Roman" w:hAnsi="Times New Roman" w:eastAsia="宋体"/>
          <w:b/>
          <w:i w:val="0"/>
          <w:sz w:val="21"/>
        </w:rPr>
        <w:t>数据扩充</w:t>
      </w:r>
      <w:r>
        <w:rPr>
          <w:rFonts w:ascii="Times New Roman" w:hAnsi="Times New Roman" w:eastAsia="宋体"/>
          <w:b w:val="0"/>
          <w:i w:val="0"/>
          <w:sz w:val="21"/>
        </w:rPr>
        <w:t>：加密风速风向步长、增加湍流档位，扩充布局规模与型式，提升覆盖度；</w:t>
      </w:r>
    </w:p>
    <w:p>
      <w:pPr>
        <w:pStyle w:val="ListNumber"/>
        <w:spacing w:after="40" w:line="288" w:lineRule="auto"/>
        <w:ind w:left="425"/>
      </w:pPr>
      <w:r>
        <w:rPr>
          <w:rFonts w:ascii="Times New Roman" w:hAnsi="Times New Roman" w:eastAsia="宋体"/>
          <w:b/>
          <w:i w:val="0"/>
          <w:sz w:val="21"/>
        </w:rPr>
        <w:t>数据-物理融合建模</w:t>
      </w:r>
      <w:r>
        <w:rPr>
          <w:rFonts w:ascii="Times New Roman" w:hAnsi="Times New Roman" w:eastAsia="宋体"/>
          <w:b w:val="0"/>
          <w:i w:val="0"/>
          <w:sz w:val="21"/>
        </w:rPr>
        <w:t>：在训练目标中引入物理一致性约束（如将解析尾流方程作为残差项加入损失函数，即物理信息神经网络），或构造物理特征（相对风向、以风轮直径归一化的下游间距、湍流效应项）作为输入增强。</w:t>
      </w:r>
    </w:p>
    <w:p>
      <w:pPr>
        <w:pStyle w:val="Heading2"/>
      </w:pPr>
      <w:r>
        <w:rPr>
          <w:rFonts w:ascii="Times New Roman" w:hAnsi="Times New Roman" w:eastAsia="宋体"/>
          <w:b/>
          <w:i w:val="0"/>
          <w:sz w:val="27"/>
        </w:rPr>
        <w:t>参考资料</w:t>
      </w:r>
    </w:p>
    <w:p>
      <w:pPr>
        <w:pStyle w:val="ListNumber"/>
        <w:spacing w:after="40" w:line="288" w:lineRule="auto"/>
        <w:ind w:left="425"/>
      </w:pPr>
      <w:r>
        <w:rPr>
          <w:rFonts w:ascii="Times New Roman" w:hAnsi="Times New Roman" w:eastAsia="宋体"/>
          <w:b w:val="0"/>
          <w:i w:val="0"/>
          <w:sz w:val="21"/>
        </w:rPr>
        <w:t>Jonkman, J., Butterfield, S., Musial, W., Scott, G. *Definition of a 5-MW Reference Wind Turbine for Offshore System Development*. NREL/TP-500-38060, NREL, 2009.</w:t>
      </w:r>
    </w:p>
    <w:p>
      <w:pPr>
        <w:pStyle w:val="ListNumber"/>
        <w:spacing w:after="40" w:line="288" w:lineRule="auto"/>
        <w:ind w:left="425"/>
      </w:pPr>
      <w:r>
        <w:rPr>
          <w:rFonts w:ascii="Times New Roman" w:hAnsi="Times New Roman" w:eastAsia="宋体"/>
          <w:b w:val="0"/>
          <w:i w:val="0"/>
          <w:sz w:val="21"/>
        </w:rPr>
        <w:t>NREL FLORIS 官方文档（v4.6.6）：https://floris.readthedocs.io</w:t>
      </w:r>
    </w:p>
    <w:p>
      <w:pPr>
        <w:pStyle w:val="ListNumber"/>
        <w:spacing w:after="40" w:line="288" w:lineRule="auto"/>
        <w:ind w:left="425"/>
      </w:pPr>
      <w:r>
        <w:rPr>
          <w:rFonts w:ascii="Times New Roman" w:hAnsi="Times New Roman" w:eastAsia="宋体"/>
          <w:b w:val="0"/>
          <w:i w:val="0"/>
          <w:sz w:val="21"/>
        </w:rPr>
        <w:t>NREL FLORIS 官方仓库：https://github.com/NREL/floris</w:t>
      </w:r>
    </w:p>
    <w:p>
      <w:pPr>
        <w:pStyle w:val="ListNumber"/>
        <w:spacing w:after="40" w:line="288" w:lineRule="auto"/>
        <w:ind w:left="425"/>
      </w:pPr>
      <w:r>
        <w:rPr>
          <w:rFonts w:ascii="Times New Roman" w:hAnsi="Times New Roman" w:eastAsia="宋体"/>
          <w:b w:val="0"/>
          <w:i w:val="0"/>
          <w:sz w:val="21"/>
        </w:rPr>
        <w:t>NREL FLASC 官方文档：https://nrel.github.io/FLASC/</w:t>
      </w:r>
    </w:p>
    <w:p>
      <w:pPr>
        <w:pStyle w:val="ListNumber"/>
        <w:spacing w:after="40" w:line="288" w:lineRule="auto"/>
        <w:ind w:left="425"/>
      </w:pPr>
      <w:r>
        <w:rPr>
          <w:rFonts w:ascii="Times New Roman" w:hAnsi="Times New Roman" w:eastAsia="宋体"/>
          <w:b w:val="0"/>
          <w:i w:val="0"/>
          <w:sz w:val="21"/>
        </w:rPr>
        <w:t>Bastankhah, M., Porté-Agel, F. *A new analytical model for wind-turbine wakes*. Renewable Energy, 2014.</w:t>
      </w:r>
    </w:p>
    <w:p>
      <w:pPr>
        <w:spacing w:after="100"/>
        <w:ind w:firstLine="0"/>
      </w:pPr>
      <w:r>
        <w:rPr>
          <w:rFonts w:ascii="Times New Roman" w:hAnsi="Times New Roman" w:eastAsia="宋体"/>
          <w:b w:val="0"/>
          <w:i/>
          <w:sz w:val="21"/>
        </w:rPr>
        <w:t xml:space="preserve">本总结由建模工作负责人袁夫达整理，用于项目组内部交流。详细推导与完整公式见项目内《Fluent 风电场仿真原理详解》与 </w:t>
      </w:r>
      <w:r>
        <w:rPr>
          <w:rFonts w:ascii="Consolas" w:hAnsi="Consolas" w:eastAsia="Consolas"/>
          <w:color w:val="333333"/>
          <w:sz w:val="20"/>
        </w:rPr>
        <w:t>fluent_principle/</w:t>
      </w:r>
      <w:r>
        <w:rPr>
          <w:rFonts w:ascii="Times New Roman" w:hAnsi="Times New Roman" w:eastAsia="宋体"/>
          <w:b w:val="0"/>
          <w:i/>
          <w:sz w:val="21"/>
        </w:rPr>
        <w:t xml:space="preserve"> 系列文档。</w:t>
      </w:r>
    </w:p>
    <w:sectPr w:rsidR="00FC693F" w:rsidRPr="0006063C" w:rsidSect="00034616">
      <w:pgSz w:w="11906" w:h="16838"/>
      <w:pgMar w:top="1361" w:right="1134"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00" w:after="80"/>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微软雅黑"/>
      <w:b/>
      <w:bCs/>
      <w:color w:val="1A1A1A"/>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微软雅黑"/>
      <w:b/>
      <w:bCs/>
      <w:color w:val="1A1A1A"/>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微软雅黑"/>
      <w:b/>
      <w:bCs/>
      <w:color w:val="1A1A1A"/>
      <w:sz w:val="24"/>
    </w:rPr>
  </w:style>
  <w:style w:type="paragraph" w:styleId="Heading4">
    <w:name w:val="heading 4"/>
    <w:basedOn w:val="Normal"/>
    <w:next w:val="Normal"/>
    <w:link w:val="Heading4Char"/>
    <w:uiPriority w:val="9"/>
    <w:semiHidden/>
    <w:unhideWhenUsed/>
    <w:qFormat/>
    <w:rsid w:val="00FC693F"/>
    <w:pPr>
      <w:keepNext/>
      <w:keepLines/>
      <w:spacing w:before="200" w:after="100"/>
      <w:outlineLvl w:val="3"/>
    </w:pPr>
    <w:rPr>
      <w:rFonts w:asciiTheme="majorHAnsi" w:eastAsiaTheme="majorEastAsia" w:hAnsiTheme="majorHAnsi" w:cstheme="majorBidi" w:ascii="Times New Roman" w:hAnsi="Times New Roman" w:eastAsia="微软雅黑"/>
      <w:b/>
      <w:bCs/>
      <w:i/>
      <w:iCs/>
      <w:color w:val="1A1A1A"/>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