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宋体"/>
          <w:b/>
          <w:i w:val="0"/>
          <w:color w:val="102A43"/>
          <w:sz w:val="36"/>
        </w:rPr>
        <w:t>中期交付总结报告（建模与仿真）</w:t>
      </w:r>
    </w:p>
    <w:p>
      <w:pPr>
        <w:spacing w:after="100"/>
        <w:ind w:firstLine="0"/>
      </w:pPr>
      <w:r>
        <w:rPr>
          <w:rFonts w:ascii="Times New Roman" w:hAnsi="Times New Roman" w:eastAsia="宋体"/>
          <w:b/>
          <w:i w:val="0"/>
          <w:sz w:val="21"/>
        </w:rPr>
        <w:t>项目</w:t>
      </w:r>
      <w:r>
        <w:rPr>
          <w:rFonts w:ascii="Times New Roman" w:hAnsi="Times New Roman" w:eastAsia="宋体"/>
          <w:b w:val="0"/>
          <w:i w:val="0"/>
          <w:sz w:val="21"/>
        </w:rPr>
        <w:t xml:space="preserve">：融合数据-物理驱动的风电流场感知与智能调控研究 </w:t>
      </w:r>
      <w:r>
        <w:rPr>
          <w:rFonts w:ascii="Times New Roman" w:hAnsi="Times New Roman" w:eastAsia="宋体"/>
          <w:b/>
          <w:i w:val="0"/>
          <w:sz w:val="21"/>
        </w:rPr>
        <w:t>承担人</w:t>
      </w:r>
      <w:r>
        <w:rPr>
          <w:rFonts w:ascii="Times New Roman" w:hAnsi="Times New Roman" w:eastAsia="宋体"/>
          <w:b w:val="0"/>
          <w:i w:val="0"/>
          <w:sz w:val="21"/>
        </w:rPr>
        <w:t xml:space="preserve">：袁夫达（建模与仿真） </w:t>
      </w:r>
      <w:r>
        <w:rPr>
          <w:rFonts w:ascii="Times New Roman" w:hAnsi="Times New Roman" w:eastAsia="宋体"/>
          <w:b/>
          <w:i w:val="0"/>
          <w:sz w:val="21"/>
        </w:rPr>
        <w:t>交付内容</w:t>
      </w:r>
      <w:r>
        <w:rPr>
          <w:rFonts w:ascii="Times New Roman" w:hAnsi="Times New Roman" w:eastAsia="宋体"/>
          <w:b w:val="0"/>
          <w:i w:val="0"/>
          <w:sz w:val="21"/>
        </w:rPr>
        <w:t>：FLORIS 仿真引擎研究与二次开发、逻辑闭环仿真数据集、数据可信度论证、PINN 接口闭环验证、Fluent 高保真路线研究</w:t>
      </w:r>
    </w:p>
    <w:p>
      <w:pPr>
        <w:pStyle w:val="Heading2"/>
      </w:pPr>
      <w:r>
        <w:rPr>
          <w:rFonts w:ascii="Times New Roman" w:hAnsi="Times New Roman" w:eastAsia="宋体"/>
          <w:b/>
          <w:i w:val="0"/>
          <w:sz w:val="27"/>
        </w:rPr>
        <w:t>一、本工作的三件事与交付边界</w:t>
      </w:r>
    </w:p>
    <w:p>
      <w:pPr>
        <w:spacing w:after="100"/>
        <w:ind w:firstLine="0"/>
      </w:pPr>
      <w:r>
        <w:rPr>
          <w:rFonts w:ascii="Times New Roman" w:hAnsi="Times New Roman" w:eastAsia="宋体"/>
          <w:b w:val="0"/>
          <w:i w:val="0"/>
          <w:sz w:val="21"/>
        </w:rPr>
        <w:t>本工作在项目中承担"造数据"和"讲物理"两条线，具体是三件事。</w:t>
      </w:r>
    </w:p>
    <w:p>
      <w:pPr>
        <w:spacing w:after="100"/>
        <w:ind w:firstLine="0"/>
      </w:pPr>
      <w:r>
        <w:rPr>
          <w:rFonts w:ascii="Times New Roman" w:hAnsi="Times New Roman" w:eastAsia="宋体"/>
          <w:b/>
          <w:i w:val="0"/>
          <w:sz w:val="21"/>
        </w:rPr>
        <w:t>第一，找到并研究了一套可用的仿真引擎。</w:t>
      </w:r>
      <w:r>
        <w:rPr>
          <w:rFonts w:ascii="Times New Roman" w:hAnsi="Times New Roman" w:eastAsia="宋体"/>
          <w:b w:val="0"/>
          <w:i w:val="0"/>
          <w:sz w:val="21"/>
        </w:rPr>
        <w:t xml:space="preserve"> 项目需要成千上万条工况的功率数据，CFD 单工况要分钟到小时，无法支撑数据规模。因此选定 NREL FLORIS（稳态解析尾流框架，单工况毫秒级），并把它的物理原理——致动盘动量理论、高斯尾流亏损、涡量修正、多机叠加策略——完整梳理清楚。</w:t>
      </w:r>
    </w:p>
    <w:p>
      <w:pPr>
        <w:spacing w:after="100"/>
        <w:ind w:firstLine="0"/>
      </w:pPr>
      <w:r>
        <w:rPr>
          <w:rFonts w:ascii="Times New Roman" w:hAnsi="Times New Roman" w:eastAsia="宋体"/>
          <w:b/>
          <w:i w:val="0"/>
          <w:sz w:val="21"/>
        </w:rPr>
        <w:t>第二，用这套引擎造了一套逻辑闭环的仿真数据。</w:t>
      </w:r>
      <w:r>
        <w:rPr>
          <w:rFonts w:ascii="Times New Roman" w:hAnsi="Times New Roman" w:eastAsia="宋体"/>
          <w:b w:val="0"/>
          <w:i w:val="0"/>
          <w:sz w:val="21"/>
        </w:rPr>
        <w:t xml:space="preserve"> "闭环"的含义是：从风况输入到功率输出，中间每一步都由物理方程推出，不掺入任何实测插补或人工构造；且功率与流场内部严格自洽（可由盘面有效风速独立复算，偏差 0.000%）。数据规模 20 160 行 × 18 列，覆盖风速、风向、湍流强度、三台机的偏航/桨距/转速共 12 个输入。</w:t>
      </w:r>
    </w:p>
    <w:p>
      <w:pPr>
        <w:spacing w:after="100"/>
        <w:ind w:firstLine="0"/>
      </w:pPr>
      <w:r>
        <w:rPr>
          <w:rFonts w:ascii="Times New Roman" w:hAnsi="Times New Roman" w:eastAsia="宋体"/>
          <w:b/>
          <w:i w:val="0"/>
          <w:sz w:val="21"/>
        </w:rPr>
        <w:t>第三，把数据喂进下游模型，验证这条路线可行。</w:t>
      </w:r>
      <w:r>
        <w:rPr>
          <w:rFonts w:ascii="Times New Roman" w:hAnsi="Times New Roman" w:eastAsia="宋体"/>
          <w:b w:val="0"/>
          <w:i w:val="0"/>
          <w:sz w:val="21"/>
        </w:rPr>
        <w:t xml:space="preserve"> 用项目 PINN 组改造的代理模型直接训练这套数据，跑通 200 轮，留出集误差为额定功率的 1.02%；更关键的是用单变量响应扫描证明模型学到了控制量的因果效应（桨距响应误差 4.5%）。</w:t>
      </w:r>
    </w:p>
    <w:p>
      <w:pPr>
        <w:spacing w:after="100"/>
        <w:ind w:firstLine="0"/>
      </w:pPr>
      <w:r>
        <w:rPr>
          <w:rFonts w:ascii="Times New Roman" w:hAnsi="Times New Roman" w:eastAsia="宋体"/>
          <w:b/>
          <w:i w:val="0"/>
          <w:sz w:val="21"/>
        </w:rPr>
        <w:t>此外</w:t>
      </w:r>
      <w:r>
        <w:rPr>
          <w:rFonts w:ascii="Times New Roman" w:hAnsi="Times New Roman" w:eastAsia="宋体"/>
          <w:b w:val="0"/>
          <w:i w:val="0"/>
          <w:sz w:val="21"/>
        </w:rPr>
        <w:t>，还对 ANSYS Fluent 这条高保真路线做了原理梳理并跑通了单机算例，得到轮毂高度水平面的尾流速度云图，初步判断路线可行。</w:t>
      </w:r>
    </w:p>
    <w:p>
      <w:pPr>
        <w:spacing w:after="100"/>
        <w:ind w:firstLine="0"/>
      </w:pPr>
      <w:r>
        <w:rPr>
          <w:rFonts w:ascii="Times New Roman" w:hAnsi="Times New Roman" w:eastAsia="宋体"/>
          <w:b w:val="0"/>
          <w:i w:val="0"/>
          <w:sz w:val="21"/>
        </w:rPr>
        <w:t>需要说明的边界：本报告只覆盖建模与仿真部分，不含优化算法本身；数据的绝对物理精度受解析模型本质限制，尚未与 CFD 或实测对标（这一项列入下一步计划）。</w:t>
      </w:r>
    </w:p>
    <w:p>
      <w:pPr>
        <w:pStyle w:val="Heading2"/>
      </w:pPr>
      <w:r>
        <w:rPr>
          <w:rFonts w:ascii="Times New Roman" w:hAnsi="Times New Roman" w:eastAsia="宋体"/>
          <w:b/>
          <w:i w:val="0"/>
          <w:sz w:val="27"/>
        </w:rPr>
        <w:t>二、交付物清单</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CE6F1"/>
          </w:tcPr>
          <w:p>
            <w:pPr>
              <w:spacing w:after="20"/>
            </w:pPr>
            <w:r>
              <w:rPr>
                <w:rFonts w:ascii="Times New Roman" w:hAnsi="Times New Roman" w:eastAsia="宋体"/>
                <w:b/>
                <w:i w:val="0"/>
                <w:sz w:val="18"/>
              </w:rPr>
              <w:t>类别</w:t>
            </w:r>
          </w:p>
        </w:tc>
        <w:tc>
          <w:tcPr>
            <w:tcW w:type="dxa" w:w="3137"/>
            <w:shd w:val="clear" w:color="auto" w:fill="DCE6F1"/>
          </w:tcPr>
          <w:p>
            <w:pPr>
              <w:spacing w:after="20"/>
            </w:pPr>
            <w:r>
              <w:rPr>
                <w:rFonts w:ascii="Times New Roman" w:hAnsi="Times New Roman" w:eastAsia="宋体"/>
                <w:b/>
                <w:i w:val="0"/>
                <w:sz w:val="18"/>
              </w:rPr>
              <w:t>内容</w:t>
            </w:r>
          </w:p>
        </w:tc>
        <w:tc>
          <w:tcPr>
            <w:tcW w:type="dxa" w:w="3137"/>
            <w:shd w:val="clear" w:color="auto" w:fill="DCE6F1"/>
          </w:tcPr>
          <w:p>
            <w:pPr>
              <w:spacing w:after="20"/>
            </w:pPr>
            <w:r>
              <w:rPr>
                <w:rFonts w:ascii="Times New Roman" w:hAnsi="Times New Roman" w:eastAsia="宋体"/>
                <w:b/>
                <w:i w:val="0"/>
                <w:sz w:val="18"/>
              </w:rPr>
              <w:t>状态</w:t>
            </w:r>
          </w:p>
        </w:tc>
      </w:tr>
      <w:tr>
        <w:tc>
          <w:tcPr>
            <w:tcW w:type="dxa" w:w="3137"/>
          </w:tcPr>
          <w:p>
            <w:pPr>
              <w:spacing w:after="20"/>
            </w:pPr>
            <w:r>
              <w:rPr>
                <w:rFonts w:ascii="Times New Roman" w:hAnsi="Times New Roman" w:eastAsia="宋体"/>
                <w:b w:val="0"/>
                <w:i w:val="0"/>
                <w:sz w:val="18"/>
              </w:rPr>
              <w:t>数据集</w:t>
            </w:r>
          </w:p>
        </w:tc>
        <w:tc>
          <w:tcPr>
            <w:tcW w:type="dxa" w:w="3137"/>
          </w:tcPr>
          <w:p>
            <w:pPr>
              <w:spacing w:after="20"/>
            </w:pPr>
            <w:r>
              <w:rPr>
                <w:rFonts w:ascii="Times New Roman" w:hAnsi="Times New Roman" w:eastAsia="宋体"/>
                <w:b w:val="0"/>
                <w:i w:val="0"/>
                <w:sz w:val="18"/>
              </w:rPr>
              <w:t>v3 主数据集：20 160 行 × 18 列（12 输入 / 6 输出）</w:t>
            </w:r>
          </w:p>
        </w:tc>
        <w:tc>
          <w:tcPr>
            <w:tcW w:type="dxa" w:w="3137"/>
          </w:tcPr>
          <w:p>
            <w:pPr>
              <w:spacing w:after="20"/>
            </w:pPr>
            <w:r>
              <w:rPr>
                <w:rFonts w:ascii="Times New Roman" w:hAnsi="Times New Roman" w:eastAsia="宋体"/>
                <w:b w:val="0"/>
                <w:i w:val="0"/>
                <w:sz w:val="18"/>
              </w:rPr>
              <w:t>交付并验证</w:t>
            </w:r>
          </w:p>
        </w:tc>
      </w:tr>
      <w:tr>
        <w:tc>
          <w:tcPr>
            <w:tcW w:type="dxa" w:w="3137"/>
          </w:tcPr>
          <w:p>
            <w:pPr>
              <w:spacing w:after="20"/>
            </w:pPr>
            <w:r>
              <w:rPr>
                <w:rFonts w:ascii="Times New Roman" w:hAnsi="Times New Roman" w:eastAsia="宋体"/>
                <w:b w:val="0"/>
                <w:i w:val="0"/>
                <w:sz w:val="18"/>
              </w:rPr>
              <w:t>数据集</w:t>
            </w:r>
          </w:p>
        </w:tc>
        <w:tc>
          <w:tcPr>
            <w:tcW w:type="dxa" w:w="3137"/>
          </w:tcPr>
          <w:p>
            <w:pPr>
              <w:spacing w:after="20"/>
            </w:pPr>
            <w:r>
              <w:rPr>
                <w:rFonts w:ascii="Times New Roman" w:hAnsi="Times New Roman" w:eastAsia="宋体"/>
                <w:b w:val="0"/>
                <w:i w:val="0"/>
                <w:sz w:val="18"/>
              </w:rPr>
              <w:t>v1（15 264 行）、v2（13 440 行）历史版本，用于对照演进过程</w:t>
            </w:r>
          </w:p>
        </w:tc>
        <w:tc>
          <w:tcPr>
            <w:tcW w:type="dxa" w:w="3137"/>
          </w:tcPr>
          <w:p>
            <w:pPr>
              <w:spacing w:after="20"/>
            </w:pPr>
            <w:r>
              <w:rPr>
                <w:rFonts w:ascii="Times New Roman" w:hAnsi="Times New Roman" w:eastAsia="宋体"/>
                <w:b w:val="0"/>
                <w:i w:val="0"/>
                <w:sz w:val="18"/>
              </w:rPr>
              <w:t>交付</w:t>
            </w:r>
          </w:p>
        </w:tc>
      </w:tr>
      <w:tr>
        <w:tc>
          <w:tcPr>
            <w:tcW w:type="dxa" w:w="3137"/>
          </w:tcPr>
          <w:p>
            <w:pPr>
              <w:spacing w:after="20"/>
            </w:pPr>
            <w:r>
              <w:rPr>
                <w:rFonts w:ascii="Times New Roman" w:hAnsi="Times New Roman" w:eastAsia="宋体"/>
                <w:b w:val="0"/>
                <w:i w:val="0"/>
                <w:sz w:val="18"/>
              </w:rPr>
              <w:t>数据集</w:t>
            </w:r>
          </w:p>
        </w:tc>
        <w:tc>
          <w:tcPr>
            <w:tcW w:type="dxa" w:w="3137"/>
          </w:tcPr>
          <w:p>
            <w:pPr>
              <w:spacing w:after="20"/>
            </w:pPr>
            <w:r>
              <w:rPr>
                <w:rFonts w:ascii="Times New Roman" w:hAnsi="Times New Roman" w:eastAsia="宋体"/>
                <w:b w:val="0"/>
                <w:i w:val="0"/>
                <w:sz w:val="18"/>
              </w:rPr>
              <w:t>早期对照数据集：2 448 条（GCH/CC 各 1 224 条，9 输入）</w:t>
            </w:r>
          </w:p>
        </w:tc>
        <w:tc>
          <w:tcPr>
            <w:tcW w:type="dxa" w:w="3137"/>
          </w:tcPr>
          <w:p>
            <w:pPr>
              <w:spacing w:after="20"/>
            </w:pPr>
            <w:r>
              <w:rPr>
                <w:rFonts w:ascii="Times New Roman" w:hAnsi="Times New Roman" w:eastAsia="宋体"/>
                <w:b w:val="0"/>
                <w:i w:val="0"/>
                <w:sz w:val="18"/>
              </w:rPr>
              <w:t>交付</w:t>
            </w:r>
          </w:p>
        </w:tc>
      </w:tr>
      <w:tr>
        <w:tc>
          <w:tcPr>
            <w:tcW w:type="dxa" w:w="3137"/>
          </w:tcPr>
          <w:p>
            <w:pPr>
              <w:spacing w:after="20"/>
            </w:pPr>
            <w:r>
              <w:rPr>
                <w:rFonts w:ascii="Times New Roman" w:hAnsi="Times New Roman" w:eastAsia="宋体"/>
                <w:b w:val="0"/>
                <w:i w:val="0"/>
                <w:sz w:val="18"/>
              </w:rPr>
              <w:t>代码</w:t>
            </w:r>
          </w:p>
        </w:tc>
        <w:tc>
          <w:tcPr>
            <w:tcW w:type="dxa" w:w="3137"/>
          </w:tcPr>
          <w:p>
            <w:pPr>
              <w:spacing w:after="20"/>
            </w:pPr>
            <w:r>
              <w:rPr>
                <w:rFonts w:ascii="Times New Roman" w:hAnsi="Times New Roman" w:eastAsia="宋体"/>
                <w:b w:val="0"/>
                <w:i w:val="0"/>
                <w:sz w:val="18"/>
              </w:rPr>
              <w:t>数据生成、表格构建、合理性校验、接口验收、训练分析、响应校验共 9 个脚本</w:t>
            </w:r>
          </w:p>
        </w:tc>
        <w:tc>
          <w:tcPr>
            <w:tcW w:type="dxa" w:w="3137"/>
          </w:tcPr>
          <w:p>
            <w:pPr>
              <w:spacing w:after="20"/>
            </w:pPr>
            <w:r>
              <w:rPr>
                <w:rFonts w:ascii="Times New Roman" w:hAnsi="Times New Roman" w:eastAsia="宋体"/>
                <w:b w:val="0"/>
                <w:i w:val="0"/>
                <w:sz w:val="18"/>
              </w:rPr>
              <w:t>交付</w:t>
            </w:r>
          </w:p>
        </w:tc>
      </w:tr>
      <w:tr>
        <w:tc>
          <w:tcPr>
            <w:tcW w:type="dxa" w:w="3137"/>
          </w:tcPr>
          <w:p>
            <w:pPr>
              <w:spacing w:after="20"/>
            </w:pPr>
            <w:r>
              <w:rPr>
                <w:rFonts w:ascii="Times New Roman" w:hAnsi="Times New Roman" w:eastAsia="宋体"/>
                <w:b w:val="0"/>
                <w:i w:val="0"/>
                <w:sz w:val="18"/>
              </w:rPr>
              <w:t>论证</w:t>
            </w:r>
          </w:p>
        </w:tc>
        <w:tc>
          <w:tcPr>
            <w:tcW w:type="dxa" w:w="3137"/>
          </w:tcPr>
          <w:p>
            <w:pPr>
              <w:spacing w:after="20"/>
            </w:pPr>
            <w:r>
              <w:rPr>
                <w:rFonts w:ascii="Times New Roman" w:hAnsi="Times New Roman" w:eastAsia="宋体"/>
                <w:b w:val="0"/>
                <w:i w:val="0"/>
                <w:sz w:val="18"/>
              </w:rPr>
              <w:t>15 条合理性判据 + 单变量响应校验 + 14 张图</w:t>
            </w:r>
          </w:p>
        </w:tc>
        <w:tc>
          <w:tcPr>
            <w:tcW w:type="dxa" w:w="3137"/>
          </w:tcPr>
          <w:p>
            <w:pPr>
              <w:spacing w:after="20"/>
            </w:pPr>
            <w:r>
              <w:rPr>
                <w:rFonts w:ascii="Times New Roman" w:hAnsi="Times New Roman" w:eastAsia="宋体"/>
                <w:b w:val="0"/>
                <w:i w:val="0"/>
                <w:sz w:val="18"/>
              </w:rPr>
              <w:t>交付</w:t>
            </w:r>
          </w:p>
        </w:tc>
      </w:tr>
      <w:tr>
        <w:tc>
          <w:tcPr>
            <w:tcW w:type="dxa" w:w="3137"/>
          </w:tcPr>
          <w:p>
            <w:pPr>
              <w:spacing w:after="20"/>
            </w:pPr>
            <w:r>
              <w:rPr>
                <w:rFonts w:ascii="Times New Roman" w:hAnsi="Times New Roman" w:eastAsia="宋体"/>
                <w:b w:val="0"/>
                <w:i w:val="0"/>
                <w:sz w:val="18"/>
              </w:rPr>
              <w:t>校准</w:t>
            </w:r>
          </w:p>
        </w:tc>
        <w:tc>
          <w:tcPr>
            <w:tcW w:type="dxa" w:w="3137"/>
          </w:tcPr>
          <w:p>
            <w:pPr>
              <w:spacing w:after="20"/>
            </w:pPr>
            <w:r>
              <w:rPr>
                <w:rFonts w:ascii="Times New Roman" w:hAnsi="Times New Roman" w:eastAsia="宋体"/>
                <w:b w:val="0"/>
                <w:i w:val="0"/>
                <w:sz w:val="18"/>
              </w:rPr>
              <w:t>FLASC 四风场尾流参数校准（3 个合成 + 1 个真实数据）</w:t>
            </w:r>
          </w:p>
        </w:tc>
        <w:tc>
          <w:tcPr>
            <w:tcW w:type="dxa" w:w="3137"/>
          </w:tcPr>
          <w:p>
            <w:pPr>
              <w:spacing w:after="20"/>
            </w:pPr>
            <w:r>
              <w:rPr>
                <w:rFonts w:ascii="Times New Roman" w:hAnsi="Times New Roman" w:eastAsia="宋体"/>
                <w:b w:val="0"/>
                <w:i w:val="0"/>
                <w:sz w:val="18"/>
              </w:rPr>
              <w:t>交付</w:t>
            </w:r>
          </w:p>
        </w:tc>
      </w:tr>
      <w:tr>
        <w:tc>
          <w:tcPr>
            <w:tcW w:type="dxa" w:w="3137"/>
          </w:tcPr>
          <w:p>
            <w:pPr>
              <w:spacing w:after="20"/>
            </w:pPr>
            <w:r>
              <w:rPr>
                <w:rFonts w:ascii="Times New Roman" w:hAnsi="Times New Roman" w:eastAsia="宋体"/>
                <w:b w:val="0"/>
                <w:i w:val="0"/>
                <w:sz w:val="18"/>
              </w:rPr>
              <w:t>CFD</w:t>
            </w:r>
          </w:p>
        </w:tc>
        <w:tc>
          <w:tcPr>
            <w:tcW w:type="dxa" w:w="3137"/>
          </w:tcPr>
          <w:p>
            <w:pPr>
              <w:spacing w:after="20"/>
            </w:pPr>
            <w:r>
              <w:rPr>
                <w:rFonts w:ascii="Times New Roman" w:hAnsi="Times New Roman" w:eastAsia="宋体"/>
                <w:b w:val="0"/>
                <w:i w:val="0"/>
                <w:sz w:val="18"/>
              </w:rPr>
              <w:t>Fluent 原理文档 9 篇（约 4 900 个公式）+ 单机算例与尾流云图</w:t>
            </w:r>
          </w:p>
        </w:tc>
        <w:tc>
          <w:tcPr>
            <w:tcW w:type="dxa" w:w="3137"/>
          </w:tcPr>
          <w:p>
            <w:pPr>
              <w:spacing w:after="20"/>
            </w:pPr>
            <w:r>
              <w:rPr>
                <w:rFonts w:ascii="Times New Roman" w:hAnsi="Times New Roman" w:eastAsia="宋体"/>
                <w:b w:val="0"/>
                <w:i w:val="0"/>
                <w:sz w:val="18"/>
              </w:rPr>
              <w:t>原理完成，定量对标待做</w:t>
            </w:r>
          </w:p>
        </w:tc>
      </w:tr>
      <w:tr>
        <w:tc>
          <w:tcPr>
            <w:tcW w:type="dxa" w:w="3137"/>
          </w:tcPr>
          <w:p>
            <w:pPr>
              <w:spacing w:after="20"/>
            </w:pPr>
            <w:r>
              <w:rPr>
                <w:rFonts w:ascii="Times New Roman" w:hAnsi="Times New Roman" w:eastAsia="宋体"/>
                <w:b w:val="0"/>
                <w:i w:val="0"/>
                <w:sz w:val="18"/>
              </w:rPr>
              <w:t>其他</w:t>
            </w:r>
          </w:p>
        </w:tc>
        <w:tc>
          <w:tcPr>
            <w:tcW w:type="dxa" w:w="3137"/>
          </w:tcPr>
          <w:p>
            <w:pPr>
              <w:spacing w:after="20"/>
            </w:pPr>
            <w:r>
              <w:rPr>
                <w:rFonts w:ascii="Times New Roman" w:hAnsi="Times New Roman" w:eastAsia="宋体"/>
                <w:b w:val="0"/>
                <w:i w:val="0"/>
                <w:sz w:val="18"/>
              </w:rPr>
              <w:t>NREL 5MW 三维模型、二维风场沙盘（独立 EXE）</w:t>
            </w:r>
          </w:p>
        </w:tc>
        <w:tc>
          <w:tcPr>
            <w:tcW w:type="dxa" w:w="3137"/>
          </w:tcPr>
          <w:p>
            <w:pPr>
              <w:spacing w:after="20"/>
            </w:pPr>
            <w:r>
              <w:rPr>
                <w:rFonts w:ascii="Times New Roman" w:hAnsi="Times New Roman" w:eastAsia="宋体"/>
                <w:b w:val="0"/>
                <w:i w:val="0"/>
                <w:sz w:val="18"/>
              </w:rPr>
              <w:t>交付</w:t>
            </w:r>
          </w:p>
        </w:tc>
      </w:tr>
    </w:tbl>
    <w:p>
      <w:pPr>
        <w:spacing w:after="40"/>
      </w:pPr>
    </w:p>
    <w:p>
      <w:pPr>
        <w:pStyle w:val="Heading2"/>
      </w:pPr>
      <w:r>
        <w:rPr>
          <w:rFonts w:ascii="Times New Roman" w:hAnsi="Times New Roman" w:eastAsia="宋体"/>
          <w:b/>
          <w:i w:val="0"/>
          <w:sz w:val="27"/>
        </w:rPr>
        <w:t>三、FLORIS 研究</w:t>
      </w:r>
    </w:p>
    <w:p>
      <w:pPr>
        <w:pStyle w:val="Heading3"/>
      </w:pPr>
      <w:r>
        <w:rPr>
          <w:rFonts w:ascii="Times New Roman" w:hAnsi="Times New Roman" w:eastAsia="宋体"/>
          <w:b/>
          <w:i w:val="0"/>
          <w:sz w:val="24"/>
        </w:rPr>
        <w:t>3.1 工具选型</w:t>
      </w:r>
    </w:p>
    <w:p>
      <w:pPr>
        <w:spacing w:after="100"/>
        <w:ind w:firstLine="0"/>
      </w:pPr>
      <w:r>
        <w:rPr>
          <w:rFonts w:ascii="Times New Roman" w:hAnsi="Times New Roman" w:eastAsia="宋体"/>
          <w:b w:val="0"/>
          <w:i w:val="0"/>
          <w:sz w:val="21"/>
        </w:rPr>
        <w:t>风电场数据生成的核心矛盾是</w:t>
      </w:r>
      <w:r>
        <w:rPr>
          <w:rFonts w:ascii="Times New Roman" w:hAnsi="Times New Roman" w:eastAsia="宋体"/>
          <w:b/>
          <w:i w:val="0"/>
          <w:sz w:val="21"/>
        </w:rPr>
        <w:t>规模与精度的取舍</w:t>
      </w:r>
      <w:r>
        <w:rPr>
          <w:rFonts w:ascii="Times New Roman" w:hAnsi="Times New Roman" w:eastAsia="宋体"/>
          <w:b w:val="0"/>
          <w:i w:val="0"/>
          <w:sz w:val="21"/>
        </w:rPr>
        <w:t>。本项目需要覆盖"风速 × 风向 × 湍流强度 × 控制量"的高维工况空间，样本量在万级；而 CFD/LES 单工况需要分钟到小时，即使不计网格无关性验证，也无法支撑这个规模。</w:t>
      </w:r>
    </w:p>
    <w:p>
      <w:pPr>
        <w:spacing w:after="100"/>
        <w:ind w:firstLine="0"/>
      </w:pPr>
      <w:r>
        <w:rPr>
          <w:rFonts w:ascii="Times New Roman" w:hAnsi="Times New Roman" w:eastAsia="宋体"/>
          <w:b w:val="0"/>
          <w:i w:val="0"/>
          <w:sz w:val="21"/>
        </w:rPr>
        <w:t>FLORIS 是 NREL 开源的稳态工程级风电场仿真框架，基于解析尾流模型，单工况求解在毫秒量级（本机实测：批量 1 224 个工况耗时 0.72 秒）。它的定位是"工程级快速评估"，精度低于 LES，但计算成本低数个数量级，因此它决定的数据规模上限远高于 CFD。</w:t>
      </w:r>
    </w:p>
    <w:p>
      <w:pPr>
        <w:spacing w:after="100"/>
        <w:ind w:firstLine="0"/>
      </w:pPr>
      <w:r>
        <w:rPr>
          <w:rFonts w:ascii="Times New Roman" w:hAnsi="Times New Roman" w:eastAsia="宋体"/>
          <w:b w:val="0"/>
          <w:i w:val="0"/>
          <w:sz w:val="21"/>
        </w:rPr>
        <w:t>选它的第二条理由是</w:t>
      </w:r>
      <w:r>
        <w:rPr>
          <w:rFonts w:ascii="Times New Roman" w:hAnsi="Times New Roman" w:eastAsia="宋体"/>
          <w:b/>
          <w:i w:val="0"/>
          <w:sz w:val="21"/>
        </w:rPr>
        <w:t>版本可控、结果稳定</w:t>
      </w:r>
      <w:r>
        <w:rPr>
          <w:rFonts w:ascii="Times New Roman" w:hAnsi="Times New Roman" w:eastAsia="宋体"/>
          <w:b w:val="0"/>
          <w:i w:val="0"/>
          <w:sz w:val="21"/>
        </w:rPr>
        <w:t>：开源、固定 v4.6.6、学术使用广泛，可作为标准参照。</w:t>
      </w:r>
    </w:p>
    <w:p>
      <w:pPr>
        <w:pStyle w:val="Heading3"/>
      </w:pPr>
      <w:r>
        <w:rPr>
          <w:rFonts w:ascii="Times New Roman" w:hAnsi="Times New Roman" w:eastAsia="宋体"/>
          <w:b/>
          <w:i w:val="0"/>
          <w:sz w:val="24"/>
        </w:rPr>
        <w:t>3.2 计算框架：三层结构</w:t>
      </w:r>
    </w:p>
    <w:p>
      <w:pPr>
        <w:spacing w:after="100"/>
        <w:ind w:firstLine="0"/>
      </w:pPr>
      <w:r>
        <w:rPr>
          <w:rFonts w:ascii="Times New Roman" w:hAnsi="Times New Roman" w:eastAsia="宋体"/>
          <w:b w:val="0"/>
          <w:i w:val="0"/>
          <w:sz w:val="21"/>
        </w:rPr>
        <w:t>FLORIS 的计算分三层，理解这三层是理解后续所有取舍的前提。</w:t>
      </w:r>
    </w:p>
    <w:p>
      <w:pPr>
        <w:spacing w:after="100"/>
        <w:ind w:firstLine="0"/>
      </w:pPr>
      <w:r>
        <w:rPr>
          <w:rFonts w:ascii="Times New Roman" w:hAnsi="Times New Roman" w:eastAsia="宋体"/>
          <w:b/>
          <w:i w:val="0"/>
          <w:sz w:val="21"/>
        </w:rPr>
        <w:t>第一层，风机模型。</w:t>
      </w:r>
      <w:r>
        <w:rPr>
          <w:rFonts w:ascii="Times New Roman" w:hAnsi="Times New Roman" w:eastAsia="宋体"/>
          <w:b w:val="0"/>
          <w:i w:val="0"/>
          <w:sz w:val="21"/>
        </w:rPr>
        <w:t xml:space="preserve"> 每台风轮按致动盘处理，气动性能由功率系数曲线 </w:t>
      </w:r>
      <m:oMath>
        <m:sSub>
          <m:e>
            <m:r>
              <m:t>C</m:t>
            </m:r>
          </m:e>
          <m:sub>
            <m:r>
              <m:t>P</m:t>
            </m:r>
          </m:sub>
        </m:sSub>
        <m:r>
          <m:t>(U)</m:t>
        </m:r>
      </m:oMath>
      <w:r>
        <w:rPr>
          <w:rFonts w:ascii="Times New Roman" w:hAnsi="Times New Roman" w:eastAsia="宋体"/>
          <w:b w:val="0"/>
          <w:i w:val="0"/>
          <w:sz w:val="21"/>
        </w:rPr>
        <w:t xml:space="preserve"> 与推力系数曲线 </w:t>
      </w:r>
      <m:oMath>
        <m:sSub>
          <m:e>
            <m:r>
              <m:t>C</m:t>
            </m:r>
          </m:e>
          <m:sub>
            <m:r>
              <m:t>T</m:t>
            </m:r>
          </m:sub>
        </m:sSub>
        <m:r>
          <m:t>(U)</m:t>
        </m:r>
      </m:oMath>
      <w:r>
        <w:rPr>
          <w:rFonts w:ascii="Times New Roman" w:hAnsi="Times New Roman" w:eastAsia="宋体"/>
          <w:b w:val="0"/>
          <w:i w:val="0"/>
          <w:sz w:val="21"/>
        </w:rPr>
        <w:t xml:space="preserve"> 完全描述，不求解叶片绕流。这样做的前提是叶素动量理论（BEM）已经把叶片细节折算成这两条曲线。</w:t>
      </w:r>
    </w:p>
    <w:p>
      <w:pPr>
        <w:spacing w:after="100"/>
        <w:ind w:firstLine="0"/>
      </w:pPr>
      <w:r>
        <w:rPr>
          <w:rFonts w:ascii="Times New Roman" w:hAnsi="Times New Roman" w:eastAsia="宋体"/>
          <w:b/>
          <w:i w:val="0"/>
          <w:sz w:val="21"/>
        </w:rPr>
        <w:t>第二层，尾流模型。</w:t>
      </w:r>
      <w:r>
        <w:rPr>
          <w:rFonts w:ascii="Times New Roman" w:hAnsi="Times New Roman" w:eastAsia="宋体"/>
          <w:b w:val="0"/>
          <w:i w:val="0"/>
          <w:sz w:val="21"/>
        </w:rPr>
        <w:t xml:space="preserve"> 描述单机尾流的空间演化，由四部分组成：近尾流初始亏损、远尾流高斯型亏损的衰减与扩张、偏转模型、湍流混合模型。本项目使用的 GCH 模型在高斯亏损上叠加涡量修正，可刻画偏航引起的尾流偏转。</w:t>
      </w:r>
    </w:p>
    <w:p>
      <w:pPr>
        <w:spacing w:after="100"/>
        <w:ind w:firstLine="0"/>
      </w:pPr>
      <w:r>
        <w:rPr>
          <w:rFonts w:ascii="Times New Roman" w:hAnsi="Times New Roman" w:eastAsia="宋体"/>
          <w:b/>
          <w:i w:val="0"/>
          <w:sz w:val="21"/>
        </w:rPr>
        <w:t>第三层，风电场模型。</w:t>
      </w:r>
      <w:r>
        <w:rPr>
          <w:rFonts w:ascii="Times New Roman" w:hAnsi="Times New Roman" w:eastAsia="宋体"/>
          <w:b w:val="0"/>
          <w:i w:val="0"/>
          <w:sz w:val="21"/>
        </w:rPr>
        <w:t xml:space="preserve"> 多机尾流按平方和（SOSFS）策略叠加，得到全场速度场。</w:t>
      </w:r>
    </w:p>
    <w:p>
      <w:pPr>
        <w:spacing w:after="100"/>
        <w:ind w:firstLine="0"/>
      </w:pPr>
      <w:r>
        <w:rPr>
          <w:rFonts w:ascii="Times New Roman" w:hAnsi="Times New Roman" w:eastAsia="宋体"/>
          <w:b w:val="0"/>
          <w:i w:val="0"/>
          <w:sz w:val="21"/>
        </w:rPr>
        <w:t>这个结构的工程意义是：</w:t>
      </w:r>
      <w:r>
        <w:rPr>
          <w:rFonts w:ascii="Times New Roman" w:hAnsi="Times New Roman" w:eastAsia="宋体"/>
          <w:b/>
          <w:i w:val="0"/>
          <w:sz w:val="21"/>
        </w:rPr>
        <w:t>多机耦合是人为规定的叠加规则，不是物理方程自动产生的</w:t>
      </w:r>
      <w:r>
        <w:rPr>
          <w:rFonts w:ascii="Times New Roman" w:hAnsi="Times New Roman" w:eastAsia="宋体"/>
          <w:b w:val="0"/>
          <w:i w:val="0"/>
          <w:sz w:val="21"/>
        </w:rPr>
        <w:t>。这一点在与 CFD 对标时必须记住。</w:t>
      </w:r>
    </w:p>
    <w:p>
      <w:pPr>
        <w:pStyle w:val="Heading3"/>
      </w:pPr>
      <w:r>
        <w:rPr>
          <w:rFonts w:ascii="Times New Roman" w:hAnsi="Times New Roman" w:eastAsia="宋体"/>
          <w:b/>
          <w:i w:val="0"/>
          <w:sz w:val="24"/>
        </w:rPr>
        <w:t>3.3 二次开发：把控制量接进解析模型</w:t>
      </w:r>
    </w:p>
    <w:p>
      <w:pPr>
        <w:spacing w:after="100"/>
        <w:ind w:firstLine="0"/>
      </w:pPr>
      <w:r>
        <w:rPr>
          <w:rFonts w:ascii="Times New Roman" w:hAnsi="Times New Roman" w:eastAsia="宋体"/>
          <w:b/>
          <w:i w:val="0"/>
          <w:sz w:val="21"/>
        </w:rPr>
        <w:t>原有局限：</w:t>
      </w:r>
      <w:r>
        <w:rPr>
          <w:rFonts w:ascii="Times New Roman" w:hAnsi="Times New Roman" w:eastAsia="宋体"/>
          <w:b w:val="0"/>
          <w:i w:val="0"/>
          <w:sz w:val="21"/>
        </w:rPr>
        <w:t xml:space="preserve"> FLORIS 的涡轮机模型只接受"风速 → 功率/推力系数"这条一维曲线，</w:t>
      </w:r>
      <w:r>
        <w:rPr>
          <w:rFonts w:ascii="Times New Roman" w:hAnsi="Times New Roman" w:eastAsia="宋体"/>
          <w:b/>
          <w:i w:val="0"/>
          <w:sz w:val="21"/>
        </w:rPr>
        <w:t xml:space="preserve">桨距 </w:t>
      </w:r>
      <m:oMath>
        <m:r>
          <m:t>β</m:t>
        </m:r>
      </m:oMath>
      <w:r>
        <w:rPr>
          <w:rFonts w:ascii="Times New Roman" w:hAnsi="Times New Roman" w:eastAsia="宋体"/>
          <w:b/>
          <w:i w:val="0"/>
          <w:sz w:val="21"/>
        </w:rPr>
        <w:t xml:space="preserve"> 与转速 </w:t>
      </w:r>
      <m:oMath>
        <m:r>
          <m:t>ω</m:t>
        </m:r>
      </m:oMath>
      <w:r>
        <w:rPr>
          <w:rFonts w:ascii="Times New Roman" w:hAnsi="Times New Roman" w:eastAsia="宋体"/>
          <w:b/>
          <w:i w:val="0"/>
          <w:sz w:val="21"/>
        </w:rPr>
        <w:t xml:space="preserve"> 都不是输入</w:t>
      </w:r>
      <w:r>
        <w:rPr>
          <w:rFonts w:ascii="Times New Roman" w:hAnsi="Times New Roman" w:eastAsia="宋体"/>
          <w:b w:val="0"/>
          <w:i w:val="0"/>
          <w:sz w:val="21"/>
        </w:rPr>
        <w:t>。而项目下游的代理模型需要 12 维输入，其中 6 维正是三台机的桨距与转速。</w:t>
      </w:r>
    </w:p>
    <w:p>
      <w:pPr>
        <w:spacing w:after="100"/>
        <w:ind w:firstLine="0"/>
      </w:pPr>
      <w:r>
        <w:rPr>
          <w:rFonts w:ascii="Times New Roman" w:hAnsi="Times New Roman" w:eastAsia="宋体"/>
          <w:b/>
          <w:i w:val="0"/>
          <w:sz w:val="21"/>
        </w:rPr>
        <w:t>解决思路：</w:t>
      </w:r>
      <w:r>
        <w:rPr>
          <w:rFonts w:ascii="Times New Roman" w:hAnsi="Times New Roman" w:eastAsia="宋体"/>
          <w:b w:val="0"/>
          <w:i w:val="0"/>
          <w:sz w:val="21"/>
        </w:rPr>
        <w:t xml:space="preserve"> FLORIS 自带一套 NREL 5MW 的二维气动曲面——叶尖速比 </w:t>
      </w:r>
      <m:oMath>
        <m:r>
          <m:t>λ</m:t>
        </m:r>
      </m:oMath>
      <w:r>
        <w:rPr>
          <w:rFonts w:ascii="Times New Roman" w:hAnsi="Times New Roman" w:eastAsia="宋体"/>
          <w:b w:val="0"/>
          <w:i w:val="0"/>
          <w:sz w:val="21"/>
        </w:rPr>
        <w:t xml:space="preserve"> 与桨距 </w:t>
      </w:r>
      <m:oMath>
        <m:r>
          <m:t>β</m:t>
        </m:r>
      </m:oMath>
      <w:r>
        <w:rPr>
          <w:rFonts w:ascii="Times New Roman" w:hAnsi="Times New Roman" w:eastAsia="宋体"/>
          <w:b w:val="0"/>
          <w:i w:val="0"/>
          <w:sz w:val="21"/>
        </w:rPr>
        <w:t xml:space="preserve"> 到 </w:t>
      </w:r>
      <m:oMath>
        <m:sSub>
          <m:e>
            <m:r>
              <m:t>C</m:t>
            </m:r>
          </m:e>
          <m:sub>
            <m:r>
              <m:t>P</m:t>
            </m:r>
          </m:sub>
        </m:sSub>
      </m:oMath>
      <w:r>
        <w:rPr>
          <w:rFonts w:ascii="Times New Roman" w:hAnsi="Times New Roman" w:eastAsia="宋体"/>
          <w:b w:val="0"/>
          <w:i w:val="0"/>
          <w:sz w:val="21"/>
        </w:rPr>
        <w:t>、</w:t>
      </w:r>
      <m:oMath>
        <m:sSub>
          <m:e>
            <m:r>
              <m:t>C</m:t>
            </m:r>
          </m:e>
          <m:sub>
            <m:r>
              <m:t>T</m:t>
            </m:r>
          </m:sub>
        </m:sSub>
      </m:oMath>
      <w:r>
        <w:rPr>
          <w:rFonts w:ascii="Times New Roman" w:hAnsi="Times New Roman" w:eastAsia="宋体"/>
          <w:b w:val="0"/>
          <w:i w:val="0"/>
          <w:sz w:val="21"/>
        </w:rPr>
        <w:t xml:space="preserve"> 的映射（</w:t>
      </w:r>
      <m:oMath>
        <m:r>
          <m:t>λ</m:t>
        </m:r>
      </m:oMath>
      <w:r>
        <w:rPr>
          <w:rFonts w:ascii="Times New Roman" w:hAnsi="Times New Roman" w:eastAsia="宋体"/>
          <w:b w:val="0"/>
          <w:i w:val="0"/>
          <w:sz w:val="21"/>
        </w:rPr>
        <w:t xml:space="preserve"> 3–10，</w:t>
      </w:r>
      <m:oMath>
        <m:r>
          <m:t>β</m:t>
        </m:r>
      </m:oMath>
      <w:r>
        <w:rPr>
          <w:rFonts w:ascii="Times New Roman" w:hAnsi="Times New Roman" w:eastAsia="宋体"/>
          <w:b w:val="0"/>
          <w:i w:val="0"/>
          <w:sz w:val="21"/>
        </w:rPr>
        <w:t xml:space="preserve"> −5°~30°，29×36 网格）。把这套曲面折叠进 FLORIS 自己的功率/推力表即可：</w:t>
      </w:r>
    </w:p>
    <w:p>
      <w:pPr>
        <w:spacing w:after="100"/>
        <w:ind w:firstLine="0"/>
      </w:pPr>
      <w:r>
        <w:rPr>
          <w:rFonts w:ascii="Times New Roman" w:hAnsi="Times New Roman" w:eastAsia="宋体"/>
          <w:b w:val="0"/>
          <w:i w:val="0"/>
          <w:sz w:val="21"/>
        </w:rPr>
        <w:t xml:space="preserve">对每个 </w:t>
      </w:r>
      <m:oMath>
        <m:d>
          <m:dPr>
            <m:sepChr m:val=","/>
          </m:dPr>
          <m:e>
            <m:r>
              <m:t>λ</m:t>
            </m:r>
          </m:e>
          <m:e>
            <m:r>
              <m:t>β</m:t>
            </m:r>
          </m:e>
        </m:d>
      </m:oMath>
      <w:r>
        <w:rPr>
          <w:rFonts w:ascii="Times New Roman" w:hAnsi="Times New Roman" w:eastAsia="宋体"/>
          <w:b w:val="0"/>
          <w:i w:val="0"/>
          <w:sz w:val="21"/>
        </w:rPr>
        <w:t xml:space="preserve"> 组合构造一张表，表中每一行的功率为</w:t>
      </w:r>
    </w:p>
    <w:p>
      <w:pPr>
        <w:spacing w:before="100" w:after="100" w:line="276" w:lineRule="auto"/>
        <w:jc w:val="center"/>
      </w:pPr>
      <m:oMath>
        <m:r>
          <m:t>P(U)=</m:t>
        </m:r>
        <m:f>
          <m:fPr>
            <m:type m:val="bar"/>
          </m:fPr>
          <m:num>
            <m:r>
              <m:t>1</m:t>
            </m:r>
          </m:num>
          <m:den>
            <m:r>
              <m:t>2</m:t>
            </m:r>
          </m:den>
        </m:f>
        <m:r>
          <m:t>ρA</m:t>
        </m:r>
        <m:sSup>
          <m:e>
            <m:r>
              <m:t>U</m:t>
            </m:r>
          </m:e>
          <m:sup>
            <m:r>
              <m:t>3</m:t>
            </m:r>
          </m:sup>
        </m:sSup>
        <m:sSub>
          <m:e>
            <m:r>
              <m:t>C</m:t>
            </m:r>
          </m:e>
          <m:sub>
            <m:r>
              <m:t>P</m:t>
            </m:r>
          </m:sub>
        </m:sSub>
        <m:r>
          <m:t>(λ,β)</m:t>
        </m:r>
        <m:r>
          <m:t>η</m:t>
        </m:r>
      </m:oMath>
    </w:p>
    <w:p>
      <w:pPr>
        <w:spacing w:after="100"/>
        <w:ind w:firstLine="0"/>
      </w:pPr>
      <w:r>
        <w:rPr>
          <w:rFonts w:ascii="Times New Roman" w:hAnsi="Times New Roman" w:eastAsia="宋体"/>
          <w:b w:val="0"/>
          <w:i w:val="0"/>
          <w:sz w:val="21"/>
        </w:rPr>
        <w:t xml:space="preserve">推力系数取该格的常数 </w:t>
      </w:r>
      <m:oMath>
        <m:sSub>
          <m:e>
            <m:r>
              <m:t>C</m:t>
            </m:r>
          </m:e>
          <m:sub>
            <m:r>
              <m:t>T</m:t>
            </m:r>
          </m:sub>
        </m:sSub>
        <m:r>
          <m:t>(λ,β)</m:t>
        </m:r>
      </m:oMath>
      <w:r>
        <w:rPr>
          <w:rFonts w:ascii="Times New Roman" w:hAnsi="Times New Roman" w:eastAsia="宋体"/>
          <w:b w:val="0"/>
          <w:i w:val="0"/>
          <w:sz w:val="21"/>
        </w:rPr>
        <w:t>。</w:t>
      </w:r>
    </w:p>
    <w:p>
      <w:pPr>
        <w:spacing w:after="100"/>
        <w:ind w:firstLine="0"/>
      </w:pPr>
      <w:r>
        <w:rPr>
          <w:rFonts w:ascii="Times New Roman" w:hAnsi="Times New Roman" w:eastAsia="宋体"/>
          <w:b/>
          <w:i w:val="0"/>
          <w:sz w:val="21"/>
        </w:rPr>
        <w:t>为什么这样是自洽的：</w:t>
      </w:r>
      <w:r>
        <w:rPr>
          <w:rFonts w:ascii="Times New Roman" w:hAnsi="Times New Roman" w:eastAsia="宋体"/>
          <w:b w:val="0"/>
          <w:i w:val="0"/>
          <w:sz w:val="21"/>
        </w:rPr>
        <w:t xml:space="preserve"> 表内 </w:t>
      </w:r>
      <m:oMath>
        <m:r>
          <m:t>λ</m:t>
        </m:r>
      </m:oMath>
      <w:r>
        <w:rPr>
          <w:rFonts w:ascii="Times New Roman" w:hAnsi="Times New Roman" w:eastAsia="宋体"/>
          <w:b w:val="0"/>
          <w:i w:val="0"/>
          <w:sz w:val="21"/>
        </w:rPr>
        <w:t xml:space="preserve"> 固定，等于声明"控制器把叶尖速比稳在 </w:t>
      </w:r>
      <m:oMath>
        <m:r>
          <m:t>λ</m:t>
        </m:r>
      </m:oMath>
      <w:r>
        <w:rPr>
          <w:rFonts w:ascii="Times New Roman" w:hAnsi="Times New Roman" w:eastAsia="宋体"/>
          <w:b w:val="0"/>
          <w:i w:val="0"/>
          <w:sz w:val="21"/>
        </w:rPr>
        <w:t>"。于是每台机自己的实际转速由当地盘面风速决定</w:t>
      </w:r>
    </w:p>
    <w:p>
      <w:pPr>
        <w:spacing w:before="100" w:after="100" w:line="276" w:lineRule="auto"/>
        <w:jc w:val="center"/>
      </w:pPr>
      <m:oMath>
        <m:sSub>
          <m:e>
            <m:r>
              <m:t>ω</m:t>
            </m:r>
          </m:e>
          <m:sub>
            <m:r>
              <m:t>i</m:t>
            </m:r>
          </m:sub>
        </m:sSub>
        <m:r>
          <m:t>=</m:t>
        </m:r>
        <m:f>
          <m:fPr>
            <m:type m:val="bar"/>
          </m:fPr>
          <m:num>
            <m:r>
              <m:t>λ</m:t>
            </m:r>
            <m:sSub>
              <m:e>
                <m:r>
                  <m:t>U</m:t>
                </m:r>
              </m:e>
              <m:sub>
                <m:r>
                  <m:rPr>
                    <m:sty m:val="p"/>
                  </m:rPr>
                  <m:t>eff</m:t>
                </m:r>
                <m:r>
                  <m:t>,i</m:t>
                </m:r>
              </m:sub>
            </m:sSub>
          </m:num>
          <m:den>
            <m:r>
              <m:t>R</m:t>
            </m:r>
          </m:den>
        </m:f>
      </m:oMath>
    </w:p>
    <w:p>
      <w:pPr>
        <w:spacing w:after="100"/>
        <w:ind w:firstLine="0"/>
      </w:pPr>
      <w:r>
        <w:rPr>
          <w:rFonts w:ascii="Times New Roman" w:hAnsi="Times New Roman" w:eastAsia="宋体"/>
          <w:b w:val="0"/>
          <w:i w:val="0"/>
          <w:sz w:val="21"/>
        </w:rPr>
        <w:t xml:space="preserve">而它查到的 </w:t>
      </w:r>
      <m:oMath>
        <m:sSub>
          <m:e>
            <m:r>
              <m:t>C</m:t>
            </m:r>
          </m:e>
          <m:sub>
            <m:r>
              <m:t>P</m:t>
            </m:r>
          </m:sub>
        </m:sSub>
      </m:oMath>
      <w:r>
        <w:rPr>
          <w:rFonts w:ascii="Times New Roman" w:hAnsi="Times New Roman" w:eastAsia="宋体"/>
          <w:b w:val="0"/>
          <w:i w:val="0"/>
          <w:sz w:val="21"/>
        </w:rPr>
        <w:t>、</w:t>
      </w:r>
      <m:oMath>
        <m:sSub>
          <m:e>
            <m:r>
              <m:t>C</m:t>
            </m:r>
          </m:e>
          <m:sub>
            <m:r>
              <m:t>T</m:t>
            </m:r>
          </m:sub>
        </m:sSub>
      </m:oMath>
      <w:r>
        <w:rPr>
          <w:rFonts w:ascii="Times New Roman" w:hAnsi="Times New Roman" w:eastAsia="宋体"/>
          <w:b w:val="0"/>
          <w:i w:val="0"/>
          <w:sz w:val="21"/>
        </w:rPr>
        <w:t xml:space="preserve"> 恰好是 </w:t>
      </w:r>
      <m:oMath>
        <m:d>
          <m:dPr>
            <m:sepChr m:val=","/>
          </m:dPr>
          <m:e>
            <m:r>
              <m:t>λ</m:t>
            </m:r>
          </m:e>
          <m:e>
            <m:r>
              <m:t>β</m:t>
            </m:r>
          </m:e>
        </m:d>
      </m:oMath>
      <w:r>
        <w:rPr>
          <w:rFonts w:ascii="Times New Roman" w:hAnsi="Times New Roman" w:eastAsia="宋体"/>
          <w:b w:val="0"/>
          <w:i w:val="0"/>
          <w:sz w:val="21"/>
        </w:rPr>
        <w:t xml:space="preserve"> 那一格的常数——</w:t>
      </w:r>
      <w:r>
        <w:rPr>
          <w:rFonts w:ascii="Times New Roman" w:hAnsi="Times New Roman" w:eastAsia="宋体"/>
          <w:b/>
          <w:i w:val="0"/>
          <w:sz w:val="21"/>
        </w:rPr>
        <w:t>功率与尾流用的是同一个气动点，不存在"功率按 A 算、推力按 B 算"的矛盾</w:t>
      </w:r>
      <w:r>
        <w:rPr>
          <w:rFonts w:ascii="Times New Roman" w:hAnsi="Times New Roman" w:eastAsia="宋体"/>
          <w:b w:val="0"/>
          <w:i w:val="0"/>
          <w:sz w:val="21"/>
        </w:rPr>
        <w:t>。这一点是整份数据可信度的基础。</w:t>
      </w:r>
    </w:p>
    <w:p>
      <w:pPr>
        <w:pStyle w:val="Heading3"/>
      </w:pPr>
      <w:r>
        <w:rPr>
          <w:rFonts w:ascii="Times New Roman" w:hAnsi="Times New Roman" w:eastAsia="宋体"/>
          <w:b/>
          <w:i w:val="0"/>
          <w:sz w:val="24"/>
        </w:rPr>
        <w:t>3.4 参数标定</w:t>
      </w:r>
    </w:p>
    <w:p>
      <w:pPr>
        <w:spacing w:after="100"/>
        <w:ind w:firstLine="0"/>
      </w:pPr>
      <w:r>
        <w:rPr>
          <w:rFonts w:ascii="Times New Roman" w:hAnsi="Times New Roman" w:eastAsia="宋体"/>
          <w:b w:val="0"/>
          <w:i w:val="0"/>
          <w:sz w:val="21"/>
        </w:rPr>
        <w:t>FLORIS 自带的这套曲面标注为"示范用途"，源码中亦有明确告警。实测其峰值比官方 NREL 5MW 功率表低约 2.5%。为消除这一系统偏差，在孤立单机、8 m/s 条件下比对两者功率，得到整体标定因子</w:t>
      </w:r>
    </w:p>
    <w:p>
      <w:pPr>
        <w:spacing w:before="100" w:after="100" w:line="276" w:lineRule="auto"/>
        <w:jc w:val="center"/>
      </w:pPr>
      <m:oMath>
        <m:r>
          <m:t>k=1.0347</m:t>
        </m:r>
      </m:oMath>
    </w:p>
    <w:p>
      <w:pPr>
        <w:spacing w:after="100"/>
        <w:ind w:firstLine="0"/>
      </w:pPr>
      <w:r>
        <w:rPr>
          <w:rFonts w:ascii="Times New Roman" w:hAnsi="Times New Roman" w:eastAsia="宋体"/>
          <w:b w:val="0"/>
          <w:i w:val="0"/>
          <w:sz w:val="21"/>
        </w:rPr>
        <w:t>标定后孤立单机功率由 1.6952 MW 提升至 1.7540 MW，与官方表</w:t>
      </w:r>
      <w:r>
        <w:rPr>
          <w:rFonts w:ascii="Times New Roman" w:hAnsi="Times New Roman" w:eastAsia="宋体"/>
          <w:b/>
          <w:i w:val="0"/>
          <w:sz w:val="21"/>
        </w:rPr>
        <w:t>完全一致（残差 0.000%）</w:t>
      </w:r>
      <w:r>
        <w:rPr>
          <w:rFonts w:ascii="Times New Roman" w:hAnsi="Times New Roman" w:eastAsia="宋体"/>
          <w:b w:val="0"/>
          <w:i w:val="0"/>
          <w:sz w:val="21"/>
        </w:rPr>
        <w:t xml:space="preserve">。推力系数未标定——实测 demo 曲面 </w:t>
      </w:r>
      <m:oMath>
        <m:sSub>
          <m:e>
            <m:r>
              <m:t>C</m:t>
            </m:r>
          </m:e>
          <m:sub>
            <m:r>
              <m:t>T</m:t>
            </m:r>
          </m:sub>
        </m:sSub>
        <m:r>
          <m:t>=0.7878</m:t>
        </m:r>
      </m:oMath>
      <w:r>
        <w:rPr>
          <w:rFonts w:ascii="Times New Roman" w:hAnsi="Times New Roman" w:eastAsia="宋体"/>
          <w:b w:val="0"/>
          <w:i w:val="0"/>
          <w:sz w:val="21"/>
        </w:rPr>
        <w:t>、官方表 8 m/s 处 0.7871，相差 0.09%，可忽略。</w:t>
      </w:r>
    </w:p>
    <w:p>
      <w:pPr>
        <w:spacing w:after="100"/>
        <w:ind w:firstLine="0"/>
      </w:pPr>
      <w:r>
        <w:rPr>
          <w:rFonts w:ascii="Times New Roman" w:hAnsi="Times New Roman" w:eastAsia="宋体"/>
          <w:b w:val="0"/>
          <w:i w:val="0"/>
          <w:sz w:val="21"/>
        </w:rPr>
        <w:t>标定的效果见图 fig03：额定以下单机曲线与官方表的偏差由 −4.55%~−2.15% 收紧到 −1.24%~+1.24%。</w:t>
      </w:r>
    </w:p>
    <w:p>
      <w:pPr>
        <w:spacing w:before="120" w:after="40"/>
        <w:jc w:val="center"/>
      </w:pPr>
      <w:r>
        <w:drawing>
          <wp:inline xmlns:a="http://schemas.openxmlformats.org/drawingml/2006/main" xmlns:pic="http://schemas.openxmlformats.org/drawingml/2006/picture">
            <wp:extent cx="5220000" cy="1993091"/>
            <wp:docPr id="1" name="Picture 1"/>
            <wp:cNvGraphicFramePr>
              <a:graphicFrameLocks noChangeAspect="1"/>
            </wp:cNvGraphicFramePr>
            <a:graphic>
              <a:graphicData uri="http://schemas.openxmlformats.org/drawingml/2006/picture">
                <pic:pic>
                  <pic:nvPicPr>
                    <pic:cNvPr id="0" name="fig01_cp_ct_surface.png"/>
                    <pic:cNvPicPr/>
                  </pic:nvPicPr>
                  <pic:blipFill>
                    <a:blip r:embed="rId9"/>
                    <a:stretch>
                      <a:fillRect/>
                    </a:stretch>
                  </pic:blipFill>
                  <pic:spPr>
                    <a:xfrm>
                      <a:off x="0" y="0"/>
                      <a:ext cx="5220000" cy="1993091"/>
                    </a:xfrm>
                    <a:prstGeom prst="rect"/>
                  </pic:spPr>
                </pic:pic>
              </a:graphicData>
            </a:graphic>
          </wp:inline>
        </w:drawing>
      </w:r>
    </w:p>
    <w:p>
      <w:pPr>
        <w:spacing w:before="0" w:after="160"/>
        <w:jc w:val="center"/>
      </w:pPr>
      <w:r>
        <w:rPr>
          <w:rFonts w:ascii="Times New Roman" w:hAnsi="Times New Roman" w:eastAsia="宋体"/>
          <w:color w:val="595959"/>
          <w:sz w:val="18"/>
        </w:rPr>
        <w:t>图 1  Cp/Ct 曲面与本数据集使用的离散控制块</w:t>
      </w:r>
    </w:p>
    <w:p>
      <w:pPr>
        <w:spacing w:before="120" w:after="40"/>
        <w:jc w:val="center"/>
      </w:pPr>
      <w:r>
        <w:drawing>
          <wp:inline xmlns:a="http://schemas.openxmlformats.org/drawingml/2006/main" xmlns:pic="http://schemas.openxmlformats.org/drawingml/2006/picture">
            <wp:extent cx="5220000" cy="2982857"/>
            <wp:docPr id="2" name="Picture 2"/>
            <wp:cNvGraphicFramePr>
              <a:graphicFrameLocks noChangeAspect="1"/>
            </wp:cNvGraphicFramePr>
            <a:graphic>
              <a:graphicData uri="http://schemas.openxmlformats.org/drawingml/2006/picture">
                <pic:pic>
                  <pic:nvPicPr>
                    <pic:cNvPr id="0" name="fig03_vs_official.png"/>
                    <pic:cNvPicPr/>
                  </pic:nvPicPr>
                  <pic:blipFill>
                    <a:blip r:embed="rId10"/>
                    <a:stretch>
                      <a:fillRect/>
                    </a:stretch>
                  </pic:blipFill>
                  <pic:spPr>
                    <a:xfrm>
                      <a:off x="0" y="0"/>
                      <a:ext cx="5220000" cy="2982857"/>
                    </a:xfrm>
                    <a:prstGeom prst="rect"/>
                  </pic:spPr>
                </pic:pic>
              </a:graphicData>
            </a:graphic>
          </wp:inline>
        </w:drawing>
      </w:r>
    </w:p>
    <w:p>
      <w:pPr>
        <w:spacing w:before="0" w:after="160"/>
        <w:jc w:val="center"/>
      </w:pPr>
      <w:r>
        <w:rPr>
          <w:rFonts w:ascii="Times New Roman" w:hAnsi="Times New Roman" w:eastAsia="宋体"/>
          <w:color w:val="595959"/>
          <w:sz w:val="18"/>
        </w:rPr>
        <w:t>图 2  单机功率曲线与官方 NREL 5MW 表对标</w:t>
      </w:r>
    </w:p>
    <w:p>
      <w:pPr>
        <w:pStyle w:val="Heading2"/>
      </w:pPr>
      <w:r>
        <w:rPr>
          <w:rFonts w:ascii="Times New Roman" w:hAnsi="Times New Roman" w:eastAsia="宋体"/>
          <w:b/>
          <w:i w:val="0"/>
          <w:sz w:val="27"/>
        </w:rPr>
        <w:t>四、逻辑闭环数据的构造</w:t>
      </w:r>
    </w:p>
    <w:p>
      <w:pPr>
        <w:pStyle w:val="Heading3"/>
      </w:pPr>
      <w:r>
        <w:rPr>
          <w:rFonts w:ascii="Times New Roman" w:hAnsi="Times New Roman" w:eastAsia="宋体"/>
          <w:b/>
          <w:i w:val="0"/>
          <w:sz w:val="24"/>
        </w:rPr>
        <w:t>4.1 闭环链条</w:t>
      </w:r>
    </w:p>
    <w:p>
      <w:pPr>
        <w:spacing w:after="100"/>
        <w:ind w:firstLine="0"/>
      </w:pPr>
      <w:r>
        <w:rPr>
          <w:rFonts w:ascii="Times New Roman" w:hAnsi="Times New Roman" w:eastAsia="宋体"/>
          <w:b w:val="0"/>
          <w:i w:val="0"/>
          <w:sz w:val="21"/>
        </w:rPr>
        <w:t>数据的生成链条如下，每一环都是确定性的物理计算：</w:t>
      </w:r>
    </w:p>
    <w:p>
      <w:pPr>
        <w:spacing w:after="100"/>
        <w:ind w:firstLine="0"/>
      </w:pPr>
      <w:r>
        <w:rPr>
          <w:rFonts w:ascii="Times New Roman" w:hAnsi="Times New Roman" w:eastAsia="宋体"/>
          <w:b w:val="0"/>
          <w:i w:val="0"/>
          <w:sz w:val="21"/>
        </w:rPr>
        <w:t xml:space="preserve">风况（风速、风向、湍流强度）与控制量（偏航、桨距、叶尖速比）输入 → FLORIS 求解多机尾流场（含偏航偏转与 SOSFS 叠加）→ 在每台机的风轮盘面上做 128 点等面积采样，得到盘面有效风速 </w:t>
      </w:r>
      <m:oMath>
        <m:sSub>
          <m:e>
            <m:r>
              <m:t>U</m:t>
            </m:r>
          </m:e>
          <m:sub>
            <m:r>
              <m:rPr>
                <m:sty m:val="p"/>
              </m:rPr>
              <m:t>eff</m:t>
            </m:r>
          </m:sub>
        </m:sSub>
      </m:oMath>
      <w:r>
        <w:rPr>
          <w:rFonts w:ascii="Times New Roman" w:hAnsi="Times New Roman" w:eastAsia="宋体"/>
          <w:b w:val="0"/>
          <w:i w:val="0"/>
          <w:sz w:val="21"/>
        </w:rPr>
        <w:t xml:space="preserve"> → 由同一张 </w:t>
      </w:r>
      <m:oMath>
        <m:sSub>
          <m:e>
            <m:r>
              <m:t>C</m:t>
            </m:r>
          </m:e>
          <m:sub>
            <m:r>
              <m:t>P</m:t>
            </m:r>
          </m:sub>
        </m:sSub>
      </m:oMath>
      <w:r>
        <w:rPr>
          <w:rFonts w:ascii="Times New Roman" w:hAnsi="Times New Roman" w:eastAsia="宋体"/>
          <w:b w:val="0"/>
          <w:i w:val="0"/>
          <w:sz w:val="21"/>
        </w:rPr>
        <w:t xml:space="preserve"> 表算出电功率</w:t>
      </w:r>
    </w:p>
    <w:p>
      <w:pPr>
        <w:spacing w:before="100" w:after="100" w:line="276" w:lineRule="auto"/>
        <w:jc w:val="center"/>
      </w:pPr>
      <m:oMath>
        <m:sSub>
          <m:e>
            <m:r>
              <m:t>P</m:t>
            </m:r>
          </m:e>
          <m:sub>
            <m:r>
              <m:t>i</m:t>
            </m:r>
          </m:sub>
        </m:sSub>
        <m:r>
          <m:t>=</m:t>
        </m:r>
        <m:f>
          <m:fPr>
            <m:type m:val="bar"/>
          </m:fPr>
          <m:num>
            <m:r>
              <m:t>1</m:t>
            </m:r>
          </m:num>
          <m:den>
            <m:r>
              <m:t>2</m:t>
            </m:r>
          </m:den>
        </m:f>
        <m:r>
          <m:t>ρA</m:t>
        </m:r>
        <m:sSubSup>
          <m:e>
            <m:r>
              <m:t>U</m:t>
            </m:r>
          </m:e>
          <m:sub>
            <m:r>
              <m:rPr>
                <m:sty m:val="p"/>
              </m:rPr>
              <m:t>eff</m:t>
            </m:r>
            <m:r>
              <m:t>,i</m:t>
            </m:r>
          </m:sub>
          <m:sup>
            <m:r>
              <m:t>3</m:t>
            </m:r>
          </m:sup>
        </m:sSubSup>
        <m:sSub>
          <m:e>
            <m:r>
              <m:t>C</m:t>
            </m:r>
          </m:e>
          <m:sub>
            <m:r>
              <m:t>P</m:t>
            </m:r>
          </m:sub>
        </m:sSub>
        <m:r>
          <m:t>(λ,β)</m:t>
        </m:r>
        <m:r>
          <m:t>η</m:t>
        </m:r>
        <m:sSup>
          <m:e>
            <m:r>
              <m:rPr>
                <m:sty m:val="p"/>
              </m:rPr>
              <m:t>cos</m:t>
            </m:r>
          </m:e>
          <m:sup>
            <m:r>
              <m:t>1.88</m:t>
            </m:r>
          </m:sup>
        </m:sSup>
        <m:sSub>
          <m:e>
            <m:r>
              <m:t>γ</m:t>
            </m:r>
          </m:e>
          <m:sub>
            <m:r>
              <m:t>i</m:t>
            </m:r>
          </m:sub>
        </m:sSub>
      </m:oMath>
    </w:p>
    <w:p>
      <w:pPr>
        <w:spacing w:after="100"/>
        <w:ind w:firstLine="0"/>
      </w:pPr>
      <w:r>
        <w:rPr>
          <w:rFonts w:ascii="Times New Roman" w:hAnsi="Times New Roman" w:eastAsia="宋体"/>
          <w:b w:val="0"/>
          <w:i w:val="0"/>
          <w:sz w:val="21"/>
        </w:rPr>
        <w:t xml:space="preserve">→ 由 </w:t>
      </w:r>
      <m:oMath>
        <m:sSub>
          <m:e>
            <m:r>
              <m:t>ω</m:t>
            </m:r>
          </m:e>
          <m:sub>
            <m:r>
              <m:t>i</m:t>
            </m:r>
          </m:sub>
        </m:sSub>
        <m:r>
          <m:t>=λ</m:t>
        </m:r>
        <m:sSub>
          <m:e>
            <m:r>
              <m:t>U</m:t>
            </m:r>
          </m:e>
          <m:sub>
            <m:r>
              <m:rPr>
                <m:sty m:val="p"/>
              </m:rPr>
              <m:t>eff</m:t>
            </m:r>
            <m:r>
              <m:t>,i</m:t>
            </m:r>
          </m:sub>
        </m:sSub>
        <m:r>
          <m:t>/R</m:t>
        </m:r>
      </m:oMath>
      <w:r>
        <w:rPr>
          <w:rFonts w:ascii="Times New Roman" w:hAnsi="Times New Roman" w:eastAsia="宋体"/>
          <w:b w:val="0"/>
          <w:i w:val="0"/>
          <w:sz w:val="21"/>
        </w:rPr>
        <w:t xml:space="preserve"> 得到各机实际转速。</w:t>
      </w:r>
    </w:p>
    <w:p>
      <w:pPr>
        <w:spacing w:after="100"/>
        <w:ind w:firstLine="0"/>
      </w:pPr>
      <w:r>
        <w:rPr>
          <w:rFonts w:ascii="Times New Roman" w:hAnsi="Times New Roman" w:eastAsia="宋体"/>
          <w:b/>
          <w:i w:val="0"/>
          <w:sz w:val="21"/>
        </w:rPr>
        <w:t>闭环的含义</w:t>
      </w:r>
      <w:r>
        <w:rPr>
          <w:rFonts w:ascii="Times New Roman" w:hAnsi="Times New Roman" w:eastAsia="宋体"/>
          <w:b w:val="0"/>
          <w:i w:val="0"/>
          <w:sz w:val="21"/>
        </w:rPr>
        <w:t>：功率、转速、盘面风速三者互相锁定，任意一个都能由另外两个反推出来。第五章的自洽性判据即验证这一点。</w:t>
      </w:r>
    </w:p>
    <w:p>
      <w:pPr>
        <w:pStyle w:val="Heading3"/>
      </w:pPr>
      <w:r>
        <w:rPr>
          <w:rFonts w:ascii="Times New Roman" w:hAnsi="Times New Roman" w:eastAsia="宋体"/>
          <w:b/>
          <w:i w:val="0"/>
          <w:sz w:val="24"/>
        </w:rPr>
        <w:t>4.2 v1：先把链路跑通</w:t>
      </w:r>
    </w:p>
    <w:p>
      <w:pPr>
        <w:spacing w:after="100"/>
        <w:ind w:firstLine="0"/>
      </w:pPr>
      <w:r>
        <w:rPr>
          <w:rFonts w:ascii="Times New Roman" w:hAnsi="Times New Roman" w:eastAsia="宋体"/>
          <w:b/>
          <w:i w:val="0"/>
          <w:sz w:val="21"/>
        </w:rPr>
        <w:t>目的</w:t>
      </w:r>
      <w:r>
        <w:rPr>
          <w:rFonts w:ascii="Times New Roman" w:hAnsi="Times New Roman" w:eastAsia="宋体"/>
          <w:b w:val="0"/>
          <w:i w:val="0"/>
          <w:sz w:val="21"/>
        </w:rPr>
        <w:t>：先回答一个最基本的问题——用解析模型造一套"功率与流场互相锁定"的数据，这条路本身走不走得通。</w:t>
      </w:r>
    </w:p>
    <w:p>
      <w:pPr>
        <w:spacing w:after="100"/>
        <w:ind w:firstLine="0"/>
      </w:pPr>
      <w:r>
        <w:rPr>
          <w:rFonts w:ascii="Times New Roman" w:hAnsi="Times New Roman" w:eastAsia="宋体"/>
          <w:b/>
          <w:i w:val="0"/>
          <w:sz w:val="21"/>
        </w:rPr>
        <w:t>做法</w:t>
      </w:r>
      <w:r>
        <w:rPr>
          <w:rFonts w:ascii="Times New Roman" w:hAnsi="Times New Roman" w:eastAsia="宋体"/>
          <w:b w:val="0"/>
          <w:i w:val="0"/>
          <w:sz w:val="21"/>
        </w:rPr>
        <w:t>：三台机采用统一控制（同一个集体桨距、同一个叶尖速比目标），</w:t>
      </w:r>
      <m:oMath>
        <m:sSub>
          <m:e>
            <m:r>
              <m:t>C</m:t>
            </m:r>
          </m:e>
          <m:sub>
            <m:r>
              <m:t>P</m:t>
            </m:r>
          </m:sub>
        </m:sSub>
      </m:oMath>
      <w:r>
        <w:rPr>
          <w:rFonts w:ascii="Times New Roman" w:hAnsi="Times New Roman" w:eastAsia="宋体"/>
          <w:b w:val="0"/>
          <w:i w:val="0"/>
          <w:sz w:val="21"/>
        </w:rPr>
        <w:t xml:space="preserve"> 直接用 FLORIS 自带曲面原值，风向 24 档、风速 15 档、湍流强度三档，共 15 264 条。</w:t>
      </w:r>
    </w:p>
    <w:p>
      <w:pPr>
        <w:spacing w:after="100"/>
        <w:ind w:firstLine="0"/>
      </w:pPr>
      <w:r>
        <w:rPr>
          <w:rFonts w:ascii="Times New Roman" w:hAnsi="Times New Roman" w:eastAsia="宋体"/>
          <w:b/>
          <w:i w:val="0"/>
          <w:sz w:val="21"/>
        </w:rPr>
        <w:t>结果</w:t>
      </w:r>
      <w:r>
        <w:rPr>
          <w:rFonts w:ascii="Times New Roman" w:hAnsi="Times New Roman" w:eastAsia="宋体"/>
          <w:b w:val="0"/>
          <w:i w:val="0"/>
          <w:sz w:val="21"/>
        </w:rPr>
        <w:t>：链路跑通，15 条判据全部通过，留出集平均误差 30.1 kW（约额定功率的 0.6%）。</w:t>
      </w:r>
    </w:p>
    <w:p>
      <w:pPr>
        <w:spacing w:after="100"/>
        <w:ind w:firstLine="0"/>
      </w:pPr>
      <w:r>
        <w:rPr>
          <w:rFonts w:ascii="Times New Roman" w:hAnsi="Times New Roman" w:eastAsia="宋体"/>
          <w:b/>
          <w:i w:val="0"/>
          <w:sz w:val="21"/>
        </w:rPr>
        <w:t>但这一版暴露了三个问题，它们直接决定了后面两版的改动方向</w:t>
      </w:r>
      <w:r>
        <w:rPr>
          <w:rFonts w:ascii="Times New Roman" w:hAnsi="Times New Roman" w:eastAsia="宋体"/>
          <w:b w:val="0"/>
          <w:i w:val="0"/>
          <w:sz w:val="21"/>
        </w:rPr>
        <w:t>：</w:t>
      </w:r>
    </w:p>
    <w:p>
      <w:pPr>
        <w:pStyle w:val="ListNumber"/>
        <w:spacing w:after="40" w:line="288" w:lineRule="auto"/>
        <w:ind w:left="425"/>
      </w:pPr>
      <w:r>
        <w:rPr>
          <w:rFonts w:ascii="Times New Roman" w:hAnsi="Times New Roman" w:eastAsia="宋体"/>
          <w:b/>
          <w:i w:val="0"/>
          <w:sz w:val="21"/>
        </w:rPr>
        <w:t>单机功率曲线偏低</w:t>
      </w:r>
      <w:r>
        <w:rPr>
          <w:rFonts w:ascii="Times New Roman" w:hAnsi="Times New Roman" w:eastAsia="宋体"/>
          <w:b w:val="0"/>
          <w:i w:val="0"/>
          <w:sz w:val="21"/>
        </w:rPr>
        <w:t>。与 NREL 官方功率表对标，额定以下低 2.1%~4.6%。原因是用作气动数据源的曲面标注为"示范用途"，其峰值效率比官方表低约 2.5%。</w:t>
      </w:r>
    </w:p>
    <w:p>
      <w:pPr>
        <w:pStyle w:val="ListNumber"/>
        <w:spacing w:after="40" w:line="288" w:lineRule="auto"/>
        <w:ind w:left="425"/>
      </w:pPr>
      <w:r>
        <w:rPr>
          <w:rFonts w:ascii="Times New Roman" w:hAnsi="Times New Roman" w:eastAsia="宋体"/>
          <w:b/>
          <w:i w:val="0"/>
          <w:sz w:val="21"/>
        </w:rPr>
        <w:t>控制维度不够用</w:t>
      </w:r>
      <w:r>
        <w:rPr>
          <w:rFonts w:ascii="Times New Roman" w:hAnsi="Times New Roman" w:eastAsia="宋体"/>
          <w:b w:val="0"/>
          <w:i w:val="0"/>
          <w:sz w:val="21"/>
        </w:rPr>
        <w:t>。三台机桨距恒等，等于只能描述"全场统一降载"，无法表达"只让上游机降载、下游机满发"这类真实策略，而后者正是优化算法要搜索的空间。</w:t>
      </w:r>
    </w:p>
    <w:p>
      <w:pPr>
        <w:pStyle w:val="ListNumber"/>
        <w:spacing w:after="40" w:line="288" w:lineRule="auto"/>
        <w:ind w:left="425"/>
      </w:pPr>
      <w:r>
        <w:rPr>
          <w:rFonts w:ascii="Times New Roman" w:hAnsi="Times New Roman" w:eastAsia="宋体"/>
          <w:b/>
          <w:i w:val="0"/>
          <w:sz w:val="21"/>
        </w:rPr>
        <w:t>最难的工况样本最少</w:t>
      </w:r>
      <w:r>
        <w:rPr>
          <w:rFonts w:ascii="Times New Roman" w:hAnsi="Times New Roman" w:eastAsia="宋体"/>
          <w:b w:val="0"/>
          <w:i w:val="0"/>
          <w:sz w:val="21"/>
        </w:rPr>
        <w:t>。正对来流（深尾流）处的误差是其它风向的 2.8 倍，而偏航优化恰恰工作在这个区间——误差最大的地方样本最稀。</w:t>
      </w:r>
    </w:p>
    <w:p>
      <w:pPr>
        <w:pStyle w:val="Heading3"/>
      </w:pPr>
      <w:r>
        <w:rPr>
          <w:rFonts w:ascii="Times New Roman" w:hAnsi="Times New Roman" w:eastAsia="宋体"/>
          <w:b/>
          <w:i w:val="0"/>
          <w:sz w:val="24"/>
        </w:rPr>
        <w:t>4.3 v2：两个驱动力推动的第一次重构</w:t>
      </w:r>
    </w:p>
    <w:p>
      <w:pPr>
        <w:spacing w:after="100"/>
        <w:ind w:firstLine="0"/>
      </w:pPr>
      <w:r>
        <w:rPr>
          <w:rFonts w:ascii="Times New Roman" w:hAnsi="Times New Roman" w:eastAsia="宋体"/>
          <w:b w:val="0"/>
          <w:i w:val="0"/>
          <w:sz w:val="21"/>
        </w:rPr>
        <w:t>这一版针对上述第 1、2、3 点各改一处。</w:t>
      </w:r>
    </w:p>
    <w:p>
      <w:pPr>
        <w:spacing w:after="100"/>
        <w:ind w:firstLine="0"/>
      </w:pPr>
      <w:r>
        <w:rPr>
          <w:rFonts w:ascii="Times New Roman" w:hAnsi="Times New Roman" w:eastAsia="宋体"/>
          <w:b/>
          <w:i w:val="0"/>
          <w:sz w:val="21"/>
        </w:rPr>
        <w:t>针对单机曲线偏低</w:t>
      </w:r>
      <w:r>
        <w:rPr>
          <w:rFonts w:ascii="Times New Roman" w:hAnsi="Times New Roman" w:eastAsia="宋体"/>
          <w:b w:val="0"/>
          <w:i w:val="0"/>
          <w:sz w:val="21"/>
        </w:rPr>
        <w:t>：先在孤立单机、8 m/s 条件下对比 FLORIS 官方表与本数据所用曲面，得到整体标定因子</w:t>
      </w:r>
    </w:p>
    <w:p>
      <w:pPr>
        <w:spacing w:before="100" w:after="100" w:line="276" w:lineRule="auto"/>
        <w:jc w:val="center"/>
      </w:pPr>
      <m:oMath>
        <m:r>
          <m:t>k=</m:t>
        </m:r>
        <m:f>
          <m:fPr>
            <m:type m:val="bar"/>
          </m:fPr>
          <m:num>
            <m:sSub>
              <m:e>
                <m:r>
                  <m:t>P</m:t>
                </m:r>
              </m:e>
              <m:sub>
                <m:r>
                  <m:rPr>
                    <m:nor/>
                  </m:rPr>
                  <m:t>官方</m:t>
                </m:r>
              </m:sub>
            </m:sSub>
            <m:r>
              <m:t>(8</m:t>
            </m:r>
            <m:f>
              <m:fPr>
                <m:type m:val="lin"/>
              </m:fPr>
              <m:num>
                <m:r>
                  <m:rPr>
                    <m:sty m:val="p"/>
                  </m:rPr>
                  <m:t>m</m:t>
                </m:r>
              </m:num>
              <m:den>
                <m:r>
                  <m:rPr>
                    <m:sty m:val="p"/>
                  </m:rPr>
                  <m:t>s</m:t>
                </m:r>
              </m:den>
            </m:f>
            <m:r>
              <m:t>)</m:t>
            </m:r>
          </m:num>
          <m:den>
            <m:sSub>
              <m:e>
                <m:r>
                  <m:t>P</m:t>
                </m:r>
              </m:e>
              <m:sub>
                <m:r>
                  <m:rPr>
                    <m:nor/>
                  </m:rPr>
                  <m:t>本表</m:t>
                </m:r>
              </m:sub>
            </m:sSub>
            <m:r>
              <m:t>(8</m:t>
            </m:r>
            <m:f>
              <m:fPr>
                <m:type m:val="lin"/>
              </m:fPr>
              <m:num>
                <m:r>
                  <m:rPr>
                    <m:sty m:val="p"/>
                  </m:rPr>
                  <m:t>m</m:t>
                </m:r>
              </m:num>
              <m:den>
                <m:r>
                  <m:rPr>
                    <m:sty m:val="p"/>
                  </m:rPr>
                  <m:t>s</m:t>
                </m:r>
              </m:den>
            </m:f>
            <m:r>
              <m:t>)</m:t>
            </m:r>
          </m:den>
        </m:f>
        <m:r>
          <m:t>=1.0347</m:t>
        </m:r>
      </m:oMath>
    </w:p>
    <w:p>
      <w:pPr>
        <w:spacing w:after="100"/>
        <w:ind w:firstLine="0"/>
      </w:pPr>
      <w:r>
        <w:rPr>
          <w:rFonts w:ascii="Times New Roman" w:hAnsi="Times New Roman" w:eastAsia="宋体"/>
          <w:b w:val="0"/>
          <w:i w:val="0"/>
          <w:sz w:val="21"/>
        </w:rPr>
        <w:t xml:space="preserve">把 </w:t>
      </w:r>
      <m:oMath>
        <m:sSub>
          <m:e>
            <m:r>
              <m:t>C</m:t>
            </m:r>
          </m:e>
          <m:sub>
            <m:r>
              <m:t>P</m:t>
            </m:r>
          </m:sub>
        </m:sSub>
      </m:oMath>
      <w:r>
        <w:rPr>
          <w:rFonts w:ascii="Times New Roman" w:hAnsi="Times New Roman" w:eastAsia="宋体"/>
          <w:b w:val="0"/>
          <w:i w:val="0"/>
          <w:sz w:val="21"/>
        </w:rPr>
        <w:t xml:space="preserve"> 整体乘上该因子。标定后孤立单机功率由 1.6952 MW 升至 1.7540 MW，与官方表完全一致；额定以下整条曲线的偏差由 −4.55%~−2.15% 收紧到 </w:t>
      </w:r>
      <w:r>
        <w:rPr>
          <w:rFonts w:ascii="Times New Roman" w:hAnsi="Times New Roman" w:eastAsia="宋体"/>
          <w:b/>
          <w:i w:val="0"/>
          <w:sz w:val="21"/>
        </w:rPr>
        <w:t>−1.24%~+1.24%</w:t>
      </w:r>
      <w:r>
        <w:rPr>
          <w:rFonts w:ascii="Times New Roman" w:hAnsi="Times New Roman" w:eastAsia="宋体"/>
          <w:b w:val="0"/>
          <w:i w:val="0"/>
          <w:sz w:val="21"/>
        </w:rPr>
        <w:t xml:space="preserve">。推力系数不作标定——实测该曲面 </w:t>
      </w:r>
      <m:oMath>
        <m:sSub>
          <m:e>
            <m:r>
              <m:t>C</m:t>
            </m:r>
          </m:e>
          <m:sub>
            <m:r>
              <m:t>T</m:t>
            </m:r>
          </m:sub>
        </m:sSub>
        <m:r>
          <m:t>=0.7878</m:t>
        </m:r>
      </m:oMath>
      <w:r>
        <w:rPr>
          <w:rFonts w:ascii="Times New Roman" w:hAnsi="Times New Roman" w:eastAsia="宋体"/>
          <w:b w:val="0"/>
          <w:i w:val="0"/>
          <w:sz w:val="21"/>
        </w:rPr>
        <w:t>、官方表 8 m/s 处 0.7871，相差 0.09%，可忽略。</w:t>
      </w:r>
    </w:p>
    <w:p>
      <w:pPr>
        <w:spacing w:after="100"/>
        <w:ind w:firstLine="0"/>
      </w:pPr>
      <w:r>
        <w:rPr>
          <w:rFonts w:ascii="Times New Roman" w:hAnsi="Times New Roman" w:eastAsia="宋体"/>
          <w:b/>
          <w:i w:val="0"/>
          <w:sz w:val="21"/>
        </w:rPr>
        <w:t>针对控制维度不够</w:t>
      </w:r>
      <w:r>
        <w:rPr>
          <w:rFonts w:ascii="Times New Roman" w:hAnsi="Times New Roman" w:eastAsia="宋体"/>
          <w:b w:val="0"/>
          <w:i w:val="0"/>
          <w:sz w:val="21"/>
        </w:rPr>
        <w:t>：改为</w:t>
      </w:r>
      <w:r>
        <w:rPr>
          <w:rFonts w:ascii="Times New Roman" w:hAnsi="Times New Roman" w:eastAsia="宋体"/>
          <w:b/>
          <w:i w:val="0"/>
          <w:sz w:val="21"/>
        </w:rPr>
        <w:t>逐机控制</w:t>
      </w:r>
      <w:r>
        <w:rPr>
          <w:rFonts w:ascii="Times New Roman" w:hAnsi="Times New Roman" w:eastAsia="宋体"/>
          <w:b w:val="0"/>
          <w:i w:val="0"/>
          <w:sz w:val="21"/>
        </w:rPr>
        <w:t>——每台机可以有自己的桨距与叶尖速比。实现上按"风向 + 三机控制块组合"分组，每组给三台机各挂一张独立的功率/推力表。共定义五个控制模式（三机最优跟踪、三机统一降载、逐机错列、以及两个为高风速准备的低速比模式），每个风速按优先级取其前三个可行者。</w:t>
      </w:r>
    </w:p>
    <w:p>
      <w:pPr>
        <w:spacing w:after="100"/>
        <w:ind w:firstLine="0"/>
      </w:pPr>
      <w:r>
        <w:rPr>
          <w:rFonts w:ascii="Times New Roman" w:hAnsi="Times New Roman" w:eastAsia="宋体"/>
          <w:b/>
          <w:i w:val="0"/>
          <w:sz w:val="21"/>
        </w:rPr>
        <w:t>针对最难的工况样本最少</w:t>
      </w:r>
      <w:r>
        <w:rPr>
          <w:rFonts w:ascii="Times New Roman" w:hAnsi="Times New Roman" w:eastAsia="宋体"/>
          <w:b w:val="0"/>
          <w:i w:val="0"/>
          <w:sz w:val="21"/>
        </w:rPr>
        <w:t>：风向由 24 档加密到 28 档，在 85°、95°、265°、275° 四处补点，专门覆盖正对来流附近。</w:t>
      </w:r>
    </w:p>
    <w:p>
      <w:pPr>
        <w:spacing w:after="100"/>
        <w:ind w:firstLine="0"/>
      </w:pPr>
      <w:r>
        <w:rPr>
          <w:rFonts w:ascii="Times New Roman" w:hAnsi="Times New Roman" w:eastAsia="宋体"/>
          <w:b/>
          <w:i w:val="0"/>
          <w:sz w:val="21"/>
        </w:rPr>
        <w:t>结果</w:t>
      </w:r>
      <w:r>
        <w:rPr>
          <w:rFonts w:ascii="Times New Roman" w:hAnsi="Times New Roman" w:eastAsia="宋体"/>
          <w:b w:val="0"/>
          <w:i w:val="0"/>
          <w:sz w:val="21"/>
        </w:rPr>
        <w:t>：样本 13 440 条，留出集平均误差降到 25.4 kW（改善 16%），其中</w:t>
      </w:r>
      <w:r>
        <w:rPr>
          <w:rFonts w:ascii="Times New Roman" w:hAnsi="Times New Roman" w:eastAsia="宋体"/>
          <w:b/>
          <w:i w:val="0"/>
          <w:sz w:val="21"/>
        </w:rPr>
        <w:t>下游机 P3 由 34.8 kW 降到 27.3 kW</w:t>
      </w:r>
      <w:r>
        <w:rPr>
          <w:rFonts w:ascii="Times New Roman" w:hAnsi="Times New Roman" w:eastAsia="宋体"/>
          <w:b w:val="0"/>
          <w:i w:val="0"/>
          <w:sz w:val="21"/>
        </w:rPr>
        <w:t>，正是加密风向来带的收益。</w:t>
      </w:r>
    </w:p>
    <w:p>
      <w:pPr>
        <w:spacing w:after="100"/>
        <w:ind w:firstLine="0"/>
      </w:pPr>
      <w:r>
        <w:rPr>
          <w:rFonts w:ascii="Times New Roman" w:hAnsi="Times New Roman" w:eastAsia="宋体"/>
          <w:b/>
          <w:i w:val="0"/>
          <w:sz w:val="21"/>
        </w:rPr>
        <w:t>但这一版埋下了一个隐患</w:t>
      </w:r>
      <w:r>
        <w:rPr>
          <w:rFonts w:ascii="Times New Roman" w:hAnsi="Times New Roman" w:eastAsia="宋体"/>
          <w:b w:val="0"/>
          <w:i w:val="0"/>
          <w:sz w:val="21"/>
        </w:rPr>
        <w:t>。为了把样本量控制在可训练规模内，每个风速只挑三个控制模式；而叶尖速比取 8 时，风速超过约 10 m/s 就会超出额定转速被排除。两者叠加的结果是：</w:t>
      </w:r>
      <w:r>
        <w:rPr>
          <w:rFonts w:ascii="Times New Roman" w:hAnsi="Times New Roman" w:eastAsia="宋体"/>
          <w:b/>
          <w:i w:val="0"/>
          <w:sz w:val="21"/>
        </w:rPr>
        <w:t>桨距大于 0 的工况只出现在高风速、桨距为 0 的工况只出现在低风速</w:t>
      </w:r>
      <w:r>
        <w:rPr>
          <w:rFonts w:ascii="Times New Roman" w:hAnsi="Times New Roman" w:eastAsia="宋体"/>
          <w:b w:val="0"/>
          <w:i w:val="0"/>
          <w:sz w:val="21"/>
        </w:rPr>
        <w:t>——桨距与风速几乎完全共线。当时的留出集误差（25.4 kW）看不出任何异常，这个问题直到下一版之前才被响应扫描发现。</w:t>
      </w:r>
    </w:p>
    <w:p>
      <w:pPr>
        <w:pStyle w:val="Heading3"/>
      </w:pPr>
      <w:r>
        <w:rPr>
          <w:rFonts w:ascii="Times New Roman" w:hAnsi="Times New Roman" w:eastAsia="宋体"/>
          <w:b/>
          <w:i w:val="0"/>
          <w:sz w:val="24"/>
        </w:rPr>
        <w:t>4.4 v3：响应校验暴露的缺陷与第二次重构</w:t>
      </w:r>
    </w:p>
    <w:p>
      <w:pPr>
        <w:spacing w:after="100"/>
        <w:ind w:firstLine="0"/>
      </w:pPr>
      <w:r>
        <w:rPr>
          <w:rFonts w:ascii="Times New Roman" w:hAnsi="Times New Roman" w:eastAsia="宋体"/>
          <w:b/>
          <w:i w:val="0"/>
          <w:sz w:val="21"/>
        </w:rPr>
        <w:t>现象。</w:t>
      </w:r>
      <w:r>
        <w:rPr>
          <w:rFonts w:ascii="Times New Roman" w:hAnsi="Times New Roman" w:eastAsia="宋体"/>
          <w:b w:val="0"/>
          <w:i w:val="0"/>
          <w:sz w:val="21"/>
        </w:rPr>
        <w:t xml:space="preserve"> v2 的留出集平均误差为 25.4 kW（额定功率的 0.5%），看起来完全正常。但做单变量响应扫描时暴露了严重问题：固定 8 m/s、把三机集体桨距从 0° 扫到 10°，FLORIS 真值从 2.55 MW 掉到 0.46 MW，而模型给出的却是一条几乎水平的线，最大偏差 </w:t>
      </w:r>
      <w:r>
        <w:rPr>
          <w:rFonts w:ascii="Times New Roman" w:hAnsi="Times New Roman" w:eastAsia="宋体"/>
          <w:b/>
          <w:i w:val="0"/>
          <w:sz w:val="21"/>
        </w:rPr>
        <w:t>433%</w:t>
      </w:r>
      <w:r>
        <w:rPr>
          <w:rFonts w:ascii="Times New Roman" w:hAnsi="Times New Roman" w:eastAsia="宋体"/>
          <w:b w:val="0"/>
          <w:i w:val="0"/>
          <w:sz w:val="21"/>
        </w:rPr>
        <w:t>。</w:t>
      </w:r>
    </w:p>
    <w:p>
      <w:pPr>
        <w:spacing w:after="100"/>
        <w:ind w:firstLine="0"/>
      </w:pPr>
      <w:r>
        <w:rPr>
          <w:rFonts w:ascii="Times New Roman" w:hAnsi="Times New Roman" w:eastAsia="宋体"/>
          <w:b/>
          <w:i w:val="0"/>
          <w:sz w:val="21"/>
        </w:rPr>
        <w:t>根因（承 4.3 末尾的隐患）。</w:t>
      </w:r>
      <w:r>
        <w:rPr>
          <w:rFonts w:ascii="Times New Roman" w:hAnsi="Times New Roman" w:eastAsia="宋体"/>
          <w:b w:val="0"/>
          <w:i w:val="0"/>
          <w:sz w:val="21"/>
        </w:rPr>
        <w:t xml:space="preserve"> 这不是模型能力问题，而是工况设计问题。桨距与风速共线之后，模型无法把"桨距效应"从"风速效应"中分离；遇到训练集里不存在的组合（低风速 + 大桨距），它只能沿着风速的方向外推，于是输出一条与桨距无关的平线。</w:t>
      </w:r>
    </w:p>
    <w:p>
      <w:pPr>
        <w:spacing w:after="100"/>
        <w:ind w:firstLine="0"/>
      </w:pPr>
      <w:r>
        <w:rPr>
          <w:rFonts w:ascii="Times New Roman" w:hAnsi="Times New Roman" w:eastAsia="宋体"/>
          <w:b/>
          <w:i w:val="0"/>
          <w:sz w:val="21"/>
        </w:rPr>
        <w:t>修法。</w:t>
      </w:r>
      <w:r>
        <w:rPr>
          <w:rFonts w:ascii="Times New Roman" w:hAnsi="Times New Roman" w:eastAsia="宋体"/>
          <w:b w:val="0"/>
          <w:i w:val="0"/>
          <w:sz w:val="21"/>
        </w:rPr>
        <w:t xml:space="preserve"> 把共线拆开：每个风速下，把所有物理可行的桨距档全部纳入——按转速上限自动把叶尖速比降到 7 或 6，从而让 </w:t>
      </w:r>
      <m:oMath>
        <m:r>
          <m:t>0°~14°</m:t>
        </m:r>
      </m:oMath>
      <w:r>
        <w:rPr>
          <w:rFonts w:ascii="Times New Roman" w:hAnsi="Times New Roman" w:eastAsia="宋体"/>
          <w:b w:val="0"/>
          <w:i w:val="0"/>
          <w:sz w:val="21"/>
        </w:rPr>
        <w:t xml:space="preserve"> 的桨距档在低风速区也能成立；均匀取 4 档，另加 2 个逐机错列组合。偏航档位同时加密到 </w:t>
      </w:r>
      <m:oMath>
        <m:r>
          <m:t>0°</m:t>
        </m:r>
      </m:oMath>
      <w:r>
        <w:rPr>
          <w:rFonts w:ascii="Times New Roman" w:hAnsi="Times New Roman" w:eastAsia="宋体"/>
          <w:b w:val="0"/>
          <w:i w:val="0"/>
          <w:sz w:val="21"/>
        </w:rPr>
        <w:t>、</w:t>
      </w:r>
      <m:oMath>
        <m:r>
          <m:t>±10°</m:t>
        </m:r>
      </m:oMath>
      <w:r>
        <w:rPr>
          <w:rFonts w:ascii="Times New Roman" w:hAnsi="Times New Roman" w:eastAsia="宋体"/>
          <w:b w:val="0"/>
          <w:i w:val="0"/>
          <w:sz w:val="21"/>
        </w:rPr>
        <w:t>、</w:t>
      </w:r>
      <m:oMath>
        <m:r>
          <m:t>+20°</m:t>
        </m:r>
      </m:oMath>
      <w:r>
        <w:rPr>
          <w:rFonts w:ascii="Times New Roman" w:hAnsi="Times New Roman" w:eastAsia="宋体"/>
          <w:b w:val="0"/>
          <w:i w:val="0"/>
          <w:sz w:val="21"/>
        </w:rPr>
        <w:t xml:space="preserve"> 与错列。这样桨距与风速解耦，用到的控制块由 8 个增至 10 个，样本 20 160 条。</w:t>
      </w:r>
    </w:p>
    <w:p>
      <w:pPr>
        <w:spacing w:after="100"/>
        <w:ind w:firstLine="0"/>
      </w:pPr>
      <w:r>
        <w:rPr>
          <w:rFonts w:ascii="Times New Roman" w:hAnsi="Times New Roman" w:eastAsia="宋体"/>
          <w:b/>
          <w:i w:val="0"/>
          <w:sz w:val="21"/>
        </w:rPr>
        <w:t>验收。</w:t>
      </w:r>
      <w:r>
        <w:rPr>
          <w:rFonts w:ascii="Times New Roman" w:hAnsi="Times New Roman" w:eastAsia="宋体"/>
          <w:b w:val="0"/>
          <w:i w:val="0"/>
          <w:sz w:val="21"/>
        </w:rPr>
        <w:t xml:space="preserve"> 在完全相同的扫描输入下，桨距响应的平均偏差由 84.0% 降到 </w:t>
      </w:r>
      <w:r>
        <w:rPr>
          <w:rFonts w:ascii="Times New Roman" w:hAnsi="Times New Roman" w:eastAsia="宋体"/>
          <w:b/>
          <w:i w:val="0"/>
          <w:sz w:val="21"/>
        </w:rPr>
        <w:t>1.15%</w:t>
      </w:r>
      <w:r>
        <w:rPr>
          <w:rFonts w:ascii="Times New Roman" w:hAnsi="Times New Roman" w:eastAsia="宋体"/>
          <w:b w:val="0"/>
          <w:i w:val="0"/>
          <w:sz w:val="21"/>
        </w:rPr>
        <w:t xml:space="preserve">（最大 4.49%），偏航响应由 6.98% 降到 </w:t>
      </w:r>
      <w:r>
        <w:rPr>
          <w:rFonts w:ascii="Times New Roman" w:hAnsi="Times New Roman" w:eastAsia="宋体"/>
          <w:b/>
          <w:i w:val="0"/>
          <w:sz w:val="21"/>
        </w:rPr>
        <w:t>2.14%</w:t>
      </w:r>
      <w:r>
        <w:rPr>
          <w:rFonts w:ascii="Times New Roman" w:hAnsi="Times New Roman" w:eastAsia="宋体"/>
          <w:b w:val="0"/>
          <w:i w:val="0"/>
          <w:sz w:val="21"/>
        </w:rPr>
        <w:t>。留出集平均误差为 50.9 kW，比 v2 大，但测试任务本身也变难了（新增 8 kW 量级的深度降载工况，风速网格为控制样本量由 0.5 m/s 粗化到 1.0 m/s），归一化后为额定功率的 1.02%。</w:t>
      </w:r>
    </w:p>
    <w:p>
      <w:pPr>
        <w:spacing w:after="100"/>
        <w:ind w:firstLine="0"/>
      </w:pPr>
      <w:r>
        <w:rPr>
          <w:rFonts w:ascii="Times New Roman" w:hAnsi="Times New Roman" w:eastAsia="宋体"/>
          <w:b/>
          <w:i w:val="0"/>
          <w:sz w:val="21"/>
        </w:rPr>
        <w:t>这条经验的方法论意义</w:t>
      </w:r>
      <w:r>
        <w:rPr>
          <w:rFonts w:ascii="Times New Roman" w:hAnsi="Times New Roman" w:eastAsia="宋体"/>
          <w:b w:val="0"/>
          <w:i w:val="0"/>
          <w:sz w:val="21"/>
        </w:rPr>
        <w:t>：</w:t>
      </w:r>
      <w:r>
        <w:rPr>
          <w:rFonts w:ascii="Times New Roman" w:hAnsi="Times New Roman" w:eastAsia="宋体"/>
          <w:b/>
          <w:i w:val="0"/>
          <w:sz w:val="21"/>
        </w:rPr>
        <w:t>随机留出集误差无法发现"控制量失效"</w:t>
      </w:r>
      <w:r>
        <w:rPr>
          <w:rFonts w:ascii="Times New Roman" w:hAnsi="Times New Roman" w:eastAsia="宋体"/>
          <w:b w:val="0"/>
          <w:i w:val="0"/>
          <w:sz w:val="21"/>
        </w:rPr>
        <w:t>。因为测试集里不含"低风速 + 大桨距"这类组合，模型在自己见过的分布内插值得很好。只有单变量响应扫描（拿模型扫参数、与真值曲线逐点比较）才能暴露它。</w:t>
      </w:r>
    </w:p>
    <w:p>
      <w:pPr>
        <w:spacing w:before="120" w:after="40"/>
        <w:jc w:val="center"/>
      </w:pPr>
      <w:r>
        <w:drawing>
          <wp:inline xmlns:a="http://schemas.openxmlformats.org/drawingml/2006/main" xmlns:pic="http://schemas.openxmlformats.org/drawingml/2006/picture">
            <wp:extent cx="5220000" cy="3212308"/>
            <wp:docPr id="3" name="Picture 3"/>
            <wp:cNvGraphicFramePr>
              <a:graphicFrameLocks noChangeAspect="1"/>
            </wp:cNvGraphicFramePr>
            <a:graphic>
              <a:graphicData uri="http://schemas.openxmlformats.org/drawingml/2006/picture">
                <pic:pic>
                  <pic:nvPicPr>
                    <pic:cNvPr id="0" name="fig14_response_check.png"/>
                    <pic:cNvPicPr/>
                  </pic:nvPicPr>
                  <pic:blipFill>
                    <a:blip r:embed="rId11"/>
                    <a:stretch>
                      <a:fillRect/>
                    </a:stretch>
                  </pic:blipFill>
                  <pic:spPr>
                    <a:xfrm>
                      <a:off x="0" y="0"/>
                      <a:ext cx="5220000" cy="3212308"/>
                    </a:xfrm>
                    <a:prstGeom prst="rect"/>
                  </pic:spPr>
                </pic:pic>
              </a:graphicData>
            </a:graphic>
          </wp:inline>
        </w:drawing>
      </w:r>
    </w:p>
    <w:p>
      <w:pPr>
        <w:spacing w:before="0" w:after="160"/>
        <w:jc w:val="center"/>
      </w:pPr>
      <w:r>
        <w:rPr>
          <w:rFonts w:ascii="Times New Roman" w:hAnsi="Times New Roman" w:eastAsia="宋体"/>
          <w:color w:val="595959"/>
          <w:sz w:val="18"/>
        </w:rPr>
        <w:t>图 3  修复前后的响应校验对比（左：v2 桨距响应失效；右：v3 与真值重合）</w:t>
      </w:r>
    </w:p>
    <w:p>
      <w:pPr>
        <w:pStyle w:val="Heading3"/>
      </w:pPr>
      <w:r>
        <w:rPr>
          <w:rFonts w:ascii="Times New Roman" w:hAnsi="Times New Roman" w:eastAsia="宋体"/>
          <w:b/>
          <w:i w:val="0"/>
          <w:sz w:val="24"/>
        </w:rPr>
        <w:t>4.5 三版一览</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p>
        </w:tc>
        <w:tc>
          <w:tcPr>
            <w:tcW w:type="dxa" w:w="2353"/>
            <w:shd w:val="clear" w:color="auto" w:fill="DCE6F1"/>
          </w:tcPr>
          <w:p>
            <w:pPr>
              <w:spacing w:after="20"/>
            </w:pPr>
            <w:r>
              <w:rPr>
                <w:rFonts w:ascii="Times New Roman" w:hAnsi="Times New Roman" w:eastAsia="宋体"/>
                <w:b/>
                <w:i w:val="0"/>
                <w:sz w:val="18"/>
              </w:rPr>
              <w:t>v1</w:t>
            </w:r>
          </w:p>
        </w:tc>
        <w:tc>
          <w:tcPr>
            <w:tcW w:type="dxa" w:w="2353"/>
            <w:shd w:val="clear" w:color="auto" w:fill="DCE6F1"/>
          </w:tcPr>
          <w:p>
            <w:pPr>
              <w:spacing w:after="20"/>
            </w:pPr>
            <w:r>
              <w:rPr>
                <w:rFonts w:ascii="Times New Roman" w:hAnsi="Times New Roman" w:eastAsia="宋体"/>
                <w:b/>
                <w:i w:val="0"/>
                <w:sz w:val="18"/>
              </w:rPr>
              <w:t>v2</w:t>
            </w:r>
          </w:p>
        </w:tc>
        <w:tc>
          <w:tcPr>
            <w:tcW w:type="dxa" w:w="2353"/>
            <w:shd w:val="clear" w:color="auto" w:fill="DCE6F1"/>
          </w:tcPr>
          <w:p>
            <w:pPr>
              <w:spacing w:after="20"/>
            </w:pPr>
            <w:r>
              <w:rPr>
                <w:rFonts w:ascii="Times New Roman" w:hAnsi="Times New Roman" w:eastAsia="宋体"/>
                <w:b/>
                <w:i w:val="0"/>
                <w:sz w:val="18"/>
              </w:rPr>
              <w:t>v3</w:t>
            </w:r>
          </w:p>
        </w:tc>
      </w:tr>
      <w:tr>
        <w:tc>
          <w:tcPr>
            <w:tcW w:type="dxa" w:w="2353"/>
          </w:tcPr>
          <w:p>
            <w:pPr>
              <w:spacing w:after="20"/>
            </w:pPr>
            <w:r>
              <w:rPr>
                <w:rFonts w:ascii="Times New Roman" w:hAnsi="Times New Roman" w:eastAsia="宋体"/>
                <w:b w:val="0"/>
                <w:i w:val="0"/>
                <w:sz w:val="18"/>
              </w:rPr>
              <w:t>样本数</w:t>
            </w:r>
          </w:p>
        </w:tc>
        <w:tc>
          <w:tcPr>
            <w:tcW w:type="dxa" w:w="2353"/>
          </w:tcPr>
          <w:p>
            <w:pPr>
              <w:spacing w:after="20"/>
            </w:pPr>
            <w:r>
              <w:rPr>
                <w:rFonts w:ascii="Times New Roman" w:hAnsi="Times New Roman" w:eastAsia="宋体"/>
                <w:b w:val="0"/>
                <w:i w:val="0"/>
                <w:sz w:val="18"/>
              </w:rPr>
              <w:t>15 264</w:t>
            </w:r>
          </w:p>
        </w:tc>
        <w:tc>
          <w:tcPr>
            <w:tcW w:type="dxa" w:w="2353"/>
          </w:tcPr>
          <w:p>
            <w:pPr>
              <w:spacing w:after="20"/>
            </w:pPr>
            <w:r>
              <w:rPr>
                <w:rFonts w:ascii="Times New Roman" w:hAnsi="Times New Roman" w:eastAsia="宋体"/>
                <w:b w:val="0"/>
                <w:i w:val="0"/>
                <w:sz w:val="18"/>
              </w:rPr>
              <w:t>13 440</w:t>
            </w:r>
          </w:p>
        </w:tc>
        <w:tc>
          <w:tcPr>
            <w:tcW w:type="dxa" w:w="2353"/>
          </w:tcPr>
          <w:p>
            <w:pPr>
              <w:spacing w:after="20"/>
            </w:pPr>
            <w:r>
              <w:rPr>
                <w:rFonts w:ascii="Times New Roman" w:hAnsi="Times New Roman" w:eastAsia="宋体"/>
                <w:b w:val="0"/>
                <w:i w:val="0"/>
                <w:sz w:val="18"/>
              </w:rPr>
              <w:t>20 160</w:t>
            </w:r>
          </w:p>
        </w:tc>
      </w:tr>
      <w:tr>
        <w:tc>
          <w:tcPr>
            <w:tcW w:type="dxa" w:w="2353"/>
          </w:tcPr>
          <w:p>
            <w:pPr>
              <w:spacing w:after="20"/>
            </w:pPr>
            <w:r>
              <w:rPr>
                <w:rFonts w:ascii="Times New Roman" w:hAnsi="Times New Roman" w:eastAsia="宋体"/>
                <w:b w:val="0"/>
                <w:i w:val="0"/>
                <w:sz w:val="18"/>
              </w:rPr>
              <w:t>控制方式</w:t>
            </w:r>
          </w:p>
        </w:tc>
        <w:tc>
          <w:tcPr>
            <w:tcW w:type="dxa" w:w="2353"/>
          </w:tcPr>
          <w:p>
            <w:pPr>
              <w:spacing w:after="20"/>
            </w:pPr>
            <w:r>
              <w:rPr>
                <w:rFonts w:ascii="Times New Roman" w:hAnsi="Times New Roman" w:eastAsia="宋体"/>
                <w:b w:val="0"/>
                <w:i w:val="0"/>
                <w:sz w:val="18"/>
              </w:rPr>
              <w:t>三机统一</w:t>
            </w:r>
          </w:p>
        </w:tc>
        <w:tc>
          <w:tcPr>
            <w:tcW w:type="dxa" w:w="2353"/>
          </w:tcPr>
          <w:p>
            <w:pPr>
              <w:spacing w:after="20"/>
            </w:pPr>
            <w:r>
              <w:rPr>
                <w:rFonts w:ascii="Times New Roman" w:hAnsi="Times New Roman" w:eastAsia="宋体"/>
                <w:b w:val="0"/>
                <w:i w:val="0"/>
                <w:sz w:val="18"/>
              </w:rPr>
              <w:t>逐机（5 模式，每风速取 3）</w:t>
            </w:r>
          </w:p>
        </w:tc>
        <w:tc>
          <w:tcPr>
            <w:tcW w:type="dxa" w:w="2353"/>
          </w:tcPr>
          <w:p>
            <w:pPr>
              <w:spacing w:after="20"/>
            </w:pPr>
            <w:r>
              <w:rPr>
                <w:rFonts w:ascii="Times New Roman" w:hAnsi="Times New Roman" w:eastAsia="宋体"/>
                <w:b w:val="0"/>
                <w:i w:val="0"/>
                <w:sz w:val="18"/>
              </w:rPr>
              <w:t>逐机（每风速 4 统一 + 2 错列）</w:t>
            </w:r>
          </w:p>
        </w:tc>
      </w:tr>
      <w:tr>
        <w:tc>
          <w:tcPr>
            <w:tcW w:type="dxa" w:w="2353"/>
          </w:tcPr>
          <w:p>
            <w:pPr>
              <w:spacing w:after="20"/>
            </w:pPr>
            <m:oMath>
              <m:sSub>
                <m:e>
                  <m:r>
                    <m:t>C</m:t>
                  </m:r>
                </m:e>
                <m:sub>
                  <m:r>
                    <m:t>P</m:t>
                  </m:r>
                </m:sub>
              </m:sSub>
            </m:oMath>
            <w:r>
              <w:rPr>
                <w:rFonts w:ascii="Times New Roman" w:hAnsi="Times New Roman" w:eastAsia="宋体"/>
                <w:b w:val="0"/>
                <w:i w:val="0"/>
                <w:sz w:val="18"/>
              </w:rPr>
              <w:t xml:space="preserve"> 曲面</w:t>
            </w:r>
          </w:p>
        </w:tc>
        <w:tc>
          <w:tcPr>
            <w:tcW w:type="dxa" w:w="2353"/>
          </w:tcPr>
          <w:p>
            <w:pPr>
              <w:spacing w:after="20"/>
            </w:pPr>
            <w:r>
              <w:rPr>
                <w:rFonts w:ascii="Times New Roman" w:hAnsi="Times New Roman" w:eastAsia="宋体"/>
                <w:b w:val="0"/>
                <w:i w:val="0"/>
                <w:sz w:val="18"/>
              </w:rPr>
              <w:t>未标定</w:t>
            </w:r>
          </w:p>
        </w:tc>
        <w:tc>
          <w:tcPr>
            <w:tcW w:type="dxa" w:w="2353"/>
          </w:tcPr>
          <w:p>
            <w:pPr>
              <w:spacing w:after="20"/>
            </w:pPr>
            <w:r>
              <w:rPr>
                <w:rFonts w:ascii="Times New Roman" w:hAnsi="Times New Roman" w:eastAsia="宋体"/>
                <w:b w:val="0"/>
                <w:i w:val="0"/>
                <w:sz w:val="18"/>
              </w:rPr>
              <w:t xml:space="preserve">已标定 </w:t>
            </w:r>
            <m:oMath>
              <m:r>
                <m:t>k=1.0347</m:t>
              </m:r>
            </m:oMath>
          </w:p>
        </w:tc>
        <w:tc>
          <w:tcPr>
            <w:tcW w:type="dxa" w:w="2353"/>
          </w:tcPr>
          <w:p>
            <w:pPr>
              <w:spacing w:after="20"/>
            </w:pPr>
            <w:r>
              <w:rPr>
                <w:rFonts w:ascii="Times New Roman" w:hAnsi="Times New Roman" w:eastAsia="宋体"/>
                <w:b w:val="0"/>
                <w:i w:val="0"/>
                <w:sz w:val="18"/>
              </w:rPr>
              <w:t>已标定</w:t>
            </w:r>
          </w:p>
        </w:tc>
      </w:tr>
      <w:tr>
        <w:tc>
          <w:tcPr>
            <w:tcW w:type="dxa" w:w="2353"/>
          </w:tcPr>
          <w:p>
            <w:pPr>
              <w:spacing w:after="20"/>
            </w:pPr>
            <w:r>
              <w:rPr>
                <w:rFonts w:ascii="Times New Roman" w:hAnsi="Times New Roman" w:eastAsia="宋体"/>
                <w:b w:val="0"/>
                <w:i w:val="0"/>
                <w:sz w:val="18"/>
              </w:rPr>
              <w:t>风向档数</w:t>
            </w:r>
          </w:p>
        </w:tc>
        <w:tc>
          <w:tcPr>
            <w:tcW w:type="dxa" w:w="2353"/>
          </w:tcPr>
          <w:p>
            <w:pPr>
              <w:spacing w:after="20"/>
            </w:pPr>
            <w:r>
              <w:rPr>
                <w:rFonts w:ascii="Times New Roman" w:hAnsi="Times New Roman" w:eastAsia="宋体"/>
                <w:b w:val="0"/>
                <w:i w:val="0"/>
                <w:sz w:val="18"/>
              </w:rPr>
              <w:t>24</w:t>
            </w:r>
          </w:p>
        </w:tc>
        <w:tc>
          <w:tcPr>
            <w:tcW w:type="dxa" w:w="2353"/>
          </w:tcPr>
          <w:p>
            <w:pPr>
              <w:spacing w:after="20"/>
            </w:pPr>
            <w:r>
              <w:rPr>
                <w:rFonts w:ascii="Times New Roman" w:hAnsi="Times New Roman" w:eastAsia="宋体"/>
                <w:b w:val="0"/>
                <w:i w:val="0"/>
                <w:sz w:val="18"/>
              </w:rPr>
              <w:t>28（补正对来流）</w:t>
            </w:r>
          </w:p>
        </w:tc>
        <w:tc>
          <w:tcPr>
            <w:tcW w:type="dxa" w:w="2353"/>
          </w:tcPr>
          <w:p>
            <w:pPr>
              <w:spacing w:after="20"/>
            </w:pPr>
            <w:r>
              <w:rPr>
                <w:rFonts w:ascii="Times New Roman" w:hAnsi="Times New Roman" w:eastAsia="宋体"/>
                <w:b w:val="0"/>
                <w:i w:val="0"/>
                <w:sz w:val="18"/>
              </w:rPr>
              <w:t>28</w:t>
            </w:r>
          </w:p>
        </w:tc>
      </w:tr>
      <w:tr>
        <w:tc>
          <w:tcPr>
            <w:tcW w:type="dxa" w:w="2353"/>
          </w:tcPr>
          <w:p>
            <w:pPr>
              <w:spacing w:after="20"/>
            </w:pPr>
            <w:r>
              <w:rPr>
                <w:rFonts w:ascii="Times New Roman" w:hAnsi="Times New Roman" w:eastAsia="宋体"/>
                <w:b w:val="0"/>
                <w:i w:val="0"/>
                <w:sz w:val="18"/>
              </w:rPr>
              <w:t>桨距与风速</w:t>
            </w:r>
          </w:p>
        </w:tc>
        <w:tc>
          <w:tcPr>
            <w:tcW w:type="dxa" w:w="2353"/>
          </w:tcPr>
          <w:p>
            <w:pPr>
              <w:spacing w:after="20"/>
            </w:pPr>
            <w:r>
              <w:rPr>
                <w:rFonts w:ascii="Times New Roman" w:hAnsi="Times New Roman" w:eastAsia="宋体"/>
                <w:b w:val="0"/>
                <w:i w:val="0"/>
                <w:sz w:val="18"/>
              </w:rPr>
              <w:t>—</w:t>
            </w:r>
          </w:p>
        </w:tc>
        <w:tc>
          <w:tcPr>
            <w:tcW w:type="dxa" w:w="2353"/>
          </w:tcPr>
          <w:p>
            <w:pPr>
              <w:spacing w:after="20"/>
            </w:pPr>
            <w:r>
              <w:rPr>
                <w:rFonts w:ascii="Times New Roman" w:hAnsi="Times New Roman" w:eastAsia="宋体"/>
                <w:b/>
                <w:i w:val="0"/>
                <w:sz w:val="18"/>
              </w:rPr>
              <w:t>共线（缺陷）</w:t>
            </w:r>
          </w:p>
        </w:tc>
        <w:tc>
          <w:tcPr>
            <w:tcW w:type="dxa" w:w="2353"/>
          </w:tcPr>
          <w:p>
            <w:pPr>
              <w:spacing w:after="20"/>
            </w:pPr>
            <w:r>
              <w:rPr>
                <w:rFonts w:ascii="Times New Roman" w:hAnsi="Times New Roman" w:eastAsia="宋体"/>
                <w:b/>
                <w:i w:val="0"/>
                <w:sz w:val="18"/>
              </w:rPr>
              <w:t>解耦</w:t>
            </w:r>
          </w:p>
        </w:tc>
      </w:tr>
      <w:tr>
        <w:tc>
          <w:tcPr>
            <w:tcW w:type="dxa" w:w="2353"/>
          </w:tcPr>
          <w:p>
            <w:pPr>
              <w:spacing w:after="20"/>
            </w:pPr>
            <w:r>
              <w:rPr>
                <w:rFonts w:ascii="Times New Roman" w:hAnsi="Times New Roman" w:eastAsia="宋体"/>
                <w:b w:val="0"/>
                <w:i w:val="0"/>
                <w:sz w:val="18"/>
              </w:rPr>
              <w:t>留出集误差</w:t>
            </w:r>
          </w:p>
        </w:tc>
        <w:tc>
          <w:tcPr>
            <w:tcW w:type="dxa" w:w="2353"/>
          </w:tcPr>
          <w:p>
            <w:pPr>
              <w:spacing w:after="20"/>
            </w:pPr>
            <w:r>
              <w:rPr>
                <w:rFonts w:ascii="Times New Roman" w:hAnsi="Times New Roman" w:eastAsia="宋体"/>
                <w:b w:val="0"/>
                <w:i w:val="0"/>
                <w:sz w:val="18"/>
              </w:rPr>
              <w:t>30.1 kW</w:t>
            </w:r>
          </w:p>
        </w:tc>
        <w:tc>
          <w:tcPr>
            <w:tcW w:type="dxa" w:w="2353"/>
          </w:tcPr>
          <w:p>
            <w:pPr>
              <w:spacing w:after="20"/>
            </w:pPr>
            <w:r>
              <w:rPr>
                <w:rFonts w:ascii="Times New Roman" w:hAnsi="Times New Roman" w:eastAsia="宋体"/>
                <w:b w:val="0"/>
                <w:i w:val="0"/>
                <w:sz w:val="18"/>
              </w:rPr>
              <w:t>25.4 kW</w:t>
            </w:r>
          </w:p>
        </w:tc>
        <w:tc>
          <w:tcPr>
            <w:tcW w:type="dxa" w:w="2353"/>
          </w:tcPr>
          <w:p>
            <w:pPr>
              <w:spacing w:after="20"/>
            </w:pPr>
            <w:r>
              <w:rPr>
                <w:rFonts w:ascii="Times New Roman" w:hAnsi="Times New Roman" w:eastAsia="宋体"/>
                <w:b w:val="0"/>
                <w:i w:val="0"/>
                <w:sz w:val="18"/>
              </w:rPr>
              <w:t>50.9 kW（1.02% 额定）</w:t>
            </w:r>
          </w:p>
        </w:tc>
      </w:tr>
      <w:tr>
        <w:tc>
          <w:tcPr>
            <w:tcW w:type="dxa" w:w="2353"/>
          </w:tcPr>
          <w:p>
            <w:pPr>
              <w:spacing w:after="20"/>
            </w:pPr>
            <w:r>
              <w:rPr>
                <w:rFonts w:ascii="Times New Roman" w:hAnsi="Times New Roman" w:eastAsia="宋体"/>
                <w:b w:val="0"/>
                <w:i w:val="0"/>
                <w:sz w:val="18"/>
              </w:rPr>
              <w:t>桨距响应偏差</w:t>
            </w:r>
          </w:p>
        </w:tc>
        <w:tc>
          <w:tcPr>
            <w:tcW w:type="dxa" w:w="2353"/>
          </w:tcPr>
          <w:p>
            <w:pPr>
              <w:spacing w:after="20"/>
            </w:pPr>
            <w:r>
              <w:rPr>
                <w:rFonts w:ascii="Times New Roman" w:hAnsi="Times New Roman" w:eastAsia="宋体"/>
                <w:b w:val="0"/>
                <w:i w:val="0"/>
                <w:sz w:val="18"/>
              </w:rPr>
              <w:t>未测</w:t>
            </w:r>
          </w:p>
        </w:tc>
        <w:tc>
          <w:tcPr>
            <w:tcW w:type="dxa" w:w="2353"/>
          </w:tcPr>
          <w:p>
            <w:pPr>
              <w:spacing w:after="20"/>
            </w:pPr>
            <w:r>
              <w:rPr>
                <w:rFonts w:ascii="Times New Roman" w:hAnsi="Times New Roman" w:eastAsia="宋体"/>
                <w:b/>
                <w:i w:val="0"/>
                <w:sz w:val="18"/>
              </w:rPr>
              <w:t>84.0%</w:t>
            </w:r>
          </w:p>
        </w:tc>
        <w:tc>
          <w:tcPr>
            <w:tcW w:type="dxa" w:w="2353"/>
          </w:tcPr>
          <w:p>
            <w:pPr>
              <w:spacing w:after="20"/>
            </w:pPr>
            <w:r>
              <w:rPr>
                <w:rFonts w:ascii="Times New Roman" w:hAnsi="Times New Roman" w:eastAsia="宋体"/>
                <w:b/>
                <w:i w:val="0"/>
                <w:sz w:val="18"/>
              </w:rPr>
              <w:t>1.15%</w:t>
            </w:r>
          </w:p>
        </w:tc>
      </w:tr>
      <w:tr>
        <w:tc>
          <w:tcPr>
            <w:tcW w:type="dxa" w:w="2353"/>
          </w:tcPr>
          <w:p>
            <w:pPr>
              <w:spacing w:after="20"/>
            </w:pPr>
            <w:r>
              <w:rPr>
                <w:rFonts w:ascii="Times New Roman" w:hAnsi="Times New Roman" w:eastAsia="宋体"/>
                <w:b w:val="0"/>
                <w:i w:val="0"/>
                <w:sz w:val="18"/>
              </w:rPr>
              <w:t>偏航响应偏差</w:t>
            </w:r>
          </w:p>
        </w:tc>
        <w:tc>
          <w:tcPr>
            <w:tcW w:type="dxa" w:w="2353"/>
          </w:tcPr>
          <w:p>
            <w:pPr>
              <w:spacing w:after="20"/>
            </w:pPr>
            <w:r>
              <w:rPr>
                <w:rFonts w:ascii="Times New Roman" w:hAnsi="Times New Roman" w:eastAsia="宋体"/>
                <w:b w:val="0"/>
                <w:i w:val="0"/>
                <w:sz w:val="18"/>
              </w:rPr>
              <w:t>未测</w:t>
            </w:r>
          </w:p>
        </w:tc>
        <w:tc>
          <w:tcPr>
            <w:tcW w:type="dxa" w:w="2353"/>
          </w:tcPr>
          <w:p>
            <w:pPr>
              <w:spacing w:after="20"/>
            </w:pPr>
            <w:r>
              <w:rPr>
                <w:rFonts w:ascii="Times New Roman" w:hAnsi="Times New Roman" w:eastAsia="宋体"/>
                <w:b w:val="0"/>
                <w:i w:val="0"/>
                <w:sz w:val="18"/>
              </w:rPr>
              <w:t>6.98%</w:t>
            </w:r>
          </w:p>
        </w:tc>
        <w:tc>
          <w:tcPr>
            <w:tcW w:type="dxa" w:w="2353"/>
          </w:tcPr>
          <w:p>
            <w:pPr>
              <w:spacing w:after="20"/>
            </w:pPr>
            <w:r>
              <w:rPr>
                <w:rFonts w:ascii="Times New Roman" w:hAnsi="Times New Roman" w:eastAsia="宋体"/>
                <w:b w:val="0"/>
                <w:i w:val="0"/>
                <w:sz w:val="18"/>
              </w:rPr>
              <w:t>2.14%</w:t>
            </w:r>
          </w:p>
        </w:tc>
      </w:tr>
    </w:tbl>
    <w:p>
      <w:pPr>
        <w:spacing w:after="40"/>
      </w:pPr>
    </w:p>
    <w:p>
      <w:pPr>
        <w:spacing w:after="100"/>
        <w:ind w:firstLine="0"/>
      </w:pPr>
      <w:r>
        <w:rPr>
          <w:rFonts w:ascii="Times New Roman" w:hAnsi="Times New Roman" w:eastAsia="宋体"/>
          <w:b w:val="0"/>
          <w:i w:val="0"/>
          <w:sz w:val="21"/>
        </w:rPr>
        <w:t>三版的关系不是"后来者取代前者"，而是</w:t>
      </w:r>
      <w:r>
        <w:rPr>
          <w:rFonts w:ascii="Times New Roman" w:hAnsi="Times New Roman" w:eastAsia="宋体"/>
          <w:b/>
          <w:i w:val="0"/>
          <w:sz w:val="21"/>
        </w:rPr>
        <w:t>每一版都在回答上一版暴露出的问题</w:t>
      </w:r>
      <w:r>
        <w:rPr>
          <w:rFonts w:ascii="Times New Roman" w:hAnsi="Times New Roman" w:eastAsia="宋体"/>
          <w:b w:val="0"/>
          <w:i w:val="0"/>
          <w:sz w:val="21"/>
        </w:rPr>
        <w:t>；v1 的样本覆盖更全（风速步长 0.5 m/s），在纯风况统计上仍有参考价值，v3 的价值在于控制效应可信。</w:t>
      </w:r>
    </w:p>
    <w:p>
      <w:pPr>
        <w:pStyle w:val="Heading2"/>
      </w:pPr>
      <w:r>
        <w:rPr>
          <w:rFonts w:ascii="Times New Roman" w:hAnsi="Times New Roman" w:eastAsia="宋体"/>
          <w:b/>
          <w:i w:val="0"/>
          <w:sz w:val="27"/>
        </w:rPr>
        <w:t>五、数据可信度论证</w:t>
      </w:r>
    </w:p>
    <w:p>
      <w:pPr>
        <w:spacing w:after="100"/>
        <w:ind w:firstLine="0"/>
      </w:pPr>
      <w:r>
        <w:rPr>
          <w:rFonts w:ascii="Times New Roman" w:hAnsi="Times New Roman" w:eastAsia="宋体"/>
          <w:b w:val="0"/>
          <w:i w:val="0"/>
          <w:sz w:val="21"/>
        </w:rPr>
        <w:t>数据合理性由 15 条判据从四个层面校验，全部通过。</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CE6F1"/>
          </w:tcPr>
          <w:p>
            <w:pPr>
              <w:spacing w:after="20"/>
            </w:pPr>
            <w:r>
              <w:rPr>
                <w:rFonts w:ascii="Times New Roman" w:hAnsi="Times New Roman" w:eastAsia="宋体"/>
                <w:b/>
                <w:i w:val="0"/>
                <w:sz w:val="18"/>
              </w:rPr>
              <w:t>层面</w:t>
            </w:r>
          </w:p>
        </w:tc>
        <w:tc>
          <w:tcPr>
            <w:tcW w:type="dxa" w:w="3137"/>
            <w:shd w:val="clear" w:color="auto" w:fill="DCE6F1"/>
          </w:tcPr>
          <w:p>
            <w:pPr>
              <w:spacing w:after="20"/>
            </w:pPr>
            <w:r>
              <w:rPr>
                <w:rFonts w:ascii="Times New Roman" w:hAnsi="Times New Roman" w:eastAsia="宋体"/>
                <w:b/>
                <w:i w:val="0"/>
                <w:sz w:val="18"/>
              </w:rPr>
              <w:t>判据</w:t>
            </w:r>
          </w:p>
        </w:tc>
        <w:tc>
          <w:tcPr>
            <w:tcW w:type="dxa" w:w="3137"/>
            <w:shd w:val="clear" w:color="auto" w:fill="DCE6F1"/>
          </w:tcPr>
          <w:p>
            <w:pPr>
              <w:spacing w:after="20"/>
            </w:pPr>
            <w:r>
              <w:rPr>
                <w:rFonts w:ascii="Times New Roman" w:hAnsi="Times New Roman" w:eastAsia="宋体"/>
                <w:b/>
                <w:i w:val="0"/>
                <w:sz w:val="18"/>
              </w:rPr>
              <w:t>结果</w:t>
            </w:r>
          </w:p>
        </w:tc>
      </w:tr>
      <w:tr>
        <w:tc>
          <w:tcPr>
            <w:tcW w:type="dxa" w:w="3137"/>
          </w:tcPr>
          <w:p>
            <w:pPr>
              <w:spacing w:after="20"/>
            </w:pPr>
            <w:r>
              <w:rPr>
                <w:rFonts w:ascii="Times New Roman" w:hAnsi="Times New Roman" w:eastAsia="宋体"/>
                <w:b w:val="0"/>
                <w:i w:val="0"/>
                <w:sz w:val="18"/>
              </w:rPr>
              <w:t>自洽性</w:t>
            </w:r>
          </w:p>
        </w:tc>
        <w:tc>
          <w:tcPr>
            <w:tcW w:type="dxa" w:w="3137"/>
          </w:tcPr>
          <w:p>
            <w:pPr>
              <w:spacing w:after="20"/>
            </w:pPr>
            <w:r>
              <w:rPr>
                <w:rFonts w:ascii="Times New Roman" w:hAnsi="Times New Roman" w:eastAsia="宋体"/>
                <w:b w:val="0"/>
                <w:i w:val="0"/>
                <w:sz w:val="18"/>
              </w:rPr>
              <w:t xml:space="preserve">由 </w:t>
            </w:r>
            <m:oMath>
              <m:d>
                <m:dPr>
                  <m:sepChr m:val=","/>
                </m:dPr>
                <m:e>
                  <m:sSub>
                    <m:e>
                      <m:r>
                        <m:t>U</m:t>
                      </m:r>
                    </m:e>
                    <m:sub>
                      <m:r>
                        <m:rPr>
                          <m:sty m:val="p"/>
                        </m:rPr>
                        <m:t>eff</m:t>
                      </m:r>
                    </m:sub>
                  </m:sSub>
                </m:e>
                <m:e>
                  <m:r>
                    <m:t>λ</m:t>
                  </m:r>
                </m:e>
                <m:e>
                  <m:r>
                    <m:t>β</m:t>
                  </m:r>
                </m:e>
                <m:e>
                  <m:r>
                    <m:t>γ</m:t>
                  </m:r>
                </m:e>
              </m:d>
            </m:oMath>
            <w:r>
              <w:rPr>
                <w:rFonts w:ascii="Times New Roman" w:hAnsi="Times New Roman" w:eastAsia="宋体"/>
                <w:b w:val="0"/>
                <w:i w:val="0"/>
                <w:sz w:val="18"/>
              </w:rPr>
              <w:t xml:space="preserve"> 独立复算功率</w:t>
            </w:r>
          </w:p>
        </w:tc>
        <w:tc>
          <w:tcPr>
            <w:tcW w:type="dxa" w:w="3137"/>
          </w:tcPr>
          <w:p>
            <w:pPr>
              <w:spacing w:after="20"/>
            </w:pPr>
            <w:r>
              <w:rPr>
                <w:rFonts w:ascii="Times New Roman" w:hAnsi="Times New Roman" w:eastAsia="宋体"/>
                <w:b w:val="0"/>
                <w:i w:val="0"/>
                <w:sz w:val="18"/>
              </w:rPr>
              <w:t xml:space="preserve">中位偏差 </w:t>
            </w:r>
            <w:r>
              <w:rPr>
                <w:rFonts w:ascii="Times New Roman" w:hAnsi="Times New Roman" w:eastAsia="宋体"/>
                <w:b/>
                <w:i w:val="0"/>
                <w:sz w:val="18"/>
              </w:rPr>
              <w:t>0.000%</w:t>
            </w:r>
          </w:p>
        </w:tc>
      </w:tr>
      <w:tr>
        <w:tc>
          <w:tcPr>
            <w:tcW w:type="dxa" w:w="3137"/>
          </w:tcPr>
          <w:p>
            <w:pPr>
              <w:spacing w:after="20"/>
            </w:pPr>
            <w:r>
              <w:rPr>
                <w:rFonts w:ascii="Times New Roman" w:hAnsi="Times New Roman" w:eastAsia="宋体"/>
                <w:b w:val="0"/>
                <w:i w:val="0"/>
                <w:sz w:val="18"/>
              </w:rPr>
              <w:t>自洽性</w:t>
            </w:r>
          </w:p>
        </w:tc>
        <w:tc>
          <w:tcPr>
            <w:tcW w:type="dxa" w:w="3137"/>
          </w:tcPr>
          <w:p>
            <w:pPr>
              <w:spacing w:after="20"/>
            </w:pPr>
            <w:r>
              <w:rPr>
                <w:rFonts w:ascii="Times New Roman" w:hAnsi="Times New Roman" w:eastAsia="宋体"/>
                <w:b w:val="0"/>
                <w:i w:val="0"/>
                <w:sz w:val="18"/>
              </w:rPr>
              <w:t xml:space="preserve">由 </w:t>
            </w:r>
            <m:oMath>
              <m:d>
                <m:dPr>
                  <m:sepChr m:val=","/>
                </m:dPr>
                <m:e>
                  <m:r>
                    <m:t>ω</m:t>
                  </m:r>
                </m:e>
                <m:e>
                  <m:sSub>
                    <m:e>
                      <m:r>
                        <m:t>U</m:t>
                      </m:r>
                    </m:e>
                    <m:sub>
                      <m:r>
                        <m:rPr>
                          <m:sty m:val="p"/>
                        </m:rPr>
                        <m:t>eff</m:t>
                      </m:r>
                    </m:sub>
                  </m:sSub>
                </m:e>
              </m:d>
            </m:oMath>
            <w:r>
              <w:rPr>
                <w:rFonts w:ascii="Times New Roman" w:hAnsi="Times New Roman" w:eastAsia="宋体"/>
                <w:b w:val="0"/>
                <w:i w:val="0"/>
                <w:sz w:val="18"/>
              </w:rPr>
              <w:t xml:space="preserve"> 反演叶尖速比</w:t>
            </w:r>
          </w:p>
        </w:tc>
        <w:tc>
          <w:tcPr>
            <w:tcW w:type="dxa" w:w="3137"/>
          </w:tcPr>
          <w:p>
            <w:pPr>
              <w:spacing w:after="20"/>
            </w:pPr>
            <w:r>
              <w:rPr>
                <w:rFonts w:ascii="Times New Roman" w:hAnsi="Times New Roman" w:eastAsia="宋体"/>
                <w:b w:val="0"/>
                <w:i w:val="0"/>
                <w:sz w:val="18"/>
              </w:rPr>
              <w:t xml:space="preserve">精确落在设计网格，偏差 </w:t>
            </w:r>
            <m:oMath>
              <m:r>
                <m:t>1.2×</m:t>
              </m:r>
              <m:sSup>
                <m:e>
                  <m:r>
                    <m:t>10</m:t>
                  </m:r>
                </m:e>
                <m:sup>
                  <m:r>
                    <m:t>−6</m:t>
                  </m:r>
                </m:sup>
              </m:sSup>
            </m:oMath>
          </w:p>
        </w:tc>
      </w:tr>
      <w:tr>
        <w:tc>
          <w:tcPr>
            <w:tcW w:type="dxa" w:w="3137"/>
          </w:tcPr>
          <w:p>
            <w:pPr>
              <w:spacing w:after="20"/>
            </w:pPr>
            <w:r>
              <w:rPr>
                <w:rFonts w:ascii="Times New Roman" w:hAnsi="Times New Roman" w:eastAsia="宋体"/>
                <w:b w:val="0"/>
                <w:i w:val="0"/>
                <w:sz w:val="18"/>
              </w:rPr>
              <w:t>边界</w:t>
            </w:r>
          </w:p>
        </w:tc>
        <w:tc>
          <w:tcPr>
            <w:tcW w:type="dxa" w:w="3137"/>
          </w:tcPr>
          <w:p>
            <w:pPr>
              <w:spacing w:after="20"/>
            </w:pPr>
            <w:r>
              <w:rPr>
                <w:rFonts w:ascii="Times New Roman" w:hAnsi="Times New Roman" w:eastAsia="宋体"/>
                <w:b w:val="0"/>
                <w:i w:val="0"/>
                <w:sz w:val="18"/>
              </w:rPr>
              <w:t xml:space="preserve">单机电功率落在 </w:t>
            </w:r>
            <m:oMath>
              <m:d>
                <m:dPr>
                  <m:begChr m:val="["/>
                  <m:sepChr m:val=","/>
                  <m:endChr m:val="]"/>
                </m:dPr>
                <m:e>
                  <m:r>
                    <m:t>0</m:t>
                  </m:r>
                </m:e>
                <m:e>
                  <m:r>
                    <m:t>5</m:t>
                  </m:r>
                  <m:r>
                    <m:rPr>
                      <m:sty m:val="p"/>
                    </m:rPr>
                    <m:t>MW</m:t>
                  </m:r>
                </m:e>
              </m:d>
            </m:oMath>
          </w:p>
        </w:tc>
        <w:tc>
          <w:tcPr>
            <w:tcW w:type="dxa" w:w="3137"/>
          </w:tcPr>
          <w:p>
            <w:pPr>
              <w:spacing w:after="20"/>
            </w:pPr>
            <w:r>
              <w:rPr>
                <w:rFonts w:ascii="Times New Roman" w:hAnsi="Times New Roman" w:eastAsia="宋体"/>
                <w:b w:val="0"/>
                <w:i w:val="0"/>
                <w:sz w:val="18"/>
              </w:rPr>
              <w:t>8.2 kW ~ 4.76 MW</w:t>
            </w:r>
          </w:p>
        </w:tc>
      </w:tr>
      <w:tr>
        <w:tc>
          <w:tcPr>
            <w:tcW w:type="dxa" w:w="3137"/>
          </w:tcPr>
          <w:p>
            <w:pPr>
              <w:spacing w:after="20"/>
            </w:pPr>
            <w:r>
              <w:rPr>
                <w:rFonts w:ascii="Times New Roman" w:hAnsi="Times New Roman" w:eastAsia="宋体"/>
                <w:b w:val="0"/>
                <w:i w:val="0"/>
                <w:sz w:val="18"/>
              </w:rPr>
              <w:t>边界</w:t>
            </w:r>
          </w:p>
        </w:tc>
        <w:tc>
          <w:tcPr>
            <w:tcW w:type="dxa" w:w="3137"/>
          </w:tcPr>
          <w:p>
            <w:pPr>
              <w:spacing w:after="20"/>
            </w:pPr>
            <w:r>
              <w:rPr>
                <w:rFonts w:ascii="Times New Roman" w:hAnsi="Times New Roman" w:eastAsia="宋体"/>
                <w:b w:val="0"/>
                <w:i w:val="0"/>
                <w:sz w:val="18"/>
              </w:rPr>
              <w:t>盘面有效风速为正且不超自由来流</w:t>
            </w:r>
          </w:p>
        </w:tc>
        <w:tc>
          <w:tcPr>
            <w:tcW w:type="dxa" w:w="3137"/>
          </w:tcPr>
          <w:p>
            <w:pPr>
              <w:spacing w:after="20"/>
            </w:pPr>
            <m:oMath>
              <m:f>
                <m:fPr>
                  <m:type m:val="lin"/>
                </m:fPr>
                <m:num>
                  <m:sSub>
                    <m:e>
                      <m:r>
                        <m:t>U</m:t>
                      </m:r>
                    </m:e>
                    <m:sub>
                      <m:r>
                        <m:rPr>
                          <m:sty m:val="p"/>
                        </m:rPr>
                        <m:t>eff</m:t>
                      </m:r>
                    </m:sub>
                  </m:sSub>
                </m:num>
                <m:den>
                  <m:sSub>
                    <m:e>
                      <m:r>
                        <m:t>U</m:t>
                      </m:r>
                    </m:e>
                    <m:sub>
                      <m:r>
                        <m:t>∞</m:t>
                      </m:r>
                    </m:sub>
                  </m:sSub>
                </m:den>
              </m:f>
            </m:oMath>
            <w:r>
              <w:rPr>
                <w:rFonts w:ascii="Times New Roman" w:hAnsi="Times New Roman" w:eastAsia="宋体"/>
                <w:b w:val="0"/>
                <w:i w:val="0"/>
                <w:sz w:val="18"/>
              </w:rPr>
              <w:t xml:space="preserve"> = 0.58 ~ 0.995</w:t>
            </w:r>
          </w:p>
        </w:tc>
      </w:tr>
      <w:tr>
        <w:tc>
          <w:tcPr>
            <w:tcW w:type="dxa" w:w="3137"/>
          </w:tcPr>
          <w:p>
            <w:pPr>
              <w:spacing w:after="20"/>
            </w:pPr>
            <w:r>
              <w:rPr>
                <w:rFonts w:ascii="Times New Roman" w:hAnsi="Times New Roman" w:eastAsia="宋体"/>
                <w:b w:val="0"/>
                <w:i w:val="0"/>
                <w:sz w:val="18"/>
              </w:rPr>
              <w:t>边界</w:t>
            </w:r>
          </w:p>
        </w:tc>
        <w:tc>
          <w:tcPr>
            <w:tcW w:type="dxa" w:w="3137"/>
          </w:tcPr>
          <w:p>
            <w:pPr>
              <w:spacing w:after="20"/>
            </w:pPr>
            <w:r>
              <w:rPr>
                <w:rFonts w:ascii="Times New Roman" w:hAnsi="Times New Roman" w:eastAsia="宋体"/>
                <w:b w:val="0"/>
                <w:i w:val="0"/>
                <w:sz w:val="18"/>
              </w:rPr>
              <w:t>转速不超额定 12.1 rpm</w:t>
            </w:r>
          </w:p>
        </w:tc>
        <w:tc>
          <w:tcPr>
            <w:tcW w:type="dxa" w:w="3137"/>
          </w:tcPr>
          <w:p>
            <w:pPr>
              <w:spacing w:after="20"/>
            </w:pPr>
            <w:r>
              <w:rPr>
                <w:rFonts w:ascii="Times New Roman" w:hAnsi="Times New Roman" w:eastAsia="宋体"/>
                <w:b w:val="0"/>
                <w:i w:val="0"/>
                <w:sz w:val="18"/>
              </w:rPr>
              <w:t>≤ 1.217 rad/s</w:t>
            </w:r>
          </w:p>
        </w:tc>
      </w:tr>
      <w:tr>
        <w:tc>
          <w:tcPr>
            <w:tcW w:type="dxa" w:w="3137"/>
          </w:tcPr>
          <w:p>
            <w:pPr>
              <w:spacing w:after="20"/>
            </w:pPr>
            <w:r>
              <w:rPr>
                <w:rFonts w:ascii="Times New Roman" w:hAnsi="Times New Roman" w:eastAsia="宋体"/>
                <w:b w:val="0"/>
                <w:i w:val="0"/>
                <w:sz w:val="18"/>
              </w:rPr>
              <w:t>单调性</w:t>
            </w:r>
          </w:p>
        </w:tc>
        <w:tc>
          <w:tcPr>
            <w:tcW w:type="dxa" w:w="3137"/>
          </w:tcPr>
          <w:p>
            <w:pPr>
              <w:spacing w:after="20"/>
            </w:pPr>
            <w:r>
              <w:rPr>
                <w:rFonts w:ascii="Times New Roman" w:hAnsi="Times New Roman" w:eastAsia="宋体"/>
                <w:b w:val="0"/>
                <w:i w:val="0"/>
                <w:sz w:val="18"/>
              </w:rPr>
              <w:t>固定控制点下功率随风速单调不减</w:t>
            </w:r>
          </w:p>
        </w:tc>
        <w:tc>
          <w:tcPr>
            <w:tcW w:type="dxa" w:w="3137"/>
          </w:tcPr>
          <w:p>
            <w:pPr>
              <w:spacing w:after="20"/>
            </w:pPr>
            <w:r>
              <w:rPr>
                <w:rFonts w:ascii="Times New Roman" w:hAnsi="Times New Roman" w:eastAsia="宋体"/>
                <w:b w:val="0"/>
                <w:i w:val="0"/>
                <w:sz w:val="18"/>
              </w:rPr>
              <w:t>2 352 条曲线全部通过</w:t>
            </w:r>
          </w:p>
        </w:tc>
      </w:tr>
      <w:tr>
        <w:tc>
          <w:tcPr>
            <w:tcW w:type="dxa" w:w="3137"/>
          </w:tcPr>
          <w:p>
            <w:pPr>
              <w:spacing w:after="20"/>
            </w:pPr>
            <w:r>
              <w:rPr>
                <w:rFonts w:ascii="Times New Roman" w:hAnsi="Times New Roman" w:eastAsia="宋体"/>
                <w:b w:val="0"/>
                <w:i w:val="0"/>
                <w:sz w:val="18"/>
              </w:rPr>
              <w:t>单调性</w:t>
            </w:r>
          </w:p>
        </w:tc>
        <w:tc>
          <w:tcPr>
            <w:tcW w:type="dxa" w:w="3137"/>
          </w:tcPr>
          <w:p>
            <w:pPr>
              <w:spacing w:after="20"/>
            </w:pPr>
            <w:r>
              <w:rPr>
                <w:rFonts w:ascii="Times New Roman" w:hAnsi="Times New Roman" w:eastAsia="宋体"/>
                <w:b w:val="0"/>
                <w:i w:val="0"/>
                <w:sz w:val="18"/>
              </w:rPr>
              <w:t>正对来流时功率随湍流强度单调上升</w:t>
            </w:r>
          </w:p>
        </w:tc>
        <w:tc>
          <w:tcPr>
            <w:tcW w:type="dxa" w:w="3137"/>
          </w:tcPr>
          <w:p>
            <w:pPr>
              <w:spacing w:after="20"/>
            </w:pPr>
            <w:r>
              <w:rPr>
                <w:rFonts w:ascii="Times New Roman" w:hAnsi="Times New Roman" w:eastAsia="宋体"/>
                <w:b w:val="0"/>
                <w:i w:val="0"/>
                <w:sz w:val="18"/>
              </w:rPr>
              <w:t>32 组全部通过</w:t>
            </w:r>
          </w:p>
        </w:tc>
      </w:tr>
      <w:tr>
        <w:tc>
          <w:tcPr>
            <w:tcW w:type="dxa" w:w="3137"/>
          </w:tcPr>
          <w:p>
            <w:pPr>
              <w:spacing w:after="20"/>
            </w:pPr>
            <w:r>
              <w:rPr>
                <w:rFonts w:ascii="Times New Roman" w:hAnsi="Times New Roman" w:eastAsia="宋体"/>
                <w:b w:val="0"/>
                <w:i w:val="0"/>
                <w:sz w:val="18"/>
              </w:rPr>
              <w:t>几何</w:t>
            </w:r>
          </w:p>
        </w:tc>
        <w:tc>
          <w:tcPr>
            <w:tcW w:type="dxa" w:w="3137"/>
          </w:tcPr>
          <w:p>
            <w:pPr>
              <w:spacing w:after="20"/>
            </w:pPr>
            <w:r>
              <w:rPr>
                <w:rFonts w:ascii="Times New Roman" w:hAnsi="Times New Roman" w:eastAsia="宋体"/>
                <w:b w:val="0"/>
                <w:i w:val="0"/>
                <w:sz w:val="18"/>
              </w:rPr>
              <w:t xml:space="preserve">正对来流且三机同控制时 </w:t>
            </w:r>
            <m:oMath>
              <m:sSub>
                <m:e>
                  <m:r>
                    <m:t>P</m:t>
                  </m:r>
                </m:e>
                <m:sub>
                  <m:r>
                    <m:t>1</m:t>
                  </m:r>
                </m:sub>
              </m:sSub>
              <m:r>
                <m:t>≥</m:t>
              </m:r>
              <m:sSub>
                <m:e>
                  <m:r>
                    <m:t>P</m:t>
                  </m:r>
                </m:e>
                <m:sub>
                  <m:r>
                    <m:t>2</m:t>
                  </m:r>
                </m:sub>
              </m:sSub>
              <m:r>
                <m:t>≥</m:t>
              </m:r>
              <m:sSub>
                <m:e>
                  <m:r>
                    <m:t>P</m:t>
                  </m:r>
                </m:e>
                <m:sub>
                  <m:r>
                    <m:t>3</m:t>
                  </m:r>
                </m:sub>
              </m:sSub>
            </m:oMath>
          </w:p>
        </w:tc>
        <w:tc>
          <w:tcPr>
            <w:tcW w:type="dxa" w:w="3137"/>
          </w:tcPr>
          <w:p>
            <w:pPr>
              <w:spacing w:after="20"/>
            </w:pPr>
            <w:r>
              <w:rPr>
                <w:rFonts w:ascii="Times New Roman" w:hAnsi="Times New Roman" w:eastAsia="宋体"/>
                <w:b w:val="0"/>
                <w:i w:val="0"/>
                <w:sz w:val="18"/>
              </w:rPr>
              <w:t>100%</w:t>
            </w:r>
          </w:p>
        </w:tc>
      </w:tr>
      <w:tr>
        <w:tc>
          <w:tcPr>
            <w:tcW w:type="dxa" w:w="3137"/>
          </w:tcPr>
          <w:p>
            <w:pPr>
              <w:spacing w:after="20"/>
            </w:pPr>
            <w:r>
              <w:rPr>
                <w:rFonts w:ascii="Times New Roman" w:hAnsi="Times New Roman" w:eastAsia="宋体"/>
                <w:b w:val="0"/>
                <w:i w:val="0"/>
                <w:sz w:val="18"/>
              </w:rPr>
              <w:t>几何</w:t>
            </w:r>
          </w:p>
        </w:tc>
        <w:tc>
          <w:tcPr>
            <w:tcW w:type="dxa" w:w="3137"/>
          </w:tcPr>
          <w:p>
            <w:pPr>
              <w:spacing w:after="20"/>
            </w:pPr>
            <w:r>
              <w:rPr>
                <w:rFonts w:ascii="Times New Roman" w:hAnsi="Times New Roman" w:eastAsia="宋体"/>
                <w:b w:val="0"/>
                <w:i w:val="0"/>
                <w:sz w:val="18"/>
              </w:rPr>
              <w:t>横风时三机功率相同</w:t>
            </w:r>
          </w:p>
        </w:tc>
        <w:tc>
          <w:tcPr>
            <w:tcW w:type="dxa" w:w="3137"/>
          </w:tcPr>
          <w:p>
            <w:pPr>
              <w:spacing w:after="20"/>
            </w:pPr>
            <w:r>
              <w:rPr>
                <w:rFonts w:ascii="Times New Roman" w:hAnsi="Times New Roman" w:eastAsia="宋体"/>
                <w:b w:val="0"/>
                <w:i w:val="0"/>
                <w:sz w:val="18"/>
              </w:rPr>
              <w:t>相对差 0.00</w:t>
            </w:r>
          </w:p>
        </w:tc>
      </w:tr>
      <w:tr>
        <w:tc>
          <w:tcPr>
            <w:tcW w:type="dxa" w:w="3137"/>
          </w:tcPr>
          <w:p>
            <w:pPr>
              <w:spacing w:after="20"/>
            </w:pPr>
            <w:r>
              <w:rPr>
                <w:rFonts w:ascii="Times New Roman" w:hAnsi="Times New Roman" w:eastAsia="宋体"/>
                <w:b w:val="0"/>
                <w:i w:val="0"/>
                <w:sz w:val="18"/>
              </w:rPr>
              <w:t>总体</w:t>
            </w:r>
          </w:p>
        </w:tc>
        <w:tc>
          <w:tcPr>
            <w:tcW w:type="dxa" w:w="3137"/>
          </w:tcPr>
          <w:p>
            <w:pPr>
              <w:spacing w:after="20"/>
            </w:pPr>
            <w:r>
              <w:rPr>
                <w:rFonts w:ascii="Times New Roman" w:hAnsi="Times New Roman" w:eastAsia="宋体"/>
                <w:b w:val="0"/>
                <w:i w:val="0"/>
                <w:sz w:val="18"/>
              </w:rPr>
              <w:t>阵列效率落在 30%~100%</w:t>
            </w:r>
          </w:p>
        </w:tc>
        <w:tc>
          <w:tcPr>
            <w:tcW w:type="dxa" w:w="3137"/>
          </w:tcPr>
          <w:p>
            <w:pPr>
              <w:spacing w:after="20"/>
            </w:pPr>
            <w:r>
              <w:rPr>
                <w:rFonts w:ascii="Times New Roman" w:hAnsi="Times New Roman" w:eastAsia="宋体"/>
                <w:b w:val="0"/>
                <w:i w:val="0"/>
                <w:sz w:val="18"/>
              </w:rPr>
              <w:t>47.9% ~ 98.4%</w:t>
            </w:r>
          </w:p>
        </w:tc>
      </w:tr>
      <w:tr>
        <w:tc>
          <w:tcPr>
            <w:tcW w:type="dxa" w:w="3137"/>
          </w:tcPr>
          <w:p>
            <w:pPr>
              <w:spacing w:after="20"/>
            </w:pPr>
            <w:r>
              <w:rPr>
                <w:rFonts w:ascii="Times New Roman" w:hAnsi="Times New Roman" w:eastAsia="宋体"/>
                <w:b w:val="0"/>
                <w:i w:val="0"/>
                <w:sz w:val="18"/>
              </w:rPr>
              <w:t>覆盖</w:t>
            </w:r>
          </w:p>
        </w:tc>
        <w:tc>
          <w:tcPr>
            <w:tcW w:type="dxa" w:w="3137"/>
          </w:tcPr>
          <w:p>
            <w:pPr>
              <w:spacing w:after="20"/>
            </w:pPr>
            <w:r>
              <w:rPr>
                <w:rFonts w:ascii="Times New Roman" w:hAnsi="Times New Roman" w:eastAsia="宋体"/>
                <w:b w:val="0"/>
                <w:i w:val="0"/>
                <w:sz w:val="18"/>
              </w:rPr>
              <w:t>12 个输入全部有变化</w:t>
            </w:r>
          </w:p>
        </w:tc>
        <w:tc>
          <w:tcPr>
            <w:tcW w:type="dxa" w:w="3137"/>
          </w:tcPr>
          <w:p>
            <w:pPr>
              <w:spacing w:after="20"/>
            </w:pPr>
            <w:r>
              <w:rPr>
                <w:rFonts w:ascii="Times New Roman" w:hAnsi="Times New Roman" w:eastAsia="宋体"/>
                <w:b w:val="0"/>
                <w:i w:val="0"/>
                <w:sz w:val="18"/>
              </w:rPr>
              <w:t>无恒定列</w:t>
            </w:r>
          </w:p>
        </w:tc>
      </w:tr>
    </w:tbl>
    <w:p>
      <w:pPr>
        <w:spacing w:after="40"/>
      </w:pPr>
    </w:p>
    <w:p>
      <w:pPr>
        <w:spacing w:after="100"/>
        <w:ind w:firstLine="0"/>
      </w:pPr>
      <w:r>
        <w:rPr>
          <w:rFonts w:ascii="Times New Roman" w:hAnsi="Times New Roman" w:eastAsia="宋体"/>
          <w:b w:val="0"/>
          <w:i w:val="0"/>
          <w:sz w:val="21"/>
        </w:rPr>
        <w:t>其中两项值得展开。</w:t>
      </w:r>
    </w:p>
    <w:p>
      <w:pPr>
        <w:spacing w:after="100"/>
        <w:ind w:firstLine="0"/>
      </w:pPr>
      <w:r>
        <w:rPr>
          <w:rFonts w:ascii="Times New Roman" w:hAnsi="Times New Roman" w:eastAsia="宋体"/>
          <w:b/>
          <w:i w:val="0"/>
          <w:sz w:val="21"/>
        </w:rPr>
        <w:t>功率自洽性</w:t>
      </w:r>
      <w:r>
        <w:rPr>
          <w:rFonts w:ascii="Times New Roman" w:hAnsi="Times New Roman" w:eastAsia="宋体"/>
          <w:b w:val="0"/>
          <w:i w:val="0"/>
          <w:sz w:val="21"/>
        </w:rPr>
        <w:t xml:space="preserve">是整份数据可信度的核心证据：用一条与生成过程完全独立的路径（由盘面风速和 </w:t>
      </w:r>
      <m:oMath>
        <m:sSub>
          <m:e>
            <m:r>
              <m:t>C</m:t>
            </m:r>
          </m:e>
          <m:sub>
            <m:r>
              <m:t>P</m:t>
            </m:r>
          </m:sub>
        </m:sSub>
      </m:oMath>
      <w:r>
        <w:rPr>
          <w:rFonts w:ascii="Times New Roman" w:hAnsi="Times New Roman" w:eastAsia="宋体"/>
          <w:b w:val="0"/>
          <w:i w:val="0"/>
          <w:sz w:val="21"/>
        </w:rPr>
        <w:t xml:space="preserve"> 复算功率）去核对数据中的功率，中位偏差为 0.000%，说明"功率、转速、盘面风速"三者确实是同一套物理算出来的，不存在拼接。</w:t>
      </w:r>
    </w:p>
    <w:p>
      <w:pPr>
        <w:spacing w:before="120" w:after="40"/>
        <w:jc w:val="center"/>
      </w:pPr>
      <w:r>
        <w:drawing>
          <wp:inline xmlns:a="http://schemas.openxmlformats.org/drawingml/2006/main" xmlns:pic="http://schemas.openxmlformats.org/drawingml/2006/picture">
            <wp:extent cx="5220000" cy="1993091"/>
            <wp:docPr id="4" name="Picture 4"/>
            <wp:cNvGraphicFramePr>
              <a:graphicFrameLocks noChangeAspect="1"/>
            </wp:cNvGraphicFramePr>
            <a:graphic>
              <a:graphicData uri="http://schemas.openxmlformats.org/drawingml/2006/picture">
                <pic:pic>
                  <pic:nvPicPr>
                    <pic:cNvPr id="0" name="fig06_consistency.png"/>
                    <pic:cNvPicPr/>
                  </pic:nvPicPr>
                  <pic:blipFill>
                    <a:blip r:embed="rId12"/>
                    <a:stretch>
                      <a:fillRect/>
                    </a:stretch>
                  </pic:blipFill>
                  <pic:spPr>
                    <a:xfrm>
                      <a:off x="0" y="0"/>
                      <a:ext cx="5220000" cy="1993091"/>
                    </a:xfrm>
                    <a:prstGeom prst="rect"/>
                  </pic:spPr>
                </pic:pic>
              </a:graphicData>
            </a:graphic>
          </wp:inline>
        </w:drawing>
      </w:r>
    </w:p>
    <w:p>
      <w:pPr>
        <w:spacing w:before="0" w:after="160"/>
        <w:jc w:val="center"/>
      </w:pPr>
      <w:r>
        <w:rPr>
          <w:rFonts w:ascii="Times New Roman" w:hAnsi="Times New Roman" w:eastAsia="宋体"/>
          <w:color w:val="595959"/>
          <w:sz w:val="18"/>
        </w:rPr>
        <w:t>图 4  功率自洽性：两条独立路径的结果重合于对角线</w:t>
      </w:r>
    </w:p>
    <w:p>
      <w:pPr>
        <w:spacing w:after="100"/>
        <w:ind w:firstLine="0"/>
      </w:pPr>
      <w:r>
        <w:rPr>
          <w:rFonts w:ascii="Times New Roman" w:hAnsi="Times New Roman" w:eastAsia="宋体"/>
          <w:b/>
          <w:i w:val="0"/>
          <w:sz w:val="21"/>
        </w:rPr>
        <w:t>阵列效率</w:t>
      </w:r>
      <w:r>
        <w:rPr>
          <w:rFonts w:ascii="Times New Roman" w:hAnsi="Times New Roman" w:eastAsia="宋体"/>
          <w:b w:val="0"/>
          <w:i w:val="0"/>
          <w:sz w:val="21"/>
        </w:rPr>
        <w:t>给出了物理量级的旁证：正对来流（270°）时三机阵列效率约 48%，即三台机的总出力只相当于 1.44 台满发——这正是 3 倍风轮直径密排布局下尾流损失的合理量级；横风时接近 98%，无尾流遮挡。</w:t>
      </w:r>
    </w:p>
    <w:p>
      <w:pPr>
        <w:spacing w:before="120" w:after="40"/>
        <w:jc w:val="center"/>
      </w:pPr>
      <w:r>
        <w:drawing>
          <wp:inline xmlns:a="http://schemas.openxmlformats.org/drawingml/2006/main" xmlns:pic="http://schemas.openxmlformats.org/drawingml/2006/picture">
            <wp:extent cx="5220000" cy="3001500"/>
            <wp:docPr id="5" name="Picture 5"/>
            <wp:cNvGraphicFramePr>
              <a:graphicFrameLocks noChangeAspect="1"/>
            </wp:cNvGraphicFramePr>
            <a:graphic>
              <a:graphicData uri="http://schemas.openxmlformats.org/drawingml/2006/picture">
                <pic:pic>
                  <pic:nvPicPr>
                    <pic:cNvPr id="0" name="fig04_farm_vs_wd.png"/>
                    <pic:cNvPicPr/>
                  </pic:nvPicPr>
                  <pic:blipFill>
                    <a:blip r:embed="rId13"/>
                    <a:stretch>
                      <a:fillRect/>
                    </a:stretch>
                  </pic:blipFill>
                  <pic:spPr>
                    <a:xfrm>
                      <a:off x="0" y="0"/>
                      <a:ext cx="5220000" cy="3001500"/>
                    </a:xfrm>
                    <a:prstGeom prst="rect"/>
                  </pic:spPr>
                </pic:pic>
              </a:graphicData>
            </a:graphic>
          </wp:inline>
        </w:drawing>
      </w:r>
    </w:p>
    <w:p>
      <w:pPr>
        <w:spacing w:before="0" w:after="160"/>
        <w:jc w:val="center"/>
      </w:pPr>
      <w:r>
        <w:rPr>
          <w:rFonts w:ascii="Times New Roman" w:hAnsi="Times New Roman" w:eastAsia="宋体"/>
          <w:color w:val="595959"/>
          <w:sz w:val="18"/>
        </w:rPr>
        <w:t>图 5  全场功率随风向与偏航策略的变化（270° 正对时损失最大）</w:t>
      </w:r>
    </w:p>
    <w:p>
      <w:pPr>
        <w:pStyle w:val="Heading2"/>
      </w:pPr>
      <w:r>
        <w:rPr>
          <w:rFonts w:ascii="Times New Roman" w:hAnsi="Times New Roman" w:eastAsia="宋体"/>
          <w:b/>
          <w:i w:val="0"/>
          <w:sz w:val="27"/>
        </w:rPr>
        <w:t>六、闭环验证：数据能被直接训练并学到物理</w:t>
      </w:r>
    </w:p>
    <w:p>
      <w:pPr>
        <w:spacing w:after="100"/>
        <w:ind w:firstLine="0"/>
      </w:pPr>
      <w:r>
        <w:rPr>
          <w:rFonts w:ascii="Times New Roman" w:hAnsi="Times New Roman" w:eastAsia="宋体"/>
          <w:b w:val="0"/>
          <w:i w:val="0"/>
          <w:sz w:val="21"/>
        </w:rPr>
        <w:t>数据的最终用途是训练下游代理模型。本章验证两件事：能被训练脚本原样接收，且模型确实学到了物理响应。</w:t>
      </w:r>
    </w:p>
    <w:p>
      <w:pPr>
        <w:pStyle w:val="Heading3"/>
      </w:pPr>
      <w:r>
        <w:rPr>
          <w:rFonts w:ascii="Times New Roman" w:hAnsi="Times New Roman" w:eastAsia="宋体"/>
          <w:b/>
          <w:i w:val="0"/>
          <w:sz w:val="24"/>
        </w:rPr>
        <w:t>6.1 接口验收</w:t>
      </w:r>
    </w:p>
    <w:p>
      <w:pPr>
        <w:spacing w:after="100"/>
        <w:ind w:firstLine="0"/>
      </w:pPr>
      <w:r>
        <w:rPr>
          <w:rFonts w:ascii="Times New Roman" w:hAnsi="Times New Roman" w:eastAsia="宋体"/>
          <w:b w:val="0"/>
          <w:i w:val="0"/>
          <w:sz w:val="21"/>
        </w:rPr>
        <w:t>验收不是自己写一套规则，而是</w:t>
      </w:r>
      <w:r>
        <w:rPr>
          <w:rFonts w:ascii="Times New Roman" w:hAnsi="Times New Roman" w:eastAsia="宋体"/>
          <w:b/>
          <w:i w:val="0"/>
          <w:sz w:val="21"/>
        </w:rPr>
        <w:t>直接调用 PINN 项目自带的读取与校验函数</w:t>
      </w:r>
      <w:r>
        <w:rPr>
          <w:rFonts w:ascii="Times New Roman" w:hAnsi="Times New Roman" w:eastAsia="宋体"/>
          <w:b w:val="0"/>
          <w:i w:val="0"/>
          <w:sz w:val="21"/>
        </w:rPr>
        <w:t>（</w:t>
      </w:r>
      <w:r>
        <w:rPr>
          <w:rFonts w:ascii="Consolas" w:hAnsi="Consolas" w:eastAsia="Consolas"/>
          <w:color w:val="333333"/>
          <w:sz w:val="20"/>
        </w:rPr>
        <w:t>read_cases</w:t>
      </w:r>
      <w:r>
        <w:rPr>
          <w:rFonts w:ascii="Times New Roman" w:hAnsi="Times New Roman" w:eastAsia="宋体"/>
          <w:b w:val="0"/>
          <w:i w:val="0"/>
          <w:sz w:val="21"/>
        </w:rPr>
        <w:t xml:space="preserve"> / </w:t>
      </w:r>
      <w:r>
        <w:rPr>
          <w:rFonts w:ascii="Consolas" w:hAnsi="Consolas" w:eastAsia="Consolas"/>
          <w:color w:val="333333"/>
          <w:sz w:val="20"/>
        </w:rPr>
        <w:t>validated_cases</w:t>
      </w:r>
      <w:r>
        <w:rPr>
          <w:rFonts w:ascii="Times New Roman" w:hAnsi="Times New Roman" w:eastAsia="宋体"/>
          <w:b w:val="0"/>
          <w:i w:val="0"/>
          <w:sz w:val="21"/>
        </w:rPr>
        <w:t xml:space="preserve"> / </w:t>
      </w:r>
      <w:r>
        <w:rPr>
          <w:rFonts w:ascii="Consolas" w:hAnsi="Consolas" w:eastAsia="Consolas"/>
          <w:color w:val="333333"/>
          <w:sz w:val="20"/>
        </w:rPr>
        <w:t>split_groups</w:t>
      </w:r>
      <w:r>
        <w:rPr>
          <w:rFonts w:ascii="Times New Roman" w:hAnsi="Times New Roman" w:eastAsia="宋体"/>
          <w:b w:val="0"/>
          <w:i w:val="0"/>
          <w:sz w:val="21"/>
        </w:rPr>
        <w:t>）跑一遍，保证与训练脚本的口径完全一致：</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检查项</w:t>
            </w:r>
          </w:p>
        </w:tc>
        <w:tc>
          <w:tcPr>
            <w:tcW w:type="dxa" w:w="4705"/>
            <w:shd w:val="clear" w:color="auto" w:fill="DCE6F1"/>
          </w:tcPr>
          <w:p>
            <w:pPr>
              <w:spacing w:after="20"/>
            </w:pPr>
            <w:r>
              <w:rPr>
                <w:rFonts w:ascii="Times New Roman" w:hAnsi="Times New Roman" w:eastAsia="宋体"/>
                <w:b/>
                <w:i w:val="0"/>
                <w:sz w:val="18"/>
              </w:rPr>
              <w:t>结果</w:t>
            </w:r>
          </w:p>
        </w:tc>
      </w:tr>
      <w:tr>
        <w:tc>
          <w:tcPr>
            <w:tcW w:type="dxa" w:w="4705"/>
          </w:tcPr>
          <w:p>
            <w:pPr>
              <w:spacing w:after="20"/>
            </w:pPr>
            <w:r>
              <w:rPr>
                <w:rFonts w:ascii="Times New Roman" w:hAnsi="Times New Roman" w:eastAsia="宋体"/>
                <w:b w:val="0"/>
                <w:i w:val="0"/>
                <w:sz w:val="18"/>
              </w:rPr>
              <w:t>表头 18 列精确匹配</w:t>
            </w:r>
          </w:p>
        </w:tc>
        <w:tc>
          <w:tcPr>
            <w:tcW w:type="dxa" w:w="4705"/>
          </w:tcPr>
          <w:p>
            <w:pPr>
              <w:spacing w:after="20"/>
            </w:pPr>
            <w:r>
              <w:rPr>
                <w:rFonts w:ascii="Times New Roman" w:hAnsi="Times New Roman" w:eastAsia="宋体"/>
                <w:b w:val="0"/>
                <w:i w:val="0"/>
                <w:sz w:val="18"/>
              </w:rPr>
              <w:t>通过（20 160 行）</w:t>
            </w:r>
          </w:p>
        </w:tc>
      </w:tr>
      <w:tr>
        <w:tc>
          <w:tcPr>
            <w:tcW w:type="dxa" w:w="4705"/>
          </w:tcPr>
          <w:p>
            <w:pPr>
              <w:spacing w:after="20"/>
            </w:pPr>
            <w:r>
              <w:rPr>
                <w:rFonts w:ascii="Times New Roman" w:hAnsi="Times New Roman" w:eastAsia="宋体"/>
                <w:b w:val="0"/>
                <w:i w:val="0"/>
                <w:sz w:val="18"/>
              </w:rPr>
              <w:t>分组划分</w:t>
            </w:r>
          </w:p>
        </w:tc>
        <w:tc>
          <w:tcPr>
            <w:tcW w:type="dxa" w:w="4705"/>
          </w:tcPr>
          <w:p>
            <w:pPr>
              <w:spacing w:after="20"/>
            </w:pPr>
            <w:r>
              <w:rPr>
                <w:rFonts w:ascii="Times New Roman" w:hAnsi="Times New Roman" w:eastAsia="宋体"/>
                <w:b w:val="0"/>
                <w:i w:val="0"/>
                <w:sz w:val="18"/>
              </w:rPr>
              <w:t>训练 12 096 / 验证 4 032 / 测试 4 032</w:t>
            </w:r>
          </w:p>
        </w:tc>
      </w:tr>
      <w:tr>
        <w:tc>
          <w:tcPr>
            <w:tcW w:type="dxa" w:w="4705"/>
          </w:tcPr>
          <w:p>
            <w:pPr>
              <w:spacing w:after="20"/>
            </w:pPr>
            <w:r>
              <w:rPr>
                <w:rFonts w:ascii="Times New Roman" w:hAnsi="Times New Roman" w:eastAsia="宋体"/>
                <w:b w:val="0"/>
                <w:i w:val="0"/>
                <w:sz w:val="18"/>
              </w:rPr>
              <w:t>编码后跨集重复</w:t>
            </w:r>
          </w:p>
        </w:tc>
        <w:tc>
          <w:tcPr>
            <w:tcW w:type="dxa" w:w="4705"/>
          </w:tcPr>
          <w:p>
            <w:pPr>
              <w:spacing w:after="20"/>
            </w:pPr>
            <w:r>
              <w:rPr>
                <w:rFonts w:ascii="Times New Roman" w:hAnsi="Times New Roman" w:eastAsia="宋体"/>
                <w:b w:val="0"/>
                <w:i w:val="0"/>
                <w:sz w:val="18"/>
              </w:rPr>
              <w:t>0 处</w:t>
            </w:r>
          </w:p>
        </w:tc>
      </w:tr>
      <w:tr>
        <w:tc>
          <w:tcPr>
            <w:tcW w:type="dxa" w:w="4705"/>
          </w:tcPr>
          <w:p>
            <w:pPr>
              <w:spacing w:after="20"/>
            </w:pPr>
            <w:r>
              <w:rPr>
                <w:rFonts w:ascii="Times New Roman" w:hAnsi="Times New Roman" w:eastAsia="宋体"/>
                <w:b w:val="0"/>
                <w:i w:val="0"/>
                <w:sz w:val="18"/>
              </w:rPr>
              <w:t>训练集中恒定不变的输入</w:t>
            </w:r>
          </w:p>
        </w:tc>
        <w:tc>
          <w:tcPr>
            <w:tcW w:type="dxa" w:w="4705"/>
          </w:tcPr>
          <w:p>
            <w:pPr>
              <w:spacing w:after="20"/>
            </w:pPr>
            <w:r>
              <w:rPr>
                <w:rFonts w:ascii="Times New Roman" w:hAnsi="Times New Roman" w:eastAsia="宋体"/>
                <w:b w:val="0"/>
                <w:i w:val="0"/>
                <w:sz w:val="18"/>
              </w:rPr>
              <w:t>无</w:t>
            </w:r>
          </w:p>
        </w:tc>
      </w:tr>
      <w:tr>
        <w:tc>
          <w:tcPr>
            <w:tcW w:type="dxa" w:w="4705"/>
          </w:tcPr>
          <w:p>
            <w:pPr>
              <w:spacing w:after="20"/>
            </w:pPr>
            <w:r>
              <w:rPr>
                <w:rFonts w:ascii="Times New Roman" w:hAnsi="Times New Roman" w:eastAsia="宋体"/>
                <w:b w:val="0"/>
                <w:i w:val="0"/>
                <w:sz w:val="18"/>
              </w:rPr>
              <w:t>功率与有效风速合法性</w:t>
            </w:r>
          </w:p>
        </w:tc>
        <w:tc>
          <w:tcPr>
            <w:tcW w:type="dxa" w:w="4705"/>
          </w:tcPr>
          <w:p>
            <w:pPr>
              <w:spacing w:after="20"/>
            </w:pPr>
            <m:oMath>
              <m:r>
                <m:t>P≥0</m:t>
              </m:r>
            </m:oMath>
            <w:r>
              <w:rPr>
                <w:rFonts w:ascii="Times New Roman" w:hAnsi="Times New Roman" w:eastAsia="宋体"/>
                <w:b w:val="0"/>
                <w:i w:val="0"/>
                <w:sz w:val="18"/>
              </w:rPr>
              <w:t>、</w:t>
            </w:r>
            <m:oMath>
              <m:sSub>
                <m:e>
                  <m:r>
                    <m:t>U</m:t>
                  </m:r>
                </m:e>
                <m:sub>
                  <m:r>
                    <m:rPr>
                      <m:sty m:val="p"/>
                    </m:rPr>
                    <m:t>eff</m:t>
                  </m:r>
                </m:sub>
              </m:sSub>
              <m:r>
                <m:t>&gt;0</m:t>
              </m:r>
            </m:oMath>
            <w:r>
              <w:rPr>
                <w:rFonts w:ascii="Times New Roman" w:hAnsi="Times New Roman" w:eastAsia="宋体"/>
                <w:b w:val="0"/>
                <w:i w:val="0"/>
                <w:sz w:val="18"/>
              </w:rPr>
              <w:t xml:space="preserve"> 全部满足</w:t>
            </w:r>
          </w:p>
        </w:tc>
      </w:tr>
    </w:tbl>
    <w:p>
      <w:pPr>
        <w:spacing w:after="40"/>
      </w:pPr>
    </w:p>
    <w:p>
      <w:pPr>
        <w:pStyle w:val="Heading3"/>
      </w:pPr>
      <w:r>
        <w:rPr>
          <w:rFonts w:ascii="Times New Roman" w:hAnsi="Times New Roman" w:eastAsia="宋体"/>
          <w:b/>
          <w:i w:val="0"/>
          <w:sz w:val="24"/>
        </w:rPr>
        <w:t>6.2 训练结果</w:t>
      </w:r>
    </w:p>
    <w:p>
      <w:pPr>
        <w:spacing w:after="100"/>
        <w:ind w:firstLine="0"/>
      </w:pPr>
      <w:r>
        <w:rPr>
          <w:rFonts w:ascii="Times New Roman" w:hAnsi="Times New Roman" w:eastAsia="宋体"/>
          <w:b w:val="0"/>
          <w:i w:val="0"/>
          <w:sz w:val="21"/>
        </w:rPr>
        <w:t>训练在独立环境（Python 3.12 + TensorFlow 2.16）中完成，200 轮，仅训练新增的 27 106 个参数，原 PINN 主干 3 087 200 个参数全程冻结（训练后校验未变）。</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输出</w:t>
            </w:r>
          </w:p>
        </w:tc>
        <w:tc>
          <w:tcPr>
            <w:tcW w:type="dxa" w:w="4705"/>
            <w:shd w:val="clear" w:color="auto" w:fill="DCE6F1"/>
          </w:tcPr>
          <w:p>
            <w:pPr>
              <w:spacing w:after="20"/>
            </w:pPr>
            <w:r>
              <w:rPr>
                <w:rFonts w:ascii="Times New Roman" w:hAnsi="Times New Roman" w:eastAsia="宋体"/>
                <w:b/>
                <w:i w:val="0"/>
                <w:sz w:val="18"/>
              </w:rPr>
              <w:t>平均绝对误差</w:t>
            </w:r>
          </w:p>
        </w:tc>
      </w:tr>
      <w:tr>
        <w:tc>
          <w:tcPr>
            <w:tcW w:type="dxa" w:w="4705"/>
          </w:tcPr>
          <w:p>
            <w:pPr>
              <w:spacing w:after="20"/>
            </w:pPr>
            <w:r>
              <w:rPr>
                <w:rFonts w:ascii="Times New Roman" w:hAnsi="Times New Roman" w:eastAsia="宋体"/>
                <w:b w:val="0"/>
                <w:i w:val="0"/>
                <w:sz w:val="18"/>
              </w:rPr>
              <w:t>P1（上游）</w:t>
            </w:r>
          </w:p>
        </w:tc>
        <w:tc>
          <w:tcPr>
            <w:tcW w:type="dxa" w:w="4705"/>
          </w:tcPr>
          <w:p>
            <w:pPr>
              <w:spacing w:after="20"/>
            </w:pPr>
            <w:r>
              <w:rPr>
                <w:rFonts w:ascii="Times New Roman" w:hAnsi="Times New Roman" w:eastAsia="宋体"/>
                <w:b w:val="0"/>
                <w:i w:val="0"/>
                <w:sz w:val="18"/>
              </w:rPr>
              <w:t>40.9 kW</w:t>
            </w:r>
          </w:p>
        </w:tc>
      </w:tr>
      <w:tr>
        <w:tc>
          <w:tcPr>
            <w:tcW w:type="dxa" w:w="4705"/>
          </w:tcPr>
          <w:p>
            <w:pPr>
              <w:spacing w:after="20"/>
            </w:pPr>
            <w:r>
              <w:rPr>
                <w:rFonts w:ascii="Times New Roman" w:hAnsi="Times New Roman" w:eastAsia="宋体"/>
                <w:b w:val="0"/>
                <w:i w:val="0"/>
                <w:sz w:val="18"/>
              </w:rPr>
              <w:t>P2（中游）</w:t>
            </w:r>
          </w:p>
        </w:tc>
        <w:tc>
          <w:tcPr>
            <w:tcW w:type="dxa" w:w="4705"/>
          </w:tcPr>
          <w:p>
            <w:pPr>
              <w:spacing w:after="20"/>
            </w:pPr>
            <w:r>
              <w:rPr>
                <w:rFonts w:ascii="Times New Roman" w:hAnsi="Times New Roman" w:eastAsia="宋体"/>
                <w:b w:val="0"/>
                <w:i w:val="0"/>
                <w:sz w:val="18"/>
              </w:rPr>
              <w:t>55.0 kW</w:t>
            </w:r>
          </w:p>
        </w:tc>
      </w:tr>
      <w:tr>
        <w:tc>
          <w:tcPr>
            <w:tcW w:type="dxa" w:w="4705"/>
          </w:tcPr>
          <w:p>
            <w:pPr>
              <w:spacing w:after="20"/>
            </w:pPr>
            <w:r>
              <w:rPr>
                <w:rFonts w:ascii="Times New Roman" w:hAnsi="Times New Roman" w:eastAsia="宋体"/>
                <w:b w:val="0"/>
                <w:i w:val="0"/>
                <w:sz w:val="18"/>
              </w:rPr>
              <w:t>P3（下游）</w:t>
            </w:r>
          </w:p>
        </w:tc>
        <w:tc>
          <w:tcPr>
            <w:tcW w:type="dxa" w:w="4705"/>
          </w:tcPr>
          <w:p>
            <w:pPr>
              <w:spacing w:after="20"/>
            </w:pPr>
            <w:r>
              <w:rPr>
                <w:rFonts w:ascii="Times New Roman" w:hAnsi="Times New Roman" w:eastAsia="宋体"/>
                <w:b w:val="0"/>
                <w:i w:val="0"/>
                <w:sz w:val="18"/>
              </w:rPr>
              <w:t>56.7 kW</w:t>
            </w:r>
          </w:p>
        </w:tc>
      </w:tr>
      <w:tr>
        <w:tc>
          <w:tcPr>
            <w:tcW w:type="dxa" w:w="4705"/>
          </w:tcPr>
          <w:p>
            <w:pPr>
              <w:spacing w:after="20"/>
            </w:pPr>
            <w:r>
              <w:rPr>
                <w:rFonts w:ascii="Times New Roman" w:hAnsi="Times New Roman" w:eastAsia="宋体"/>
                <w:b w:val="0"/>
                <w:i w:val="0"/>
                <w:sz w:val="18"/>
              </w:rPr>
              <w:t>平均</w:t>
            </w:r>
          </w:p>
        </w:tc>
        <w:tc>
          <w:tcPr>
            <w:tcW w:type="dxa" w:w="4705"/>
          </w:tcPr>
          <w:p>
            <w:pPr>
              <w:spacing w:after="20"/>
            </w:pPr>
            <w:r>
              <w:rPr>
                <w:rFonts w:ascii="Times New Roman" w:hAnsi="Times New Roman" w:eastAsia="宋体"/>
                <w:b/>
                <w:i w:val="0"/>
                <w:sz w:val="18"/>
              </w:rPr>
              <w:t>50.9 kW</w:t>
            </w:r>
          </w:p>
        </w:tc>
      </w:tr>
      <w:tr>
        <w:tc>
          <w:tcPr>
            <w:tcW w:type="dxa" w:w="4705"/>
          </w:tcPr>
          <w:p>
            <w:pPr>
              <w:spacing w:after="20"/>
            </w:pPr>
            <w:r>
              <w:rPr>
                <w:rFonts w:ascii="Times New Roman" w:hAnsi="Times New Roman" w:eastAsia="宋体"/>
                <w:b w:val="0"/>
                <w:i w:val="0"/>
                <w:sz w:val="18"/>
              </w:rPr>
              <w:t>盘面有效风速</w:t>
            </w:r>
          </w:p>
        </w:tc>
        <w:tc>
          <w:tcPr>
            <w:tcW w:type="dxa" w:w="4705"/>
          </w:tcPr>
          <w:p>
            <w:pPr>
              <w:spacing w:after="20"/>
            </w:pPr>
            <w:r>
              <w:rPr>
                <w:rFonts w:ascii="Times New Roman" w:hAnsi="Times New Roman" w:eastAsia="宋体"/>
                <w:b w:val="0"/>
                <w:i w:val="0"/>
                <w:sz w:val="18"/>
              </w:rPr>
              <w:t>0.060 m/s</w:t>
            </w:r>
          </w:p>
        </w:tc>
      </w:tr>
    </w:tbl>
    <w:p>
      <w:pPr>
        <w:spacing w:after="40"/>
      </w:pPr>
    </w:p>
    <w:p>
      <w:pPr>
        <w:spacing w:after="100"/>
        <w:ind w:firstLine="0"/>
      </w:pPr>
      <w:r>
        <w:rPr>
          <w:rFonts w:ascii="Times New Roman" w:hAnsi="Times New Roman" w:eastAsia="宋体"/>
          <w:b w:val="0"/>
          <w:i w:val="0"/>
          <w:sz w:val="21"/>
        </w:rPr>
        <w:t>归一化后：</w:t>
      </w:r>
      <w:r>
        <w:rPr>
          <w:rFonts w:ascii="Times New Roman" w:hAnsi="Times New Roman" w:eastAsia="宋体"/>
          <w:b/>
          <w:i w:val="0"/>
          <w:sz w:val="21"/>
        </w:rPr>
        <w:t>等于额定功率的 1.02%，等于测试集平均功率的 4.70%</w:t>
      </w:r>
      <w:r>
        <w:rPr>
          <w:rFonts w:ascii="Times New Roman" w:hAnsi="Times New Roman" w:eastAsia="宋体"/>
          <w:b w:val="0"/>
          <w:i w:val="0"/>
          <w:sz w:val="21"/>
        </w:rPr>
        <w:t>。</w:t>
      </w:r>
    </w:p>
    <w:p>
      <w:pPr>
        <w:spacing w:after="100"/>
        <w:ind w:firstLine="0"/>
      </w:pPr>
      <w:r>
        <w:rPr>
          <w:rFonts w:ascii="Times New Roman" w:hAnsi="Times New Roman" w:eastAsia="宋体"/>
          <w:b w:val="0"/>
          <w:i w:val="0"/>
          <w:sz w:val="21"/>
        </w:rPr>
        <w:t>需要说明，平均相对误差（MAPE）不能作为判据：测试集单机功率跨三个数量级（9 kW ~ 4.76 MW），中位数仅 424 kW，10% 的样本低于 52 kW，近停机工况会把相对误差拉得极高。因此本报告采用"相对额定功率"与"相对平均功率"两个归一化口径。</w:t>
      </w:r>
    </w:p>
    <w:p>
      <w:pPr>
        <w:spacing w:before="120" w:after="40"/>
        <w:jc w:val="center"/>
      </w:pPr>
      <w:r>
        <w:drawing>
          <wp:inline xmlns:a="http://schemas.openxmlformats.org/drawingml/2006/main" xmlns:pic="http://schemas.openxmlformats.org/drawingml/2006/picture">
            <wp:extent cx="5220000" cy="2982857"/>
            <wp:docPr id="6" name="Picture 6"/>
            <wp:cNvGraphicFramePr>
              <a:graphicFrameLocks noChangeAspect="1"/>
            </wp:cNvGraphicFramePr>
            <a:graphic>
              <a:graphicData uri="http://schemas.openxmlformats.org/drawingml/2006/picture">
                <pic:pic>
                  <pic:nvPicPr>
                    <pic:cNvPr id="0" name="fig11_parity.png"/>
                    <pic:cNvPicPr/>
                  </pic:nvPicPr>
                  <pic:blipFill>
                    <a:blip r:embed="rId14"/>
                    <a:stretch>
                      <a:fillRect/>
                    </a:stretch>
                  </pic:blipFill>
                  <pic:spPr>
                    <a:xfrm>
                      <a:off x="0" y="0"/>
                      <a:ext cx="5220000" cy="2982857"/>
                    </a:xfrm>
                    <a:prstGeom prst="rect"/>
                  </pic:spPr>
                </pic:pic>
              </a:graphicData>
            </a:graphic>
          </wp:inline>
        </w:drawing>
      </w:r>
    </w:p>
    <w:p>
      <w:pPr>
        <w:spacing w:before="0" w:after="160"/>
        <w:jc w:val="center"/>
      </w:pPr>
      <w:r>
        <w:rPr>
          <w:rFonts w:ascii="Times New Roman" w:hAnsi="Times New Roman" w:eastAsia="宋体"/>
          <w:color w:val="595959"/>
          <w:sz w:val="18"/>
        </w:rPr>
        <w:t>图 6  留出工况上的预测-真值对比</w:t>
      </w:r>
    </w:p>
    <w:p>
      <w:pPr>
        <w:spacing w:before="120" w:after="40"/>
        <w:jc w:val="center"/>
      </w:pPr>
      <w:r>
        <w:drawing>
          <wp:inline xmlns:a="http://schemas.openxmlformats.org/drawingml/2006/main" xmlns:pic="http://schemas.openxmlformats.org/drawingml/2006/picture">
            <wp:extent cx="5220000" cy="2982857"/>
            <wp:docPr id="7" name="Picture 7"/>
            <wp:cNvGraphicFramePr>
              <a:graphicFrameLocks noChangeAspect="1"/>
            </wp:cNvGraphicFramePr>
            <a:graphic>
              <a:graphicData uri="http://schemas.openxmlformats.org/drawingml/2006/picture">
                <pic:pic>
                  <pic:nvPicPr>
                    <pic:cNvPr id="0" name="fig10_training_curve.png"/>
                    <pic:cNvPicPr/>
                  </pic:nvPicPr>
                  <pic:blipFill>
                    <a:blip r:embed="rId15"/>
                    <a:stretch>
                      <a:fillRect/>
                    </a:stretch>
                  </pic:blipFill>
                  <pic:spPr>
                    <a:xfrm>
                      <a:off x="0" y="0"/>
                      <a:ext cx="5220000" cy="2982857"/>
                    </a:xfrm>
                    <a:prstGeom prst="rect"/>
                  </pic:spPr>
                </pic:pic>
              </a:graphicData>
            </a:graphic>
          </wp:inline>
        </w:drawing>
      </w:r>
    </w:p>
    <w:p>
      <w:pPr>
        <w:spacing w:before="0" w:after="160"/>
        <w:jc w:val="center"/>
      </w:pPr>
      <w:r>
        <w:rPr>
          <w:rFonts w:ascii="Times New Roman" w:hAnsi="Times New Roman" w:eastAsia="宋体"/>
          <w:color w:val="595959"/>
          <w:sz w:val="18"/>
        </w:rPr>
        <w:t>图 7  训练曲线：训练与验证损失全程贴合，无过拟合</w:t>
      </w:r>
    </w:p>
    <w:p>
      <w:pPr>
        <w:pStyle w:val="Heading3"/>
      </w:pPr>
      <w:r>
        <w:rPr>
          <w:rFonts w:ascii="Times New Roman" w:hAnsi="Times New Roman" w:eastAsia="宋体"/>
          <w:b/>
          <w:i w:val="0"/>
          <w:sz w:val="24"/>
        </w:rPr>
        <w:t>6.3 响应校验：控制效应是否学到</w:t>
      </w:r>
    </w:p>
    <w:p>
      <w:pPr>
        <w:spacing w:after="100"/>
        <w:ind w:firstLine="0"/>
      </w:pPr>
      <w:r>
        <w:rPr>
          <w:rFonts w:ascii="Times New Roman" w:hAnsi="Times New Roman" w:eastAsia="宋体"/>
          <w:b w:val="0"/>
          <w:i w:val="0"/>
          <w:sz w:val="21"/>
        </w:rPr>
        <w:t>留出集误差只说明拟合得好，不说明学到了因果。因此做单变量扫描，把模型响应与 FLORIS 真值逐点比较：</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扫描变量</w:t>
            </w:r>
          </w:p>
        </w:tc>
        <w:tc>
          <w:tcPr>
            <w:tcW w:type="dxa" w:w="2353"/>
            <w:shd w:val="clear" w:color="auto" w:fill="DCE6F1"/>
          </w:tcPr>
          <w:p>
            <w:pPr>
              <w:spacing w:after="20"/>
            </w:pPr>
            <w:r>
              <w:rPr>
                <w:rFonts w:ascii="Times New Roman" w:hAnsi="Times New Roman" w:eastAsia="宋体"/>
                <w:b/>
                <w:i w:val="0"/>
                <w:sz w:val="18"/>
              </w:rPr>
              <w:t>平均偏差</w:t>
            </w:r>
          </w:p>
        </w:tc>
        <w:tc>
          <w:tcPr>
            <w:tcW w:type="dxa" w:w="2353"/>
            <w:shd w:val="clear" w:color="auto" w:fill="DCE6F1"/>
          </w:tcPr>
          <w:p>
            <w:pPr>
              <w:spacing w:after="20"/>
            </w:pPr>
            <w:r>
              <w:rPr>
                <w:rFonts w:ascii="Times New Roman" w:hAnsi="Times New Roman" w:eastAsia="宋体"/>
                <w:b/>
                <w:i w:val="0"/>
                <w:sz w:val="18"/>
              </w:rPr>
              <w:t>最大偏差</w:t>
            </w:r>
          </w:p>
        </w:tc>
        <w:tc>
          <w:tcPr>
            <w:tcW w:type="dxa" w:w="2353"/>
            <w:shd w:val="clear" w:color="auto" w:fill="DCE6F1"/>
          </w:tcPr>
          <w:p>
            <w:pPr>
              <w:spacing w:after="20"/>
            </w:pPr>
            <w:r>
              <w:rPr>
                <w:rFonts w:ascii="Times New Roman" w:hAnsi="Times New Roman" w:eastAsia="宋体"/>
                <w:b/>
                <w:i w:val="0"/>
                <w:sz w:val="18"/>
              </w:rPr>
              <w:t>判定</w:t>
            </w:r>
          </w:p>
        </w:tc>
      </w:tr>
      <w:tr>
        <w:tc>
          <w:tcPr>
            <w:tcW w:type="dxa" w:w="2353"/>
          </w:tcPr>
          <w:p>
            <w:pPr>
              <w:spacing w:after="20"/>
            </w:pPr>
            <w:r>
              <w:rPr>
                <w:rFonts w:ascii="Times New Roman" w:hAnsi="Times New Roman" w:eastAsia="宋体"/>
                <w:b w:val="0"/>
                <w:i w:val="0"/>
                <w:sz w:val="18"/>
              </w:rPr>
              <w:t>风向（0–345°）</w:t>
            </w:r>
          </w:p>
        </w:tc>
        <w:tc>
          <w:tcPr>
            <w:tcW w:type="dxa" w:w="2353"/>
          </w:tcPr>
          <w:p>
            <w:pPr>
              <w:spacing w:after="20"/>
            </w:pPr>
            <w:r>
              <w:rPr>
                <w:rFonts w:ascii="Times New Roman" w:hAnsi="Times New Roman" w:eastAsia="宋体"/>
                <w:b w:val="0"/>
                <w:i w:val="0"/>
                <w:sz w:val="18"/>
              </w:rPr>
              <w:t>1.98%</w:t>
            </w:r>
          </w:p>
        </w:tc>
        <w:tc>
          <w:tcPr>
            <w:tcW w:type="dxa" w:w="2353"/>
          </w:tcPr>
          <w:p>
            <w:pPr>
              <w:spacing w:after="20"/>
            </w:pPr>
            <w:r>
              <w:rPr>
                <w:rFonts w:ascii="Times New Roman" w:hAnsi="Times New Roman" w:eastAsia="宋体"/>
                <w:b w:val="0"/>
                <w:i w:val="0"/>
                <w:sz w:val="18"/>
              </w:rPr>
              <w:t>17.84%</w:t>
            </w:r>
          </w:p>
        </w:tc>
        <w:tc>
          <w:tcPr>
            <w:tcW w:type="dxa" w:w="2353"/>
          </w:tcPr>
          <w:p>
            <w:pPr>
              <w:spacing w:after="20"/>
            </w:pPr>
            <w:r>
              <w:rPr>
                <w:rFonts w:ascii="Times New Roman" w:hAnsi="Times New Roman" w:eastAsia="宋体"/>
                <w:b w:val="0"/>
                <w:i w:val="0"/>
                <w:sz w:val="18"/>
              </w:rPr>
              <w:t>双谷形状完整复现</w:t>
            </w:r>
          </w:p>
        </w:tc>
      </w:tr>
      <w:tr>
        <w:tc>
          <w:tcPr>
            <w:tcW w:type="dxa" w:w="2353"/>
          </w:tcPr>
          <w:p>
            <w:pPr>
              <w:spacing w:after="20"/>
            </w:pPr>
            <w:r>
              <w:rPr>
                <w:rFonts w:ascii="Times New Roman" w:hAnsi="Times New Roman" w:eastAsia="宋体"/>
                <w:b w:val="0"/>
                <w:i w:val="0"/>
                <w:sz w:val="18"/>
              </w:rPr>
              <w:t>入口风速（5–12 m/s）</w:t>
            </w:r>
          </w:p>
        </w:tc>
        <w:tc>
          <w:tcPr>
            <w:tcW w:type="dxa" w:w="2353"/>
          </w:tcPr>
          <w:p>
            <w:pPr>
              <w:spacing w:after="20"/>
            </w:pPr>
            <w:r>
              <w:rPr>
                <w:rFonts w:ascii="Times New Roman" w:hAnsi="Times New Roman" w:eastAsia="宋体"/>
                <w:b w:val="0"/>
                <w:i w:val="0"/>
                <w:sz w:val="18"/>
              </w:rPr>
              <w:t>8.26%</w:t>
            </w:r>
          </w:p>
        </w:tc>
        <w:tc>
          <w:tcPr>
            <w:tcW w:type="dxa" w:w="2353"/>
          </w:tcPr>
          <w:p>
            <w:pPr>
              <w:spacing w:after="20"/>
            </w:pPr>
            <w:r>
              <w:rPr>
                <w:rFonts w:ascii="Times New Roman" w:hAnsi="Times New Roman" w:eastAsia="宋体"/>
                <w:b w:val="0"/>
                <w:i w:val="0"/>
                <w:sz w:val="18"/>
              </w:rPr>
              <w:t>14.86%</w:t>
            </w:r>
          </w:p>
        </w:tc>
        <w:tc>
          <w:tcPr>
            <w:tcW w:type="dxa" w:w="2353"/>
          </w:tcPr>
          <w:p>
            <w:pPr>
              <w:spacing w:after="20"/>
            </w:pPr>
            <w:r>
              <w:rPr>
                <w:rFonts w:ascii="Times New Roman" w:hAnsi="Times New Roman" w:eastAsia="宋体"/>
                <w:b w:val="0"/>
                <w:i w:val="0"/>
                <w:sz w:val="18"/>
              </w:rPr>
              <w:t>10 m/s 以下良好，高风速偏高</w:t>
            </w:r>
          </w:p>
        </w:tc>
      </w:tr>
      <w:tr>
        <w:tc>
          <w:tcPr>
            <w:tcW w:type="dxa" w:w="2353"/>
          </w:tcPr>
          <w:p>
            <w:pPr>
              <w:spacing w:after="20"/>
            </w:pPr>
            <w:r>
              <w:rPr>
                <w:rFonts w:ascii="Times New Roman" w:hAnsi="Times New Roman" w:eastAsia="宋体"/>
                <w:b w:val="0"/>
                <w:i w:val="0"/>
                <w:sz w:val="18"/>
              </w:rPr>
              <w:t>偏航角（±20°）</w:t>
            </w:r>
          </w:p>
        </w:tc>
        <w:tc>
          <w:tcPr>
            <w:tcW w:type="dxa" w:w="2353"/>
          </w:tcPr>
          <w:p>
            <w:pPr>
              <w:spacing w:after="20"/>
            </w:pPr>
            <w:r>
              <w:rPr>
                <w:rFonts w:ascii="Times New Roman" w:hAnsi="Times New Roman" w:eastAsia="宋体"/>
                <w:b w:val="0"/>
                <w:i w:val="0"/>
                <w:sz w:val="18"/>
              </w:rPr>
              <w:t>2.14%</w:t>
            </w:r>
          </w:p>
        </w:tc>
        <w:tc>
          <w:tcPr>
            <w:tcW w:type="dxa" w:w="2353"/>
          </w:tcPr>
          <w:p>
            <w:pPr>
              <w:spacing w:after="20"/>
            </w:pPr>
            <w:r>
              <w:rPr>
                <w:rFonts w:ascii="Times New Roman" w:hAnsi="Times New Roman" w:eastAsia="宋体"/>
                <w:b w:val="0"/>
                <w:i w:val="0"/>
                <w:sz w:val="18"/>
              </w:rPr>
              <w:t>4.49%</w:t>
            </w:r>
          </w:p>
        </w:tc>
        <w:tc>
          <w:tcPr>
            <w:tcW w:type="dxa" w:w="2353"/>
          </w:tcPr>
          <w:p>
            <w:pPr>
              <w:spacing w:after="20"/>
            </w:pPr>
            <w:r>
              <w:rPr>
                <w:rFonts w:ascii="Times New Roman" w:hAnsi="Times New Roman" w:eastAsia="宋体"/>
                <w:b w:val="0"/>
                <w:i w:val="0"/>
                <w:sz w:val="18"/>
              </w:rPr>
              <w:t>通过</w:t>
            </w:r>
          </w:p>
        </w:tc>
      </w:tr>
      <w:tr>
        <w:tc>
          <w:tcPr>
            <w:tcW w:type="dxa" w:w="2353"/>
          </w:tcPr>
          <w:p>
            <w:pPr>
              <w:spacing w:after="20"/>
            </w:pPr>
            <w:r>
              <w:rPr>
                <w:rFonts w:ascii="Times New Roman" w:hAnsi="Times New Roman" w:eastAsia="宋体"/>
                <w:b w:val="0"/>
                <w:i w:val="0"/>
                <w:sz w:val="18"/>
              </w:rPr>
              <w:t>集体桨距（0–10°）</w:t>
            </w:r>
          </w:p>
        </w:tc>
        <w:tc>
          <w:tcPr>
            <w:tcW w:type="dxa" w:w="2353"/>
          </w:tcPr>
          <w:p>
            <w:pPr>
              <w:spacing w:after="20"/>
            </w:pPr>
            <w:r>
              <w:rPr>
                <w:rFonts w:ascii="Times New Roman" w:hAnsi="Times New Roman" w:eastAsia="宋体"/>
                <w:b w:val="0"/>
                <w:i w:val="0"/>
                <w:sz w:val="18"/>
              </w:rPr>
              <w:t>1.15%</w:t>
            </w:r>
          </w:p>
        </w:tc>
        <w:tc>
          <w:tcPr>
            <w:tcW w:type="dxa" w:w="2353"/>
          </w:tcPr>
          <w:p>
            <w:pPr>
              <w:spacing w:after="20"/>
            </w:pPr>
            <w:r>
              <w:rPr>
                <w:rFonts w:ascii="Times New Roman" w:hAnsi="Times New Roman" w:eastAsia="宋体"/>
                <w:b w:val="0"/>
                <w:i w:val="0"/>
                <w:sz w:val="18"/>
              </w:rPr>
              <w:t>4.49%</w:t>
            </w:r>
          </w:p>
        </w:tc>
        <w:tc>
          <w:tcPr>
            <w:tcW w:type="dxa" w:w="2353"/>
          </w:tcPr>
          <w:p>
            <w:pPr>
              <w:spacing w:after="20"/>
            </w:pPr>
            <w:r>
              <w:rPr>
                <w:rFonts w:ascii="Times New Roman" w:hAnsi="Times New Roman" w:eastAsia="宋体"/>
                <w:b w:val="0"/>
                <w:i w:val="0"/>
                <w:sz w:val="18"/>
              </w:rPr>
              <w:t>通过（修复前 84.0%/433.7%）</w:t>
            </w:r>
          </w:p>
        </w:tc>
      </w:tr>
    </w:tbl>
    <w:p>
      <w:pPr>
        <w:spacing w:after="40"/>
      </w:pPr>
    </w:p>
    <w:p>
      <w:pPr>
        <w:spacing w:after="100"/>
        <w:ind w:firstLine="0"/>
      </w:pPr>
      <w:r>
        <w:rPr>
          <w:rFonts w:ascii="Times New Roman" w:hAnsi="Times New Roman" w:eastAsia="宋体"/>
          <w:b/>
          <w:i w:val="0"/>
          <w:sz w:val="21"/>
        </w:rPr>
        <w:t>结论：模型确实学到了风况与控制量的因果趋势</w:t>
      </w:r>
      <w:r>
        <w:rPr>
          <w:rFonts w:ascii="Times New Roman" w:hAnsi="Times New Roman" w:eastAsia="宋体"/>
          <w:b w:val="0"/>
          <w:i w:val="0"/>
          <w:sz w:val="21"/>
        </w:rPr>
        <w:t>，尤其是桨距与偏航——这两项是优化器唯一会动的量。</w:t>
      </w:r>
    </w:p>
    <w:p>
      <w:pPr>
        <w:pStyle w:val="Heading3"/>
      </w:pPr>
      <w:r>
        <w:rPr>
          <w:rFonts w:ascii="Times New Roman" w:hAnsi="Times New Roman" w:eastAsia="宋体"/>
          <w:b/>
          <w:i w:val="0"/>
          <w:sz w:val="24"/>
        </w:rPr>
        <w:t>6.4 三条必须一并说明的局限</w:t>
      </w:r>
    </w:p>
    <w:p>
      <w:pPr>
        <w:pStyle w:val="ListNumber"/>
        <w:spacing w:after="40" w:line="288" w:lineRule="auto"/>
        <w:ind w:left="425"/>
      </w:pPr>
      <w:r>
        <w:rPr>
          <w:rFonts w:ascii="Times New Roman" w:hAnsi="Times New Roman" w:eastAsia="宋体"/>
          <w:b/>
          <w:i w:val="0"/>
          <w:sz w:val="21"/>
        </w:rPr>
        <w:t>负输出。</w:t>
      </w:r>
      <w:r>
        <w:rPr>
          <w:rFonts w:ascii="Times New Roman" w:hAnsi="Times New Roman" w:eastAsia="宋体"/>
          <w:b w:val="0"/>
          <w:i w:val="0"/>
          <w:sz w:val="21"/>
        </w:rPr>
        <w:t xml:space="preserve"> 模型的读出层是线性的，无物理约束，测试集出现 445 个负值（占 1.8%），集中在 8–50 kW 的近停机降载工况。下游优化程序接入前必须做非负钳制。</w:t>
      </w:r>
    </w:p>
    <w:p>
      <w:pPr>
        <w:pStyle w:val="ListNumber"/>
        <w:spacing w:after="40" w:line="288" w:lineRule="auto"/>
        <w:ind w:left="425"/>
      </w:pPr>
      <w:r>
        <w:rPr>
          <w:rFonts w:ascii="Times New Roman" w:hAnsi="Times New Roman" w:eastAsia="宋体"/>
          <w:b/>
          <w:i w:val="0"/>
          <w:sz w:val="21"/>
        </w:rPr>
        <w:t>随机划分不等于外推。</w:t>
      </w:r>
      <w:r>
        <w:rPr>
          <w:rFonts w:ascii="Times New Roman" w:hAnsi="Times New Roman" w:eastAsia="宋体"/>
          <w:b w:val="0"/>
          <w:i w:val="0"/>
          <w:sz w:val="21"/>
        </w:rPr>
        <w:t xml:space="preserve"> 风向覆盖 345°、风速 5–12 m/s，超出该区间不作任何保证；换随机种子或换工况区间均未验证。</w:t>
      </w:r>
    </w:p>
    <w:p>
      <w:pPr>
        <w:pStyle w:val="ListNumber"/>
        <w:spacing w:after="40" w:line="288" w:lineRule="auto"/>
        <w:ind w:left="425"/>
      </w:pPr>
      <w:r>
        <w:rPr>
          <w:rFonts w:ascii="Times New Roman" w:hAnsi="Times New Roman" w:eastAsia="宋体"/>
          <w:b/>
          <w:i w:val="0"/>
          <w:sz w:val="21"/>
        </w:rPr>
        <w:t>本模型是 FLORIS 的代理，不是真实流场。</w:t>
      </w:r>
      <w:r>
        <w:rPr>
          <w:rFonts w:ascii="Times New Roman" w:hAnsi="Times New Roman" w:eastAsia="宋体"/>
          <w:b w:val="0"/>
          <w:i w:val="0"/>
          <w:sz w:val="21"/>
        </w:rPr>
        <w:t xml:space="preserve"> 它学到的映射精度以 FLORIS 为基准，绝对物理正确性需 CFD 或实测对标。</w:t>
      </w:r>
    </w:p>
    <w:p>
      <w:pPr>
        <w:pStyle w:val="Heading2"/>
      </w:pPr>
      <w:r>
        <w:rPr>
          <w:rFonts w:ascii="Times New Roman" w:hAnsi="Times New Roman" w:eastAsia="宋体"/>
          <w:b/>
          <w:i w:val="0"/>
          <w:sz w:val="27"/>
        </w:rPr>
        <w:t>七、Fluent 仿真研究</w:t>
      </w:r>
    </w:p>
    <w:p>
      <w:pPr>
        <w:pStyle w:val="Heading3"/>
      </w:pPr>
      <w:r>
        <w:rPr>
          <w:rFonts w:ascii="Times New Roman" w:hAnsi="Times New Roman" w:eastAsia="宋体"/>
          <w:b/>
          <w:i w:val="0"/>
          <w:sz w:val="24"/>
        </w:rPr>
        <w:t>7.1 为什么要另起一条 CFD 路线</w:t>
      </w:r>
    </w:p>
    <w:p>
      <w:pPr>
        <w:spacing w:after="100"/>
        <w:ind w:firstLine="0"/>
      </w:pPr>
      <w:r>
        <w:rPr>
          <w:rFonts w:ascii="Times New Roman" w:hAnsi="Times New Roman" w:eastAsia="宋体"/>
          <w:b w:val="0"/>
          <w:i w:val="0"/>
          <w:sz w:val="21"/>
        </w:rPr>
        <w:t>解析模型有三个已知弱点：近尾流区（3D 以内）细节缺失、非稳态效应（尾流摆动）无法描述、多机叠加是人为规则而非方程解。这些正是 Fluent 这类 CFD 工具的价值所在。因此本工作另外梳理了 Fluent 路线，并跑通单机算例，为后续高保真对标做准备。</w:t>
      </w:r>
    </w:p>
    <w:p>
      <w:pPr>
        <w:pStyle w:val="Heading3"/>
      </w:pPr>
      <w:r>
        <w:rPr>
          <w:rFonts w:ascii="Times New Roman" w:hAnsi="Times New Roman" w:eastAsia="宋体"/>
          <w:b/>
          <w:i w:val="0"/>
          <w:sz w:val="24"/>
        </w:rPr>
        <w:t>7.2 原理梳理</w:t>
      </w:r>
    </w:p>
    <w:p>
      <w:pPr>
        <w:spacing w:after="100"/>
        <w:ind w:firstLine="0"/>
      </w:pPr>
      <w:r>
        <w:rPr>
          <w:rFonts w:ascii="Times New Roman" w:hAnsi="Times New Roman" w:eastAsia="宋体"/>
          <w:b w:val="0"/>
          <w:i w:val="0"/>
          <w:sz w:val="21"/>
        </w:rPr>
        <w:t>已整理 9 篇文档（约 4 900 个公式），覆盖从连续介质假设到功率输出的完整链条：控制方程与湍流建模、网格生成、数值计算、输入参数、求解与收敛、输出与后处理、网格无关性与验证、完整流程。核心结论有三条。</w:t>
      </w:r>
    </w:p>
    <w:p>
      <w:pPr>
        <w:spacing w:after="100"/>
        <w:ind w:firstLine="0"/>
      </w:pPr>
      <w:r>
        <w:rPr>
          <w:rFonts w:ascii="Times New Roman" w:hAnsi="Times New Roman" w:eastAsia="宋体"/>
          <w:b/>
          <w:i w:val="0"/>
          <w:sz w:val="21"/>
        </w:rPr>
        <w:t>第一，湍流模型都是对不闭合项的近似。</w:t>
      </w:r>
      <w:r>
        <w:rPr>
          <w:rFonts w:ascii="Times New Roman" w:hAnsi="Times New Roman" w:eastAsia="宋体"/>
          <w:b w:val="0"/>
          <w:i w:val="0"/>
          <w:sz w:val="21"/>
        </w:rPr>
        <w:t xml:space="preserve"> RANS 平均后多出 6 个雷诺应力未知量，方程数少于未知数，必须建模；Boussinesq 涡黏假设把 6 个未知量压缩成 1 个涡黏系数 </w:t>
      </w:r>
      <m:oMath>
        <m:sSub>
          <m:e>
            <m:r>
              <m:t>μ</m:t>
            </m:r>
          </m:e>
          <m:sub>
            <m:r>
              <m:t>t</m:t>
            </m:r>
          </m:sub>
        </m:sSub>
      </m:oMath>
      <w:r>
        <w:rPr>
          <w:rFonts w:ascii="Times New Roman" w:hAnsi="Times New Roman" w:eastAsia="宋体"/>
          <w:b w:val="0"/>
          <w:i w:val="0"/>
          <w:sz w:val="21"/>
        </w:rPr>
        <w:t xml:space="preserve">，而 </w:t>
      </w:r>
      <m:oMath>
        <m:sSub>
          <m:e>
            <m:r>
              <m:t>μ</m:t>
            </m:r>
          </m:e>
          <m:sub>
            <m:r>
              <m:t>t</m:t>
            </m:r>
          </m:sub>
        </m:sSub>
      </m:oMath>
      <w:r>
        <w:rPr>
          <w:rFonts w:ascii="Times New Roman" w:hAnsi="Times New Roman" w:eastAsia="宋体"/>
          <w:b w:val="0"/>
          <w:i w:val="0"/>
          <w:sz w:val="21"/>
        </w:rPr>
        <w:t xml:space="preserve"> 不是物性、是流动状态，同一流场不同位置可差几个数量级。因此</w:t>
      </w:r>
      <w:r>
        <w:rPr>
          <w:rFonts w:ascii="Times New Roman" w:hAnsi="Times New Roman" w:eastAsia="宋体"/>
          <w:b/>
          <w:i w:val="0"/>
          <w:sz w:val="21"/>
        </w:rPr>
        <w:t>结果不对时应先查网格与边界条件，而不是调模型常数</w:t>
      </w:r>
      <w:r>
        <w:rPr>
          <w:rFonts w:ascii="Times New Roman" w:hAnsi="Times New Roman" w:eastAsia="宋体"/>
          <w:b w:val="0"/>
          <w:i w:val="0"/>
          <w:sz w:val="21"/>
        </w:rPr>
        <w:t>。</w:t>
      </w:r>
    </w:p>
    <w:p>
      <w:pPr>
        <w:spacing w:after="100"/>
        <w:ind w:firstLine="0"/>
      </w:pPr>
      <w:r>
        <w:rPr>
          <w:rFonts w:ascii="Times New Roman" w:hAnsi="Times New Roman" w:eastAsia="宋体"/>
          <w:b/>
          <w:i w:val="0"/>
          <w:sz w:val="21"/>
        </w:rPr>
        <w:t>第二，风机在 CFD 里是体积力源项，不是几何。</w:t>
      </w:r>
      <w:r>
        <w:rPr>
          <w:rFonts w:ascii="Times New Roman" w:hAnsi="Times New Roman" w:eastAsia="宋体"/>
          <w:b w:val="0"/>
          <w:i w:val="0"/>
          <w:sz w:val="21"/>
        </w:rPr>
        <w:t xml:space="preserve"> 致动盘模型在盘面网格上施加流向体积力</w:t>
      </w:r>
    </w:p>
    <w:p>
      <w:pPr>
        <w:spacing w:before="100" w:after="100" w:line="276" w:lineRule="auto"/>
        <w:jc w:val="center"/>
      </w:pPr>
      <m:oMath>
        <m:sSub>
          <m:e>
            <m:r>
              <m:t>f</m:t>
            </m:r>
          </m:e>
          <m:sub>
            <m:r>
              <m:t>x</m:t>
            </m:r>
          </m:sub>
        </m:sSub>
        <m:r>
          <m:t>=−</m:t>
        </m:r>
        <m:f>
          <m:fPr>
            <m:type m:val="bar"/>
          </m:fPr>
          <m:num>
            <m:r>
              <m:t>1</m:t>
            </m:r>
          </m:num>
          <m:den>
            <m:r>
              <m:t>2</m:t>
            </m:r>
          </m:den>
        </m:f>
        <m:r>
          <m:t>ρ</m:t>
        </m:r>
        <m:sSubSup>
          <m:e>
            <m:r>
              <m:t>U</m:t>
            </m:r>
          </m:e>
          <m:sub>
            <m:r>
              <m:rPr>
                <m:sty m:val="p"/>
              </m:rPr>
              <m:t>disk</m:t>
            </m:r>
          </m:sub>
          <m:sup>
            <m:r>
              <m:t>2</m:t>
            </m:r>
          </m:sup>
        </m:sSubSup>
        <m:sSub>
          <m:e>
            <m:r>
              <m:t>C</m:t>
            </m:r>
          </m:e>
          <m:sub>
            <m:r>
              <m:t>T</m:t>
            </m:r>
          </m:sub>
        </m:sSub>
        <m:r>
          <m:t>/Δ</m:t>
        </m:r>
        <m:sSub>
          <m:e>
            <m:r>
              <m:t>x</m:t>
            </m:r>
          </m:e>
          <m:sub>
            <m:r>
              <m:rPr>
                <m:sty m:val="p"/>
              </m:rPr>
              <m:t>disk</m:t>
            </m:r>
          </m:sub>
        </m:sSub>
      </m:oMath>
    </w:p>
    <w:p>
      <w:pPr>
        <w:spacing w:after="100"/>
        <w:ind w:firstLine="0"/>
      </w:pPr>
      <w:r>
        <w:rPr>
          <w:rFonts w:ascii="Times New Roman" w:hAnsi="Times New Roman" w:eastAsia="宋体"/>
          <w:b w:val="0"/>
          <w:i w:val="0"/>
          <w:sz w:val="21"/>
        </w:rPr>
        <w:t xml:space="preserve">其中 </w:t>
      </w:r>
      <m:oMath>
        <m:sSub>
          <m:e>
            <m:r>
              <m:t>U</m:t>
            </m:r>
          </m:e>
          <m:sub>
            <m:r>
              <m:rPr>
                <m:sty m:val="p"/>
              </m:rPr>
              <m:t>disk</m:t>
            </m:r>
          </m:sub>
        </m:sSub>
      </m:oMath>
      <w:r>
        <w:rPr>
          <w:rFonts w:ascii="Times New Roman" w:hAnsi="Times New Roman" w:eastAsia="宋体"/>
          <w:b w:val="0"/>
          <w:i w:val="0"/>
          <w:sz w:val="21"/>
        </w:rPr>
        <w:t xml:space="preserve"> 必须是盘面当地风速（每个时间步从流场读出），这就是需要写 UDF 的原因。致动盘丢掉了叶尖涡、叶片通过频率与尾流旋转，近尾流 3D 内的湍动能会被低估。</w:t>
      </w:r>
    </w:p>
    <w:p>
      <w:pPr>
        <w:spacing w:after="100"/>
        <w:ind w:firstLine="0"/>
      </w:pPr>
      <w:r>
        <w:rPr>
          <w:rFonts w:ascii="Times New Roman" w:hAnsi="Times New Roman" w:eastAsia="宋体"/>
          <w:b/>
          <w:i w:val="0"/>
          <w:sz w:val="21"/>
        </w:rPr>
        <w:t>第三，误差要分开记账。</w:t>
      </w:r>
      <w:r>
        <w:rPr>
          <w:rFonts w:ascii="Times New Roman" w:hAnsi="Times New Roman" w:eastAsia="宋体"/>
          <w:b w:val="0"/>
          <w:i w:val="0"/>
          <w:sz w:val="21"/>
        </w:rPr>
        <w:t xml:space="preserve"> 物理建模误差（不可通过加密网格消除）、离散误差（可通过网格无关性研究减小）、迭代误差、统计误差四类性质不同。若结果与实测差 20% 而网格无关性只有 3%，则这 20% 主要来自物理模型，再加密网格也没用。</w:t>
      </w:r>
    </w:p>
    <w:p>
      <w:pPr>
        <w:pStyle w:val="Heading3"/>
      </w:pPr>
      <w:r>
        <w:rPr>
          <w:rFonts w:ascii="Times New Roman" w:hAnsi="Times New Roman" w:eastAsia="宋体"/>
          <w:b/>
          <w:i w:val="0"/>
          <w:sz w:val="24"/>
        </w:rPr>
        <w:t>7.3 单机算例</w:t>
      </w:r>
    </w:p>
    <w:p>
      <w:pPr>
        <w:spacing w:after="100"/>
        <w:ind w:firstLine="0"/>
      </w:pPr>
      <w:r>
        <w:rPr>
          <w:rFonts w:ascii="Times New Roman" w:hAnsi="Times New Roman" w:eastAsia="宋体"/>
          <w:b w:val="0"/>
          <w:i w:val="0"/>
          <w:sz w:val="21"/>
        </w:rPr>
        <w:t>在 Ansys Fluent 2026 R1（学生版）上完成了单机算例：</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项</w:t>
            </w:r>
          </w:p>
        </w:tc>
        <w:tc>
          <w:tcPr>
            <w:tcW w:type="dxa" w:w="4705"/>
            <w:shd w:val="clear" w:color="auto" w:fill="DCE6F1"/>
          </w:tcPr>
          <w:p>
            <w:pPr>
              <w:spacing w:after="20"/>
            </w:pPr>
            <w:r>
              <w:rPr>
                <w:rFonts w:ascii="Times New Roman" w:hAnsi="Times New Roman" w:eastAsia="宋体"/>
                <w:b/>
                <w:i w:val="0"/>
                <w:sz w:val="18"/>
              </w:rPr>
              <w:t>设置</w:t>
            </w:r>
          </w:p>
        </w:tc>
      </w:tr>
      <w:tr>
        <w:tc>
          <w:tcPr>
            <w:tcW w:type="dxa" w:w="4705"/>
          </w:tcPr>
          <w:p>
            <w:pPr>
              <w:spacing w:after="20"/>
            </w:pPr>
            <w:r>
              <w:rPr>
                <w:rFonts w:ascii="Times New Roman" w:hAnsi="Times New Roman" w:eastAsia="宋体"/>
                <w:b w:val="0"/>
                <w:i w:val="0"/>
                <w:sz w:val="18"/>
              </w:rPr>
              <w:t>空间与时间</w:t>
            </w:r>
          </w:p>
        </w:tc>
        <w:tc>
          <w:tcPr>
            <w:tcW w:type="dxa" w:w="4705"/>
          </w:tcPr>
          <w:p>
            <w:pPr>
              <w:spacing w:after="20"/>
            </w:pPr>
            <w:r>
              <w:rPr>
                <w:rFonts w:ascii="Times New Roman" w:hAnsi="Times New Roman" w:eastAsia="宋体"/>
                <w:b w:val="0"/>
                <w:i w:val="0"/>
                <w:sz w:val="18"/>
              </w:rPr>
              <w:t>三维、稳态</w:t>
            </w:r>
          </w:p>
        </w:tc>
      </w:tr>
      <w:tr>
        <w:tc>
          <w:tcPr>
            <w:tcW w:type="dxa" w:w="4705"/>
          </w:tcPr>
          <w:p>
            <w:pPr>
              <w:spacing w:after="20"/>
            </w:pPr>
            <w:r>
              <w:rPr>
                <w:rFonts w:ascii="Times New Roman" w:hAnsi="Times New Roman" w:eastAsia="宋体"/>
                <w:b w:val="0"/>
                <w:i w:val="0"/>
                <w:sz w:val="18"/>
              </w:rPr>
              <w:t>湍流模型</w:t>
            </w:r>
          </w:p>
        </w:tc>
        <w:tc>
          <w:tcPr>
            <w:tcW w:type="dxa" w:w="4705"/>
          </w:tcPr>
          <w:p>
            <w:pPr>
              <w:spacing w:after="20"/>
            </w:pPr>
            <w:r>
              <w:rPr>
                <w:rFonts w:ascii="Times New Roman" w:hAnsi="Times New Roman" w:eastAsia="宋体"/>
                <w:b w:val="0"/>
                <w:i w:val="0"/>
                <w:sz w:val="18"/>
              </w:rPr>
              <w:t xml:space="preserve">SST </w:t>
            </w:r>
            <m:oMath>
              <m:r>
                <m:t>k</m:t>
              </m:r>
            </m:oMath>
            <w:r>
              <w:rPr>
                <w:rFonts w:ascii="Times New Roman" w:hAnsi="Times New Roman" w:eastAsia="宋体"/>
                <w:b w:val="0"/>
                <w:i w:val="0"/>
                <w:sz w:val="18"/>
              </w:rPr>
              <w:t>-</w:t>
            </w:r>
            <m:oMath>
              <m:r>
                <m:t>ω</m:t>
              </m:r>
            </m:oMath>
          </w:p>
        </w:tc>
      </w:tr>
      <w:tr>
        <w:tc>
          <w:tcPr>
            <w:tcW w:type="dxa" w:w="4705"/>
          </w:tcPr>
          <w:p>
            <w:pPr>
              <w:spacing w:after="20"/>
            </w:pPr>
            <w:r>
              <w:rPr>
                <w:rFonts w:ascii="Times New Roman" w:hAnsi="Times New Roman" w:eastAsia="宋体"/>
                <w:b w:val="0"/>
                <w:i w:val="0"/>
                <w:sz w:val="18"/>
              </w:rPr>
              <w:t>风轮处理</w:t>
            </w:r>
          </w:p>
        </w:tc>
        <w:tc>
          <w:tcPr>
            <w:tcW w:type="dxa" w:w="4705"/>
          </w:tcPr>
          <w:p>
            <w:pPr>
              <w:spacing w:after="20"/>
            </w:pPr>
            <w:r>
              <w:rPr>
                <w:rFonts w:ascii="Times New Roman" w:hAnsi="Times New Roman" w:eastAsia="宋体"/>
                <w:b w:val="0"/>
                <w:i w:val="0"/>
                <w:sz w:val="18"/>
              </w:rPr>
              <w:t>MRF 多参考系（旋转区 + 静止区），转速 1.27 rad/s（对应额定 12.1 rpm）</w:t>
            </w:r>
          </w:p>
        </w:tc>
      </w:tr>
      <w:tr>
        <w:tc>
          <w:tcPr>
            <w:tcW w:type="dxa" w:w="4705"/>
          </w:tcPr>
          <w:p>
            <w:pPr>
              <w:spacing w:after="20"/>
            </w:pPr>
            <w:r>
              <w:rPr>
                <w:rFonts w:ascii="Times New Roman" w:hAnsi="Times New Roman" w:eastAsia="宋体"/>
                <w:b w:val="0"/>
                <w:i w:val="0"/>
                <w:sz w:val="18"/>
              </w:rPr>
              <w:t>边界条件</w:t>
            </w:r>
          </w:p>
        </w:tc>
        <w:tc>
          <w:tcPr>
            <w:tcW w:type="dxa" w:w="4705"/>
          </w:tcPr>
          <w:p>
            <w:pPr>
              <w:spacing w:after="20"/>
            </w:pPr>
            <w:r>
              <w:rPr>
                <w:rFonts w:ascii="Times New Roman" w:hAnsi="Times New Roman" w:eastAsia="宋体"/>
                <w:b w:val="0"/>
                <w:i w:val="0"/>
                <w:sz w:val="18"/>
              </w:rPr>
              <w:t>速度入口、压力出口、无滑移壁面</w:t>
            </w:r>
          </w:p>
        </w:tc>
      </w:tr>
      <w:tr>
        <w:tc>
          <w:tcPr>
            <w:tcW w:type="dxa" w:w="4705"/>
          </w:tcPr>
          <w:p>
            <w:pPr>
              <w:spacing w:after="20"/>
            </w:pPr>
            <w:r>
              <w:rPr>
                <w:rFonts w:ascii="Times New Roman" w:hAnsi="Times New Roman" w:eastAsia="宋体"/>
                <w:b w:val="0"/>
                <w:i w:val="0"/>
                <w:sz w:val="18"/>
              </w:rPr>
              <w:t>网格规模</w:t>
            </w:r>
          </w:p>
        </w:tc>
        <w:tc>
          <w:tcPr>
            <w:tcW w:type="dxa" w:w="4705"/>
          </w:tcPr>
          <w:p>
            <w:pPr>
              <w:spacing w:after="20"/>
            </w:pPr>
            <w:r>
              <w:rPr>
                <w:rFonts w:ascii="Times New Roman" w:hAnsi="Times New Roman" w:eastAsia="宋体"/>
                <w:b w:val="0"/>
                <w:i w:val="0"/>
                <w:sz w:val="18"/>
              </w:rPr>
              <w:t>455 550 单元（学生版上限 512 000）</w:t>
            </w:r>
          </w:p>
        </w:tc>
      </w:tr>
      <w:tr>
        <w:tc>
          <w:tcPr>
            <w:tcW w:type="dxa" w:w="4705"/>
          </w:tcPr>
          <w:p>
            <w:pPr>
              <w:spacing w:after="20"/>
            </w:pPr>
            <w:r>
              <w:rPr>
                <w:rFonts w:ascii="Times New Roman" w:hAnsi="Times New Roman" w:eastAsia="宋体"/>
                <w:b w:val="0"/>
                <w:i w:val="0"/>
                <w:sz w:val="18"/>
              </w:rPr>
              <w:t>求解</w:t>
            </w:r>
          </w:p>
        </w:tc>
        <w:tc>
          <w:tcPr>
            <w:tcW w:type="dxa" w:w="4705"/>
          </w:tcPr>
          <w:p>
            <w:pPr>
              <w:spacing w:after="20"/>
            </w:pPr>
            <w:r>
              <w:rPr>
                <w:rFonts w:ascii="Times New Roman" w:hAnsi="Times New Roman" w:eastAsia="宋体"/>
                <w:b w:val="0"/>
                <w:i w:val="0"/>
                <w:sz w:val="18"/>
              </w:rPr>
              <w:t>迭代至 1 600 步收敛</w:t>
            </w:r>
          </w:p>
        </w:tc>
      </w:tr>
    </w:tbl>
    <w:p>
      <w:pPr>
        <w:spacing w:after="40"/>
      </w:pPr>
    </w:p>
    <w:p>
      <w:pPr>
        <w:pStyle w:val="Heading3"/>
      </w:pPr>
      <w:r>
        <w:rPr>
          <w:rFonts w:ascii="Times New Roman" w:hAnsi="Times New Roman" w:eastAsia="宋体"/>
          <w:b/>
          <w:i w:val="0"/>
          <w:sz w:val="24"/>
        </w:rPr>
        <w:t>7.4 结果与初步判断</w:t>
      </w:r>
    </w:p>
    <w:p>
      <w:pPr>
        <w:spacing w:after="100"/>
        <w:ind w:firstLine="0"/>
      </w:pPr>
      <w:r>
        <w:rPr>
          <w:rFonts w:ascii="Times New Roman" w:hAnsi="Times New Roman" w:eastAsia="宋体"/>
          <w:b w:val="0"/>
          <w:i w:val="0"/>
          <w:sz w:val="21"/>
        </w:rPr>
        <w:t>图为轮毂高度附近水平截面的速度幅值云图。可见风轮下游形成明显的低速尾流带：中心速度亏损最深，沿下游逐渐恢复、横向逐渐展宽，整体形态与解析尾流模型一致。</w:t>
      </w:r>
    </w:p>
    <w:p>
      <w:pPr>
        <w:spacing w:before="120" w:after="40"/>
        <w:jc w:val="center"/>
      </w:pPr>
      <w:r>
        <w:drawing>
          <wp:inline xmlns:a="http://schemas.openxmlformats.org/drawingml/2006/main" xmlns:pic="http://schemas.openxmlformats.org/drawingml/2006/picture">
            <wp:extent cx="5220000" cy="3440651"/>
            <wp:docPr id="8" name="Picture 8"/>
            <wp:cNvGraphicFramePr>
              <a:graphicFrameLocks noChangeAspect="1"/>
            </wp:cNvGraphicFramePr>
            <a:graphic>
              <a:graphicData uri="http://schemas.openxmlformats.org/drawingml/2006/picture">
                <pic:pic>
                  <pic:nvPicPr>
                    <pic:cNvPr id="0" name="fig09_fluent_single_wake.png"/>
                    <pic:cNvPicPr/>
                  </pic:nvPicPr>
                  <pic:blipFill>
                    <a:blip r:embed="rId16"/>
                    <a:stretch>
                      <a:fillRect/>
                    </a:stretch>
                  </pic:blipFill>
                  <pic:spPr>
                    <a:xfrm>
                      <a:off x="0" y="0"/>
                      <a:ext cx="5220000" cy="3440651"/>
                    </a:xfrm>
                    <a:prstGeom prst="rect"/>
                  </pic:spPr>
                </pic:pic>
              </a:graphicData>
            </a:graphic>
          </wp:inline>
        </w:drawing>
      </w:r>
    </w:p>
    <w:p>
      <w:pPr>
        <w:spacing w:before="0" w:after="160"/>
        <w:jc w:val="center"/>
      </w:pPr>
      <w:r>
        <w:rPr>
          <w:rFonts w:ascii="Times New Roman" w:hAnsi="Times New Roman" w:eastAsia="宋体"/>
          <w:color w:val="595959"/>
          <w:sz w:val="18"/>
        </w:rPr>
        <w:t>图 8  Fluent 单机算例：轮毂高度水平截面速度幅值云图</w:t>
      </w:r>
    </w:p>
    <w:p>
      <w:pPr>
        <w:spacing w:after="100"/>
        <w:ind w:firstLine="0"/>
      </w:pPr>
      <w:r>
        <w:rPr>
          <w:rFonts w:ascii="Times New Roman" w:hAnsi="Times New Roman" w:eastAsia="宋体"/>
          <w:b/>
          <w:i w:val="0"/>
          <w:sz w:val="21"/>
        </w:rPr>
        <w:t>初步判断：路线可行。</w:t>
      </w:r>
      <w:r>
        <w:rPr>
          <w:rFonts w:ascii="Times New Roman" w:hAnsi="Times New Roman" w:eastAsia="宋体"/>
          <w:b w:val="0"/>
          <w:i w:val="0"/>
          <w:sz w:val="21"/>
        </w:rPr>
        <w:t xml:space="preserve"> 依据有三条：其一，从几何导入、网格生成到求解、后处理的完整流程已打通，且可重复；其二，尾流的速度亏损与恢复形态符合物理预期，未出现异常；其三，所用的旋转系、湍流模型与边界条件都是风电场外流场的常规选择。</w:t>
      </w:r>
    </w:p>
    <w:p>
      <w:pPr>
        <w:spacing w:after="100"/>
        <w:ind w:firstLine="0"/>
      </w:pPr>
      <w:r>
        <w:rPr>
          <w:rFonts w:ascii="Times New Roman" w:hAnsi="Times New Roman" w:eastAsia="宋体"/>
          <w:b/>
          <w:i w:val="0"/>
          <w:sz w:val="21"/>
        </w:rPr>
        <w:t>但必须同时说明精度上限。</w:t>
      </w:r>
      <w:r>
        <w:rPr>
          <w:rFonts w:ascii="Times New Roman" w:hAnsi="Times New Roman" w:eastAsia="宋体"/>
          <w:b w:val="0"/>
          <w:i w:val="0"/>
          <w:sz w:val="21"/>
        </w:rPr>
        <w:t xml:space="preserve"> 学生版 512 000 单元是硬约束。按风轮直径 126 m 估算，叶片弦长仅 3~4.7 m，若要像样的边界层至少需要 500 万单元以上。因此当前算例的定位是"流程正确、物理形态可信"，</w:t>
      </w:r>
      <w:r>
        <w:rPr>
          <w:rFonts w:ascii="Times New Roman" w:hAnsi="Times New Roman" w:eastAsia="宋体"/>
          <w:b/>
          <w:i w:val="0"/>
          <w:sz w:val="21"/>
        </w:rPr>
        <w:t>不能作为定量基准</w:t>
      </w:r>
      <w:r>
        <w:rPr>
          <w:rFonts w:ascii="Times New Roman" w:hAnsi="Times New Roman" w:eastAsia="宋体"/>
          <w:b w:val="0"/>
          <w:i w:val="0"/>
          <w:sz w:val="21"/>
        </w:rPr>
        <w:t>。它的正确用途是：先证明流程与后处理链可用，再在授权允许的范围内选择代表性工况做局部加密与网格无关性研究。</w:t>
      </w:r>
    </w:p>
    <w:p>
      <w:pPr>
        <w:spacing w:after="100"/>
        <w:ind w:firstLine="0"/>
      </w:pPr>
      <w:r>
        <w:rPr>
          <w:rFonts w:ascii="Times New Roman" w:hAnsi="Times New Roman" w:eastAsia="宋体"/>
          <w:b w:val="0"/>
          <w:i w:val="0"/>
          <w:sz w:val="21"/>
        </w:rPr>
        <w:t>此外，该算例的几何尺度与工况口径（旋转域原点、入口风速）尚需与解析模型严格对齐，之后才能做同工况对比。这一项已列入下一步计划。</w:t>
      </w:r>
    </w:p>
    <w:p>
      <w:pPr>
        <w:pStyle w:val="Heading2"/>
      </w:pPr>
      <w:r>
        <w:rPr>
          <w:rFonts w:ascii="Times New Roman" w:hAnsi="Times New Roman" w:eastAsia="宋体"/>
          <w:b/>
          <w:i w:val="0"/>
          <w:sz w:val="27"/>
        </w:rPr>
        <w:t>八、边界与不足</w:t>
      </w:r>
    </w:p>
    <w:p>
      <w:pPr>
        <w:spacing w:after="100"/>
        <w:ind w:firstLine="0"/>
      </w:pPr>
      <w:r>
        <w:rPr>
          <w:rFonts w:ascii="Times New Roman" w:hAnsi="Times New Roman" w:eastAsia="宋体"/>
          <w:b w:val="0"/>
          <w:i w:val="0"/>
          <w:sz w:val="21"/>
        </w:rPr>
        <w:t>本工作的核心局限是</w:t>
      </w:r>
      <w:r>
        <w:rPr>
          <w:rFonts w:ascii="Times New Roman" w:hAnsi="Times New Roman" w:eastAsia="宋体"/>
          <w:b/>
          <w:i w:val="0"/>
          <w:sz w:val="21"/>
        </w:rPr>
        <w:t>解析模型的精度天花板</w:t>
      </w:r>
      <w:r>
        <w:rPr>
          <w:rFonts w:ascii="Times New Roman" w:hAnsi="Times New Roman" w:eastAsia="宋体"/>
          <w:b w:val="0"/>
          <w:i w:val="0"/>
          <w:sz w:val="21"/>
        </w:rPr>
        <w:t>，且这个天花板无法通过增加样本数弥补。按层拆分如下。</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层次</w:t>
            </w:r>
          </w:p>
        </w:tc>
        <w:tc>
          <w:tcPr>
            <w:tcW w:type="dxa" w:w="2353"/>
            <w:shd w:val="clear" w:color="auto" w:fill="DCE6F1"/>
          </w:tcPr>
          <w:p>
            <w:pPr>
              <w:spacing w:after="20"/>
            </w:pPr>
            <w:r>
              <w:rPr>
                <w:rFonts w:ascii="Times New Roman" w:hAnsi="Times New Roman" w:eastAsia="宋体"/>
                <w:b/>
                <w:i w:val="0"/>
                <w:sz w:val="18"/>
              </w:rPr>
              <w:t>内容</w:t>
            </w:r>
          </w:p>
        </w:tc>
        <w:tc>
          <w:tcPr>
            <w:tcW w:type="dxa" w:w="2353"/>
            <w:shd w:val="clear" w:color="auto" w:fill="DCE6F1"/>
          </w:tcPr>
          <w:p>
            <w:pPr>
              <w:spacing w:after="20"/>
            </w:pPr>
            <w:r>
              <w:rPr>
                <w:rFonts w:ascii="Times New Roman" w:hAnsi="Times New Roman" w:eastAsia="宋体"/>
                <w:b/>
                <w:i w:val="0"/>
                <w:sz w:val="18"/>
              </w:rPr>
              <w:t>定量结论</w:t>
            </w:r>
          </w:p>
        </w:tc>
        <w:tc>
          <w:tcPr>
            <w:tcW w:type="dxa" w:w="2353"/>
            <w:shd w:val="clear" w:color="auto" w:fill="DCE6F1"/>
          </w:tcPr>
          <w:p>
            <w:pPr>
              <w:spacing w:after="20"/>
            </w:pPr>
            <w:r>
              <w:rPr>
                <w:rFonts w:ascii="Times New Roman" w:hAnsi="Times New Roman" w:eastAsia="宋体"/>
                <w:b/>
                <w:i w:val="0"/>
                <w:sz w:val="18"/>
              </w:rPr>
              <w:t>是否有独立依据</w:t>
            </w:r>
          </w:p>
        </w:tc>
      </w:tr>
      <w:tr>
        <w:tc>
          <w:tcPr>
            <w:tcW w:type="dxa" w:w="2353"/>
          </w:tcPr>
          <w:p>
            <w:pPr>
              <w:spacing w:after="20"/>
            </w:pPr>
            <w:r>
              <w:rPr>
                <w:rFonts w:ascii="Times New Roman" w:hAnsi="Times New Roman" w:eastAsia="宋体"/>
                <w:b w:val="0"/>
                <w:i w:val="0"/>
                <w:sz w:val="18"/>
              </w:rPr>
              <w:t>单机气动</w:t>
            </w:r>
          </w:p>
        </w:tc>
        <w:tc>
          <w:tcPr>
            <w:tcW w:type="dxa" w:w="2353"/>
          </w:tcPr>
          <w:p>
            <w:pPr>
              <w:spacing w:after="20"/>
            </w:pPr>
            <m:oMath>
              <m:sSub>
                <m:e>
                  <m:r>
                    <m:t>C</m:t>
                  </m:r>
                </m:e>
                <m:sub>
                  <m:r>
                    <m:t>P</m:t>
                  </m:r>
                </m:sub>
              </m:sSub>
              <m:r>
                <m:t>(λ,β)</m:t>
              </m:r>
            </m:oMath>
          </w:p>
        </w:tc>
        <w:tc>
          <w:tcPr>
            <w:tcW w:type="dxa" w:w="2353"/>
          </w:tcPr>
          <w:p>
            <w:pPr>
              <w:spacing w:after="20"/>
            </w:pPr>
            <w:r>
              <w:rPr>
                <w:rFonts w:ascii="Times New Roman" w:hAnsi="Times New Roman" w:eastAsia="宋体"/>
                <w:b w:val="0"/>
                <w:i w:val="0"/>
                <w:sz w:val="18"/>
              </w:rPr>
              <w:t>已按官方曲线标定，额定以下偏差 ≤1.3%</w:t>
            </w:r>
          </w:p>
        </w:tc>
        <w:tc>
          <w:tcPr>
            <w:tcW w:type="dxa" w:w="2353"/>
          </w:tcPr>
          <w:p>
            <w:pPr>
              <w:spacing w:after="20"/>
            </w:pPr>
            <w:r>
              <w:rPr>
                <w:rFonts w:ascii="Times New Roman" w:hAnsi="Times New Roman" w:eastAsia="宋体"/>
                <w:b w:val="0"/>
                <w:i w:val="0"/>
                <w:sz w:val="18"/>
              </w:rPr>
              <w:t>有（NREL 官方功率表）</w:t>
            </w:r>
          </w:p>
        </w:tc>
      </w:tr>
      <w:tr>
        <w:tc>
          <w:tcPr>
            <w:tcW w:type="dxa" w:w="2353"/>
          </w:tcPr>
          <w:p>
            <w:pPr>
              <w:spacing w:after="20"/>
            </w:pPr>
            <w:r>
              <w:rPr>
                <w:rFonts w:ascii="Times New Roman" w:hAnsi="Times New Roman" w:eastAsia="宋体"/>
                <w:b w:val="0"/>
                <w:i w:val="0"/>
                <w:sz w:val="18"/>
              </w:rPr>
              <w:t>单机推力</w:t>
            </w:r>
          </w:p>
        </w:tc>
        <w:tc>
          <w:tcPr>
            <w:tcW w:type="dxa" w:w="2353"/>
          </w:tcPr>
          <w:p>
            <w:pPr>
              <w:spacing w:after="20"/>
            </w:pPr>
            <m:oMath>
              <m:sSub>
                <m:e>
                  <m:r>
                    <m:t>C</m:t>
                  </m:r>
                </m:e>
                <m:sub>
                  <m:r>
                    <m:t>T</m:t>
                  </m:r>
                </m:sub>
              </m:sSub>
            </m:oMath>
          </w:p>
        </w:tc>
        <w:tc>
          <w:tcPr>
            <w:tcW w:type="dxa" w:w="2353"/>
          </w:tcPr>
          <w:p>
            <w:pPr>
              <w:spacing w:after="20"/>
            </w:pPr>
            <w:r>
              <w:rPr>
                <w:rFonts w:ascii="Times New Roman" w:hAnsi="Times New Roman" w:eastAsia="宋体"/>
                <w:b w:val="0"/>
                <w:i w:val="0"/>
                <w:sz w:val="18"/>
              </w:rPr>
              <w:t>与官方表差 0.09%</w:t>
            </w:r>
          </w:p>
        </w:tc>
        <w:tc>
          <w:tcPr>
            <w:tcW w:type="dxa" w:w="2353"/>
          </w:tcPr>
          <w:p>
            <w:pPr>
              <w:spacing w:after="20"/>
            </w:pPr>
            <w:r>
              <w:rPr>
                <w:rFonts w:ascii="Times New Roman" w:hAnsi="Times New Roman" w:eastAsia="宋体"/>
                <w:b w:val="0"/>
                <w:i w:val="0"/>
                <w:sz w:val="18"/>
              </w:rPr>
              <w:t>有</w:t>
            </w:r>
          </w:p>
        </w:tc>
      </w:tr>
      <w:tr>
        <w:tc>
          <w:tcPr>
            <w:tcW w:type="dxa" w:w="2353"/>
          </w:tcPr>
          <w:p>
            <w:pPr>
              <w:spacing w:after="20"/>
            </w:pPr>
            <w:r>
              <w:rPr>
                <w:rFonts w:ascii="Times New Roman" w:hAnsi="Times New Roman" w:eastAsia="宋体"/>
                <w:b w:val="0"/>
                <w:i w:val="0"/>
                <w:sz w:val="18"/>
              </w:rPr>
              <w:t>桨距维度</w:t>
            </w:r>
          </w:p>
        </w:tc>
        <w:tc>
          <w:tcPr>
            <w:tcW w:type="dxa" w:w="2353"/>
          </w:tcPr>
          <w:p>
            <w:pPr>
              <w:spacing w:after="20"/>
            </w:pPr>
            <m:oMath>
              <m:sSub>
                <m:e>
                  <m:r>
                    <m:t>C</m:t>
                  </m:r>
                </m:e>
                <m:sub>
                  <m:r>
                    <m:t>P</m:t>
                  </m:r>
                </m:sub>
              </m:sSub>
            </m:oMath>
            <w:r>
              <w:rPr>
                <w:rFonts w:ascii="Times New Roman" w:hAnsi="Times New Roman" w:eastAsia="宋体"/>
                <w:b w:val="0"/>
                <w:i w:val="0"/>
                <w:sz w:val="18"/>
              </w:rPr>
              <w:t xml:space="preserve"> 随 </w:t>
            </w:r>
            <m:oMath>
              <m:r>
                <m:t>β</m:t>
              </m:r>
            </m:oMath>
            <w:r>
              <w:rPr>
                <w:rFonts w:ascii="Times New Roman" w:hAnsi="Times New Roman" w:eastAsia="宋体"/>
                <w:b w:val="0"/>
                <w:i w:val="0"/>
                <w:sz w:val="18"/>
              </w:rPr>
              <w:t xml:space="preserve"> 的形状</w:t>
            </w:r>
          </w:p>
        </w:tc>
        <w:tc>
          <w:tcPr>
            <w:tcW w:type="dxa" w:w="2353"/>
          </w:tcPr>
          <w:p>
            <w:pPr>
              <w:spacing w:after="20"/>
            </w:pPr>
            <w:r>
              <w:rPr>
                <w:rFonts w:ascii="Times New Roman" w:hAnsi="Times New Roman" w:eastAsia="宋体"/>
                <w:b w:val="0"/>
                <w:i w:val="0"/>
                <w:sz w:val="18"/>
              </w:rPr>
              <w:t>未验证</w:t>
            </w:r>
          </w:p>
        </w:tc>
        <w:tc>
          <w:tcPr>
            <w:tcW w:type="dxa" w:w="2353"/>
          </w:tcPr>
          <w:p>
            <w:pPr>
              <w:spacing w:after="20"/>
            </w:pPr>
            <w:r>
              <w:rPr>
                <w:rFonts w:ascii="Times New Roman" w:hAnsi="Times New Roman" w:eastAsia="宋体"/>
                <w:b w:val="0"/>
                <w:i w:val="0"/>
                <w:sz w:val="18"/>
              </w:rPr>
              <w:t>无</w:t>
            </w:r>
          </w:p>
        </w:tc>
      </w:tr>
      <w:tr>
        <w:tc>
          <w:tcPr>
            <w:tcW w:type="dxa" w:w="2353"/>
          </w:tcPr>
          <w:p>
            <w:pPr>
              <w:spacing w:after="20"/>
            </w:pPr>
            <w:r>
              <w:rPr>
                <w:rFonts w:ascii="Times New Roman" w:hAnsi="Times New Roman" w:eastAsia="宋体"/>
                <w:b w:val="0"/>
                <w:i w:val="0"/>
                <w:sz w:val="18"/>
              </w:rPr>
              <w:t>尾流模型</w:t>
            </w:r>
          </w:p>
        </w:tc>
        <w:tc>
          <w:tcPr>
            <w:tcW w:type="dxa" w:w="2353"/>
          </w:tcPr>
          <w:p>
            <w:pPr>
              <w:spacing w:after="20"/>
            </w:pPr>
            <w:r>
              <w:rPr>
                <w:rFonts w:ascii="Times New Roman" w:hAnsi="Times New Roman" w:eastAsia="宋体"/>
                <w:b w:val="0"/>
                <w:i w:val="0"/>
                <w:sz w:val="18"/>
              </w:rPr>
              <w:t>GCH 解析尾流</w:t>
            </w:r>
          </w:p>
        </w:tc>
        <w:tc>
          <w:tcPr>
            <w:tcW w:type="dxa" w:w="2353"/>
          </w:tcPr>
          <w:p>
            <w:pPr>
              <w:spacing w:after="20"/>
            </w:pPr>
            <w:r>
              <w:rPr>
                <w:rFonts w:ascii="Times New Roman" w:hAnsi="Times New Roman" w:eastAsia="宋体"/>
                <w:b w:val="0"/>
                <w:i w:val="0"/>
                <w:sz w:val="18"/>
              </w:rPr>
              <w:t>3 倍直径密排属其边界工况</w:t>
            </w:r>
          </w:p>
        </w:tc>
        <w:tc>
          <w:tcPr>
            <w:tcW w:type="dxa" w:w="2353"/>
          </w:tcPr>
          <w:p>
            <w:pPr>
              <w:spacing w:after="20"/>
            </w:pPr>
            <w:r>
              <w:rPr>
                <w:rFonts w:ascii="Times New Roman" w:hAnsi="Times New Roman" w:eastAsia="宋体"/>
                <w:b w:val="0"/>
                <w:i w:val="0"/>
                <w:sz w:val="18"/>
              </w:rPr>
              <w:t>无</w:t>
            </w:r>
          </w:p>
        </w:tc>
      </w:tr>
      <w:tr>
        <w:tc>
          <w:tcPr>
            <w:tcW w:type="dxa" w:w="2353"/>
          </w:tcPr>
          <w:p>
            <w:pPr>
              <w:spacing w:after="20"/>
            </w:pPr>
            <w:r>
              <w:rPr>
                <w:rFonts w:ascii="Times New Roman" w:hAnsi="Times New Roman" w:eastAsia="宋体"/>
                <w:b w:val="0"/>
                <w:i w:val="0"/>
                <w:sz w:val="18"/>
              </w:rPr>
              <w:t>代理模型</w:t>
            </w:r>
          </w:p>
        </w:tc>
        <w:tc>
          <w:tcPr>
            <w:tcW w:type="dxa" w:w="2353"/>
          </w:tcPr>
          <w:p>
            <w:pPr>
              <w:spacing w:after="20"/>
            </w:pPr>
            <w:r>
              <w:rPr>
                <w:rFonts w:ascii="Times New Roman" w:hAnsi="Times New Roman" w:eastAsia="宋体"/>
                <w:b w:val="0"/>
                <w:i w:val="0"/>
                <w:sz w:val="18"/>
              </w:rPr>
              <w:t>PINN</w:t>
            </w:r>
          </w:p>
        </w:tc>
        <w:tc>
          <w:tcPr>
            <w:tcW w:type="dxa" w:w="2353"/>
          </w:tcPr>
          <w:p>
            <w:pPr>
              <w:spacing w:after="20"/>
            </w:pPr>
            <w:r>
              <w:rPr>
                <w:rFonts w:ascii="Times New Roman" w:hAnsi="Times New Roman" w:eastAsia="宋体"/>
                <w:b w:val="0"/>
                <w:i w:val="0"/>
                <w:sz w:val="18"/>
              </w:rPr>
              <w:t>50.9 kW（1.02% 额定）</w:t>
            </w:r>
          </w:p>
        </w:tc>
        <w:tc>
          <w:tcPr>
            <w:tcW w:type="dxa" w:w="2353"/>
          </w:tcPr>
          <w:p>
            <w:pPr>
              <w:spacing w:after="20"/>
            </w:pPr>
            <w:r>
              <w:rPr>
                <w:rFonts w:ascii="Times New Roman" w:hAnsi="Times New Roman" w:eastAsia="宋体"/>
                <w:b w:val="0"/>
                <w:i w:val="0"/>
                <w:sz w:val="18"/>
              </w:rPr>
              <w:t>仅对 FLORIS 自证</w:t>
            </w:r>
          </w:p>
        </w:tc>
      </w:tr>
    </w:tbl>
    <w:p>
      <w:pPr>
        <w:spacing w:after="40"/>
      </w:pPr>
    </w:p>
    <w:p>
      <w:pPr>
        <w:spacing w:after="100"/>
        <w:ind w:firstLine="0"/>
      </w:pPr>
      <w:r>
        <w:rPr>
          <w:rFonts w:ascii="Times New Roman" w:hAnsi="Times New Roman" w:eastAsia="宋体"/>
          <w:b w:val="0"/>
          <w:i w:val="0"/>
          <w:sz w:val="21"/>
        </w:rPr>
        <w:t>由此得到一句必须如实写下的判断：</w:t>
      </w:r>
      <w:r>
        <w:rPr>
          <w:rFonts w:ascii="Times New Roman" w:hAnsi="Times New Roman" w:eastAsia="宋体"/>
          <w:b/>
          <w:i w:val="0"/>
          <w:sz w:val="21"/>
        </w:rPr>
        <w:t>数据的逻辑闭环成立，物理校验的闭环不成立</w:t>
      </w:r>
      <w:r>
        <w:rPr>
          <w:rFonts w:ascii="Times New Roman" w:hAnsi="Times New Roman" w:eastAsia="宋体"/>
          <w:b w:val="0"/>
          <w:i w:val="0"/>
          <w:sz w:val="21"/>
        </w:rPr>
        <w:t>。前两层有第三方（NREL 官方数据）作锚点，后三层目前只有内部自洽，尚缺 CFD 或实测对标。</w:t>
      </w:r>
    </w:p>
    <w:p>
      <w:pPr>
        <w:spacing w:after="100"/>
        <w:ind w:firstLine="0"/>
      </w:pPr>
      <w:r>
        <w:rPr>
          <w:rFonts w:ascii="Times New Roman" w:hAnsi="Times New Roman" w:eastAsia="宋体"/>
          <w:b w:val="0"/>
          <w:i w:val="0"/>
          <w:sz w:val="21"/>
        </w:rPr>
        <w:t>其他限制：布局固定为三机 3 倍直径链式、机型固定为 NREL 5MW、风速覆盖 5–12 m/s（不含切入过渡区与切出区）、准静态（不含尾流传播延迟）、不做地形与大气分层。</w:t>
      </w:r>
    </w:p>
    <w:p>
      <w:pPr>
        <w:pStyle w:val="Heading2"/>
      </w:pPr>
      <w:r>
        <w:rPr>
          <w:rFonts w:ascii="Times New Roman" w:hAnsi="Times New Roman" w:eastAsia="宋体"/>
          <w:b/>
          <w:i w:val="0"/>
          <w:sz w:val="27"/>
        </w:rPr>
        <w:t>九、下一步计划</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CE6F1"/>
          </w:tcPr>
          <w:p>
            <w:pPr>
              <w:spacing w:after="20"/>
            </w:pPr>
            <w:r>
              <w:rPr>
                <w:rFonts w:ascii="Times New Roman" w:hAnsi="Times New Roman" w:eastAsia="宋体"/>
                <w:b/>
                <w:i w:val="0"/>
                <w:sz w:val="18"/>
              </w:rPr>
              <w:t>优先级</w:t>
            </w:r>
          </w:p>
        </w:tc>
        <w:tc>
          <w:tcPr>
            <w:tcW w:type="dxa" w:w="2353"/>
            <w:shd w:val="clear" w:color="auto" w:fill="DCE6F1"/>
          </w:tcPr>
          <w:p>
            <w:pPr>
              <w:spacing w:after="20"/>
            </w:pPr>
            <w:r>
              <w:rPr>
                <w:rFonts w:ascii="Times New Roman" w:hAnsi="Times New Roman" w:eastAsia="宋体"/>
                <w:b/>
                <w:i w:val="0"/>
                <w:sz w:val="18"/>
              </w:rPr>
              <w:t>事项</w:t>
            </w:r>
          </w:p>
        </w:tc>
        <w:tc>
          <w:tcPr>
            <w:tcW w:type="dxa" w:w="2353"/>
            <w:shd w:val="clear" w:color="auto" w:fill="DCE6F1"/>
          </w:tcPr>
          <w:p>
            <w:pPr>
              <w:spacing w:after="20"/>
            </w:pPr>
            <w:r>
              <w:rPr>
                <w:rFonts w:ascii="Times New Roman" w:hAnsi="Times New Roman" w:eastAsia="宋体"/>
                <w:b/>
                <w:i w:val="0"/>
                <w:sz w:val="18"/>
              </w:rPr>
              <w:t>解决什么问题</w:t>
            </w:r>
          </w:p>
        </w:tc>
        <w:tc>
          <w:tcPr>
            <w:tcW w:type="dxa" w:w="2353"/>
            <w:shd w:val="clear" w:color="auto" w:fill="DCE6F1"/>
          </w:tcPr>
          <w:p>
            <w:pPr>
              <w:spacing w:after="20"/>
            </w:pPr>
            <w:r>
              <w:rPr>
                <w:rFonts w:ascii="Times New Roman" w:hAnsi="Times New Roman" w:eastAsia="宋体"/>
                <w:b/>
                <w:i w:val="0"/>
                <w:sz w:val="18"/>
              </w:rPr>
              <w:t>成本</w:t>
            </w:r>
          </w:p>
        </w:tc>
      </w:tr>
      <w:tr>
        <w:tc>
          <w:tcPr>
            <w:tcW w:type="dxa" w:w="2353"/>
          </w:tcPr>
          <w:p>
            <w:pPr>
              <w:spacing w:after="20"/>
            </w:pPr>
            <w:r>
              <w:rPr>
                <w:rFonts w:ascii="Times New Roman" w:hAnsi="Times New Roman" w:eastAsia="宋体"/>
                <w:b w:val="0"/>
                <w:i w:val="0"/>
                <w:sz w:val="18"/>
              </w:rPr>
              <w:t>1</w:t>
            </w:r>
          </w:p>
        </w:tc>
        <w:tc>
          <w:tcPr>
            <w:tcW w:type="dxa" w:w="2353"/>
          </w:tcPr>
          <w:p>
            <w:pPr>
              <w:spacing w:after="20"/>
            </w:pPr>
            <w:r>
              <w:rPr>
                <w:rFonts w:ascii="Times New Roman" w:hAnsi="Times New Roman" w:eastAsia="宋体"/>
                <w:b w:val="0"/>
                <w:i w:val="0"/>
                <w:sz w:val="18"/>
              </w:rPr>
              <w:t xml:space="preserve">Fluent 单机锚点：在同一 </w:t>
            </w:r>
            <m:oMath>
              <m:d>
                <m:dPr>
                  <m:sepChr m:val=","/>
                </m:dPr>
                <m:e>
                  <m:r>
                    <m:t>U</m:t>
                  </m:r>
                </m:e>
                <m:e>
                  <m:r>
                    <m:t>λ</m:t>
                  </m:r>
                </m:e>
                <m:e>
                  <m:r>
                    <m:t>β</m:t>
                  </m:r>
                </m:e>
              </m:d>
            </m:oMath>
            <w:r>
              <w:rPr>
                <w:rFonts w:ascii="Times New Roman" w:hAnsi="Times New Roman" w:eastAsia="宋体"/>
                <w:b w:val="0"/>
                <w:i w:val="0"/>
                <w:sz w:val="18"/>
              </w:rPr>
              <w:t xml:space="preserve"> 下对比盘面风速与功率</w:t>
            </w:r>
          </w:p>
        </w:tc>
        <w:tc>
          <w:tcPr>
            <w:tcW w:type="dxa" w:w="2353"/>
          </w:tcPr>
          <w:p>
            <w:pPr>
              <w:spacing w:after="20"/>
            </w:pPr>
            <w:r>
              <w:rPr>
                <w:rFonts w:ascii="Times New Roman" w:hAnsi="Times New Roman" w:eastAsia="宋体"/>
                <w:b w:val="0"/>
                <w:i w:val="0"/>
                <w:sz w:val="18"/>
              </w:rPr>
              <w:t>唯一"非自证"的物理校验</w:t>
            </w:r>
          </w:p>
        </w:tc>
        <w:tc>
          <w:tcPr>
            <w:tcW w:type="dxa" w:w="2353"/>
          </w:tcPr>
          <w:p>
            <w:pPr>
              <w:spacing w:after="20"/>
            </w:pPr>
            <w:r>
              <w:rPr>
                <w:rFonts w:ascii="Times New Roman" w:hAnsi="Times New Roman" w:eastAsia="宋体"/>
                <w:b w:val="0"/>
                <w:i w:val="0"/>
                <w:sz w:val="18"/>
              </w:rPr>
              <w:t>半天</w:t>
            </w:r>
          </w:p>
        </w:tc>
      </w:tr>
      <w:tr>
        <w:tc>
          <w:tcPr>
            <w:tcW w:type="dxa" w:w="2353"/>
          </w:tcPr>
          <w:p>
            <w:pPr>
              <w:spacing w:after="20"/>
            </w:pPr>
            <w:r>
              <w:rPr>
                <w:rFonts w:ascii="Times New Roman" w:hAnsi="Times New Roman" w:eastAsia="宋体"/>
                <w:b w:val="0"/>
                <w:i w:val="0"/>
                <w:sz w:val="18"/>
              </w:rPr>
              <w:t>2</w:t>
            </w:r>
          </w:p>
        </w:tc>
        <w:tc>
          <w:tcPr>
            <w:tcW w:type="dxa" w:w="2353"/>
          </w:tcPr>
          <w:p>
            <w:pPr>
              <w:spacing w:after="20"/>
            </w:pPr>
            <w:r>
              <w:rPr>
                <w:rFonts w:ascii="Times New Roman" w:hAnsi="Times New Roman" w:eastAsia="宋体"/>
                <w:b w:val="0"/>
                <w:i w:val="0"/>
                <w:sz w:val="18"/>
              </w:rPr>
              <w:t>风速网格回到 0.5 m/s</w:t>
            </w:r>
          </w:p>
        </w:tc>
        <w:tc>
          <w:tcPr>
            <w:tcW w:type="dxa" w:w="2353"/>
          </w:tcPr>
          <w:p>
            <w:pPr>
              <w:spacing w:after="20"/>
            </w:pPr>
            <w:r>
              <w:rPr>
                <w:rFonts w:ascii="Times New Roman" w:hAnsi="Times New Roman" w:eastAsia="宋体"/>
                <w:b w:val="0"/>
                <w:i w:val="0"/>
                <w:sz w:val="18"/>
              </w:rPr>
              <w:t>风速插值偏差由 8.3% 降到 4% 量级</w:t>
            </w:r>
          </w:p>
        </w:tc>
        <w:tc>
          <w:tcPr>
            <w:tcW w:type="dxa" w:w="2353"/>
          </w:tcPr>
          <w:p>
            <w:pPr>
              <w:spacing w:after="20"/>
            </w:pPr>
            <w:r>
              <w:rPr>
                <w:rFonts w:ascii="Times New Roman" w:hAnsi="Times New Roman" w:eastAsia="宋体"/>
                <w:b w:val="0"/>
                <w:i w:val="0"/>
                <w:sz w:val="18"/>
              </w:rPr>
              <w:t>1.5 小时</w:t>
            </w:r>
          </w:p>
        </w:tc>
      </w:tr>
      <w:tr>
        <w:tc>
          <w:tcPr>
            <w:tcW w:type="dxa" w:w="2353"/>
          </w:tcPr>
          <w:p>
            <w:pPr>
              <w:spacing w:after="20"/>
            </w:pPr>
            <w:r>
              <w:rPr>
                <w:rFonts w:ascii="Times New Roman" w:hAnsi="Times New Roman" w:eastAsia="宋体"/>
                <w:b w:val="0"/>
                <w:i w:val="0"/>
                <w:sz w:val="18"/>
              </w:rPr>
              <w:t>3</w:t>
            </w:r>
          </w:p>
        </w:tc>
        <w:tc>
          <w:tcPr>
            <w:tcW w:type="dxa" w:w="2353"/>
          </w:tcPr>
          <w:p>
            <w:pPr>
              <w:spacing w:after="20"/>
            </w:pPr>
            <w:r>
              <w:rPr>
                <w:rFonts w:ascii="Times New Roman" w:hAnsi="Times New Roman" w:eastAsia="宋体"/>
                <w:b w:val="0"/>
                <w:i w:val="0"/>
                <w:sz w:val="18"/>
              </w:rPr>
              <w:t>功率下限 + 读出层改 softplus</w:t>
            </w:r>
          </w:p>
        </w:tc>
        <w:tc>
          <w:tcPr>
            <w:tcW w:type="dxa" w:w="2353"/>
          </w:tcPr>
          <w:p>
            <w:pPr>
              <w:spacing w:after="20"/>
            </w:pPr>
            <w:r>
              <w:rPr>
                <w:rFonts w:ascii="Times New Roman" w:hAnsi="Times New Roman" w:eastAsia="宋体"/>
                <w:b w:val="0"/>
                <w:i w:val="0"/>
                <w:sz w:val="18"/>
              </w:rPr>
              <w:t>消除 445 个负输出</w:t>
            </w:r>
          </w:p>
        </w:tc>
        <w:tc>
          <w:tcPr>
            <w:tcW w:type="dxa" w:w="2353"/>
          </w:tcPr>
          <w:p>
            <w:pPr>
              <w:spacing w:after="20"/>
            </w:pPr>
            <w:r>
              <w:rPr>
                <w:rFonts w:ascii="Times New Roman" w:hAnsi="Times New Roman" w:eastAsia="宋体"/>
                <w:b w:val="0"/>
                <w:i w:val="0"/>
                <w:sz w:val="18"/>
              </w:rPr>
              <w:t>1.5 小时</w:t>
            </w:r>
          </w:p>
        </w:tc>
      </w:tr>
      <w:tr>
        <w:tc>
          <w:tcPr>
            <w:tcW w:type="dxa" w:w="2353"/>
          </w:tcPr>
          <w:p>
            <w:pPr>
              <w:spacing w:after="20"/>
            </w:pPr>
            <w:r>
              <w:rPr>
                <w:rFonts w:ascii="Times New Roman" w:hAnsi="Times New Roman" w:eastAsia="宋体"/>
                <w:b w:val="0"/>
                <w:i w:val="0"/>
                <w:sz w:val="18"/>
              </w:rPr>
              <w:t>4</w:t>
            </w:r>
          </w:p>
        </w:tc>
        <w:tc>
          <w:tcPr>
            <w:tcW w:type="dxa" w:w="2353"/>
          </w:tcPr>
          <w:p>
            <w:pPr>
              <w:spacing w:after="20"/>
            </w:pPr>
            <w:r>
              <w:rPr>
                <w:rFonts w:ascii="Times New Roman" w:hAnsi="Times New Roman" w:eastAsia="宋体"/>
                <w:b w:val="0"/>
                <w:i w:val="0"/>
                <w:sz w:val="18"/>
              </w:rPr>
              <w:t>更换随机种子复训</w:t>
            </w:r>
          </w:p>
        </w:tc>
        <w:tc>
          <w:tcPr>
            <w:tcW w:type="dxa" w:w="2353"/>
          </w:tcPr>
          <w:p>
            <w:pPr>
              <w:spacing w:after="20"/>
            </w:pPr>
            <w:r>
              <w:rPr>
                <w:rFonts w:ascii="Times New Roman" w:hAnsi="Times New Roman" w:eastAsia="宋体"/>
                <w:b w:val="0"/>
                <w:i w:val="0"/>
                <w:sz w:val="18"/>
              </w:rPr>
              <w:t>排除"用测试集挑选口径"的质疑</w:t>
            </w:r>
          </w:p>
        </w:tc>
        <w:tc>
          <w:tcPr>
            <w:tcW w:type="dxa" w:w="2353"/>
          </w:tcPr>
          <w:p>
            <w:pPr>
              <w:spacing w:after="20"/>
            </w:pPr>
            <w:r>
              <w:rPr>
                <w:rFonts w:ascii="Times New Roman" w:hAnsi="Times New Roman" w:eastAsia="宋体"/>
                <w:b w:val="0"/>
                <w:i w:val="0"/>
                <w:sz w:val="18"/>
              </w:rPr>
              <w:t>1 小时</w:t>
            </w:r>
          </w:p>
        </w:tc>
      </w:tr>
      <w:tr>
        <w:tc>
          <w:tcPr>
            <w:tcW w:type="dxa" w:w="2353"/>
          </w:tcPr>
          <w:p>
            <w:pPr>
              <w:spacing w:after="20"/>
            </w:pPr>
            <w:r>
              <w:rPr>
                <w:rFonts w:ascii="Times New Roman" w:hAnsi="Times New Roman" w:eastAsia="宋体"/>
                <w:b w:val="0"/>
                <w:i w:val="0"/>
                <w:sz w:val="18"/>
              </w:rPr>
              <w:t>5</w:t>
            </w:r>
          </w:p>
        </w:tc>
        <w:tc>
          <w:tcPr>
            <w:tcW w:type="dxa" w:w="2353"/>
          </w:tcPr>
          <w:p>
            <w:pPr>
              <w:spacing w:after="20"/>
            </w:pPr>
            <w:r>
              <w:rPr>
                <w:rFonts w:ascii="Times New Roman" w:hAnsi="Times New Roman" w:eastAsia="宋体"/>
                <w:b w:val="0"/>
                <w:i w:val="0"/>
                <w:sz w:val="18"/>
              </w:rPr>
              <w:t>三机 LES 或 Fluent 各一个代表性工况</w:t>
            </w:r>
          </w:p>
        </w:tc>
        <w:tc>
          <w:tcPr>
            <w:tcW w:type="dxa" w:w="2353"/>
          </w:tcPr>
          <w:p>
            <w:pPr>
              <w:spacing w:after="20"/>
            </w:pPr>
            <w:r>
              <w:rPr>
                <w:rFonts w:ascii="Times New Roman" w:hAnsi="Times New Roman" w:eastAsia="宋体"/>
                <w:b w:val="0"/>
                <w:i w:val="0"/>
                <w:sz w:val="18"/>
              </w:rPr>
              <w:t>直接校验尾流叠加</w:t>
            </w:r>
          </w:p>
        </w:tc>
        <w:tc>
          <w:tcPr>
            <w:tcW w:type="dxa" w:w="2353"/>
          </w:tcPr>
          <w:p>
            <w:pPr>
              <w:spacing w:after="20"/>
            </w:pPr>
            <w:r>
              <w:rPr>
                <w:rFonts w:ascii="Times New Roman" w:hAnsi="Times New Roman" w:eastAsia="宋体"/>
                <w:b w:val="0"/>
                <w:i w:val="0"/>
                <w:sz w:val="18"/>
              </w:rPr>
              <w:t>数天</w:t>
            </w:r>
          </w:p>
        </w:tc>
      </w:tr>
    </w:tbl>
    <w:p>
      <w:pPr>
        <w:spacing w:after="40"/>
      </w:pPr>
    </w:p>
    <w:p>
      <w:pPr>
        <w:pStyle w:val="Heading2"/>
      </w:pPr>
      <w:r>
        <w:rPr>
          <w:rFonts w:ascii="Times New Roman" w:hAnsi="Times New Roman" w:eastAsia="宋体"/>
          <w:b/>
          <w:i w:val="0"/>
          <w:sz w:val="27"/>
        </w:rPr>
        <w:t>附录 A  运行命令</w:t>
      </w:r>
    </w:p>
    <w:p>
      <w:pPr>
        <w:spacing w:before="40" w:after="120" w:line="240" w:lineRule="auto"/>
        <w:shd w:val="clear" w:color="auto" w:fill="F5F5F5"/>
        <w:ind w:left="170"/>
      </w:pPr>
      <w:r>
        <w:rPr>
          <w:rFonts w:ascii="Consolas" w:hAnsi="Consolas" w:eastAsia="Consolas"/>
          <w:color w:val="333333"/>
          <w:sz w:val="17"/>
        </w:rPr>
        <w:t>cd D:\Users\Yb060\Desktop\dachuang_project</w:t>
        <w:br/>
      </w:r>
      <w:r>
        <w:rPr>
          <w:rFonts w:ascii="Consolas" w:hAnsi="Consolas" w:eastAsia="Consolas"/>
          <w:color w:val="333333"/>
          <w:sz w:val="17"/>
        </w:rPr>
        <w:t xml:space="preserve"> </w:t>
        <w:br/>
      </w:r>
      <w:r>
        <w:rPr>
          <w:rFonts w:ascii="Consolas" w:hAnsi="Consolas" w:eastAsia="Consolas"/>
          <w:color w:val="333333"/>
          <w:sz w:val="17"/>
        </w:rPr>
        <w:t># 1. 构建 Cp/Ct 曲面与多维功率/推力表（含标定）</w:t>
        <w:br/>
      </w:r>
      <w:r>
        <w:rPr>
          <w:rFonts w:ascii="Consolas" w:hAnsi="Consolas" w:eastAsia="Consolas"/>
          <w:color w:val="333333"/>
          <w:sz w:val="17"/>
        </w:rPr>
        <w:t>.\.venv\Scripts\python.exe pinn_wind_data\build_table.py</w:t>
        <w:br/>
      </w:r>
      <w:r>
        <w:rPr>
          <w:rFonts w:ascii="Consolas" w:hAnsi="Consolas" w:eastAsia="Consolas"/>
          <w:color w:val="333333"/>
          <w:sz w:val="17"/>
        </w:rPr>
        <w:t xml:space="preserve"> </w:t>
        <w:br/>
      </w:r>
      <w:r>
        <w:rPr>
          <w:rFonts w:ascii="Consolas" w:hAnsi="Consolas" w:eastAsia="Consolas"/>
          <w:color w:val="333333"/>
          <w:sz w:val="17"/>
        </w:rPr>
        <w:t># 2. 生成数据（约 3 分钟）</w:t>
        <w:br/>
      </w:r>
      <w:r>
        <w:rPr>
          <w:rFonts w:ascii="Consolas" w:hAnsi="Consolas" w:eastAsia="Consolas"/>
          <w:color w:val="333333"/>
          <w:sz w:val="17"/>
        </w:rPr>
        <w:t>.\.venv\Scripts\python.exe pinn_wind_data\generate_cases.py --ws-step 1.0</w:t>
        <w:br/>
      </w:r>
      <w:r>
        <w:rPr>
          <w:rFonts w:ascii="Consolas" w:hAnsi="Consolas" w:eastAsia="Consolas"/>
          <w:color w:val="333333"/>
          <w:sz w:val="17"/>
        </w:rPr>
        <w:t xml:space="preserve"> </w:t>
        <w:br/>
      </w:r>
      <w:r>
        <w:rPr>
          <w:rFonts w:ascii="Consolas" w:hAnsi="Consolas" w:eastAsia="Consolas"/>
          <w:color w:val="333333"/>
          <w:sz w:val="17"/>
        </w:rPr>
        <w:t># 3. 数据合理性论证（15 条判据 + 出图）</w:t>
        <w:br/>
      </w:r>
      <w:r>
        <w:rPr>
          <w:rFonts w:ascii="Consolas" w:hAnsi="Consolas" w:eastAsia="Consolas"/>
          <w:color w:val="333333"/>
          <w:sz w:val="17"/>
        </w:rPr>
        <w:t>.\.venv\Scripts\python.exe pinn_wind_data\validate_cases.py</w:t>
        <w:br/>
      </w:r>
      <w:r>
        <w:rPr>
          <w:rFonts w:ascii="Consolas" w:hAnsi="Consolas" w:eastAsia="Consolas"/>
          <w:color w:val="333333"/>
          <w:sz w:val="17"/>
        </w:rPr>
        <w:t xml:space="preserve"> </w:t>
        <w:br/>
      </w:r>
      <w:r>
        <w:rPr>
          <w:rFonts w:ascii="Consolas" w:hAnsi="Consolas" w:eastAsia="Consolas"/>
          <w:color w:val="333333"/>
          <w:sz w:val="17"/>
        </w:rPr>
        <w:t># 4. 用 PINN 脚本自身的读取函数验收</w:t>
        <w:br/>
      </w:r>
      <w:r>
        <w:rPr>
          <w:rFonts w:ascii="Consolas" w:hAnsi="Consolas" w:eastAsia="Consolas"/>
          <w:color w:val="333333"/>
          <w:sz w:val="17"/>
        </w:rPr>
        <w:t>.\.venv\Scripts\python.exe pinn_wind_data\check_pinn_interface.py</w:t>
        <w:br/>
      </w:r>
      <w:r>
        <w:rPr>
          <w:rFonts w:ascii="Consolas" w:hAnsi="Consolas" w:eastAsia="Consolas"/>
          <w:color w:val="333333"/>
          <w:sz w:val="17"/>
        </w:rPr>
        <w:t xml:space="preserve"> </w:t>
        <w:br/>
      </w:r>
      <w:r>
        <w:rPr>
          <w:rFonts w:ascii="Consolas" w:hAnsi="Consolas" w:eastAsia="Consolas"/>
          <w:color w:val="333333"/>
          <w:sz w:val="17"/>
        </w:rPr>
        <w:t># 5. 响应校验（真值用 FLORIS，预测用 TF 环境）</w:t>
        <w:br/>
      </w:r>
      <w:r>
        <w:rPr>
          <w:rFonts w:ascii="Consolas" w:hAnsi="Consolas" w:eastAsia="Consolas"/>
          <w:color w:val="333333"/>
          <w:sz w:val="17"/>
        </w:rPr>
        <w:t>.\.venv\Scripts\python.exe pinn_wind_data\response_check.py truth</w:t>
        <w:br/>
      </w:r>
      <w:r>
        <w:rPr>
          <w:rFonts w:ascii="Consolas" w:hAnsi="Consolas" w:eastAsia="Consolas"/>
          <w:color w:val="333333"/>
          <w:sz w:val="17"/>
        </w:rPr>
        <w:t>pinn_wind_data\.venv-tf\Scripts\python.exe pinn_wind_data\response_check.py predict</w:t>
      </w:r>
    </w:p>
    <w:p>
      <w:pPr>
        <w:pStyle w:val="Heading2"/>
      </w:pPr>
      <w:r>
        <w:rPr>
          <w:rFonts w:ascii="Times New Roman" w:hAnsi="Times New Roman" w:eastAsia="宋体"/>
          <w:b/>
          <w:i w:val="0"/>
          <w:sz w:val="27"/>
        </w:rPr>
        <w:t>附录 B  文件索引</w:t>
      </w:r>
    </w:p>
    <w:tbl>
      <w:tblPr>
        <w:tblStyle w:val="TableGrid"/>
        <w:tblW w:type="auto" w:w="0"/>
        <w:jc w:val="center"/>
        <w:tblLook w:firstColumn="1" w:firstRow="1" w:lastColumn="0" w:lastRow="0" w:noHBand="0" w:noVBand="1" w:val="04A0"/>
      </w:tblPr>
      <w:tblGrid>
        <w:gridCol w:w="4705"/>
        <w:gridCol w:w="4705"/>
      </w:tblGrid>
      <w:tr>
        <w:tc>
          <w:tcPr>
            <w:tcW w:type="dxa" w:w="4705"/>
            <w:shd w:val="clear" w:color="auto" w:fill="DCE6F1"/>
          </w:tcPr>
          <w:p>
            <w:pPr>
              <w:spacing w:after="20"/>
            </w:pPr>
            <w:r>
              <w:rPr>
                <w:rFonts w:ascii="Times New Roman" w:hAnsi="Times New Roman" w:eastAsia="宋体"/>
                <w:b/>
                <w:i w:val="0"/>
                <w:sz w:val="18"/>
              </w:rPr>
              <w:t>路径</w:t>
            </w:r>
          </w:p>
        </w:tc>
        <w:tc>
          <w:tcPr>
            <w:tcW w:type="dxa" w:w="4705"/>
            <w:shd w:val="clear" w:color="auto" w:fill="DCE6F1"/>
          </w:tcPr>
          <w:p>
            <w:pPr>
              <w:spacing w:after="20"/>
            </w:pPr>
            <w:r>
              <w:rPr>
                <w:rFonts w:ascii="Times New Roman" w:hAnsi="Times New Roman" w:eastAsia="宋体"/>
                <w:b/>
                <w:i w:val="0"/>
                <w:sz w:val="18"/>
              </w:rPr>
              <w:t>内容</w:t>
            </w:r>
          </w:p>
        </w:tc>
      </w:tr>
      <w:tr>
        <w:tc>
          <w:tcPr>
            <w:tcW w:type="dxa" w:w="4705"/>
          </w:tcPr>
          <w:p>
            <w:pPr>
              <w:spacing w:after="20"/>
            </w:pPr>
            <w:r>
              <w:rPr>
                <w:rFonts w:ascii="Consolas" w:hAnsi="Consolas" w:eastAsia="Consolas"/>
                <w:color w:val="333333"/>
                <w:sz w:val="17"/>
              </w:rPr>
              <w:t>pinn_wind_data/out/cases_wind.csv</w:t>
            </w:r>
          </w:p>
        </w:tc>
        <w:tc>
          <w:tcPr>
            <w:tcW w:type="dxa" w:w="4705"/>
          </w:tcPr>
          <w:p>
            <w:pPr>
              <w:spacing w:after="20"/>
            </w:pPr>
            <w:r>
              <w:rPr>
                <w:rFonts w:ascii="Times New Roman" w:hAnsi="Times New Roman" w:eastAsia="宋体"/>
                <w:b w:val="0"/>
                <w:i w:val="0"/>
                <w:sz w:val="18"/>
              </w:rPr>
              <w:t>主数据集（20 160 行 × 18 列）</w:t>
            </w:r>
          </w:p>
        </w:tc>
      </w:tr>
      <w:tr>
        <w:tc>
          <w:tcPr>
            <w:tcW w:type="dxa" w:w="4705"/>
          </w:tcPr>
          <w:p>
            <w:pPr>
              <w:spacing w:after="20"/>
            </w:pPr>
            <w:r>
              <w:rPr>
                <w:rFonts w:ascii="Consolas" w:hAnsi="Consolas" w:eastAsia="Consolas"/>
                <w:color w:val="333333"/>
                <w:sz w:val="17"/>
              </w:rPr>
              <w:t>pinn_wind_data/out/validation_report.md</w:t>
            </w:r>
          </w:p>
        </w:tc>
        <w:tc>
          <w:tcPr>
            <w:tcW w:type="dxa" w:w="4705"/>
          </w:tcPr>
          <w:p>
            <w:pPr>
              <w:spacing w:after="20"/>
            </w:pPr>
            <w:r>
              <w:rPr>
                <w:rFonts w:ascii="Times New Roman" w:hAnsi="Times New Roman" w:eastAsia="宋体"/>
                <w:b w:val="0"/>
                <w:i w:val="0"/>
                <w:sz w:val="18"/>
              </w:rPr>
              <w:t>15 条判据完整报告与全部图件</w:t>
            </w:r>
          </w:p>
        </w:tc>
      </w:tr>
      <w:tr>
        <w:tc>
          <w:tcPr>
            <w:tcW w:type="dxa" w:w="4705"/>
          </w:tcPr>
          <w:p>
            <w:pPr>
              <w:spacing w:after="20"/>
            </w:pPr>
            <w:r>
              <w:rPr>
                <w:rFonts w:ascii="Consolas" w:hAnsi="Consolas" w:eastAsia="Consolas"/>
                <w:color w:val="333333"/>
                <w:sz w:val="17"/>
              </w:rPr>
              <w:t>pinn_wind_data/out/training_analysis.md</w:t>
            </w:r>
          </w:p>
        </w:tc>
        <w:tc>
          <w:tcPr>
            <w:tcW w:type="dxa" w:w="4705"/>
          </w:tcPr>
          <w:p>
            <w:pPr>
              <w:spacing w:after="20"/>
            </w:pPr>
            <w:r>
              <w:rPr>
                <w:rFonts w:ascii="Times New Roman" w:hAnsi="Times New Roman" w:eastAsia="宋体"/>
                <w:b w:val="0"/>
                <w:i w:val="0"/>
                <w:sz w:val="18"/>
              </w:rPr>
              <w:t>训练结果与四维误差归因</w:t>
            </w:r>
          </w:p>
        </w:tc>
      </w:tr>
      <w:tr>
        <w:tc>
          <w:tcPr>
            <w:tcW w:type="dxa" w:w="4705"/>
          </w:tcPr>
          <w:p>
            <w:pPr>
              <w:spacing w:after="20"/>
            </w:pPr>
            <w:r>
              <w:rPr>
                <w:rFonts w:ascii="Consolas" w:hAnsi="Consolas" w:eastAsia="Consolas"/>
                <w:color w:val="333333"/>
                <w:sz w:val="17"/>
              </w:rPr>
              <w:t>pinn_wind_data/out/response_check.json</w:t>
            </w:r>
          </w:p>
        </w:tc>
        <w:tc>
          <w:tcPr>
            <w:tcW w:type="dxa" w:w="4705"/>
          </w:tcPr>
          <w:p>
            <w:pPr>
              <w:spacing w:after="20"/>
            </w:pPr>
            <w:r>
              <w:rPr>
                <w:rFonts w:ascii="Times New Roman" w:hAnsi="Times New Roman" w:eastAsia="宋体"/>
                <w:b w:val="0"/>
                <w:i w:val="0"/>
                <w:sz w:val="18"/>
              </w:rPr>
              <w:t>响应校验的逐点偏差</w:t>
            </w:r>
          </w:p>
        </w:tc>
      </w:tr>
      <w:tr>
        <w:tc>
          <w:tcPr>
            <w:tcW w:type="dxa" w:w="4705"/>
          </w:tcPr>
          <w:p>
            <w:pPr>
              <w:spacing w:after="20"/>
            </w:pPr>
            <w:r>
              <w:rPr>
                <w:rFonts w:ascii="Consolas" w:hAnsi="Consolas" w:eastAsia="Consolas"/>
                <w:color w:val="333333"/>
                <w:sz w:val="17"/>
              </w:rPr>
              <w:t>pinn_wind_data/out/wind_project_config.json</w:t>
            </w:r>
          </w:p>
        </w:tc>
        <w:tc>
          <w:tcPr>
            <w:tcW w:type="dxa" w:w="4705"/>
          </w:tcPr>
          <w:p>
            <w:pPr>
              <w:spacing w:after="20"/>
            </w:pPr>
            <w:r>
              <w:rPr>
                <w:rFonts w:ascii="Times New Roman" w:hAnsi="Times New Roman" w:eastAsia="宋体"/>
                <w:b w:val="0"/>
                <w:i w:val="0"/>
                <w:sz w:val="18"/>
              </w:rPr>
              <w:t>接口配置（机位、口径、定义）</w:t>
            </w:r>
          </w:p>
        </w:tc>
      </w:tr>
      <w:tr>
        <w:tc>
          <w:tcPr>
            <w:tcW w:type="dxa" w:w="4705"/>
          </w:tcPr>
          <w:p>
            <w:pPr>
              <w:spacing w:after="20"/>
            </w:pPr>
            <w:r>
              <w:rPr>
                <w:rFonts w:ascii="Consolas" w:hAnsi="Consolas" w:eastAsia="Consolas"/>
                <w:color w:val="333333"/>
                <w:sz w:val="17"/>
              </w:rPr>
              <w:t>pinn_wind_data/README.md</w:t>
            </w:r>
          </w:p>
        </w:tc>
        <w:tc>
          <w:tcPr>
            <w:tcW w:type="dxa" w:w="4705"/>
          </w:tcPr>
          <w:p>
            <w:pPr>
              <w:spacing w:after="20"/>
            </w:pPr>
            <w:r>
              <w:rPr>
                <w:rFonts w:ascii="Times New Roman" w:hAnsi="Times New Roman" w:eastAsia="宋体"/>
                <w:b w:val="0"/>
                <w:i w:val="0"/>
                <w:sz w:val="18"/>
              </w:rPr>
              <w:t>完整方法与迭代记录</w:t>
            </w:r>
          </w:p>
        </w:tc>
      </w:tr>
      <w:tr>
        <w:tc>
          <w:tcPr>
            <w:tcW w:type="dxa" w:w="4705"/>
          </w:tcPr>
          <w:p>
            <w:pPr>
              <w:spacing w:after="20"/>
            </w:pPr>
            <w:r>
              <w:rPr>
                <w:rFonts w:ascii="Consolas" w:hAnsi="Consolas" w:eastAsia="Consolas"/>
                <w:color w:val="333333"/>
                <w:sz w:val="17"/>
              </w:rPr>
              <w:t>total/</w:t>
            </w:r>
          </w:p>
        </w:tc>
        <w:tc>
          <w:tcPr>
            <w:tcW w:type="dxa" w:w="4705"/>
          </w:tcPr>
          <w:p>
            <w:pPr>
              <w:spacing w:after="20"/>
            </w:pPr>
            <w:r>
              <w:rPr>
                <w:rFonts w:ascii="Times New Roman" w:hAnsi="Times New Roman" w:eastAsia="宋体"/>
                <w:b w:val="0"/>
                <w:i w:val="0"/>
                <w:sz w:val="18"/>
              </w:rPr>
              <w:t>FLASC 四风场校准工程</w:t>
            </w:r>
          </w:p>
        </w:tc>
      </w:tr>
      <w:tr>
        <w:tc>
          <w:tcPr>
            <w:tcW w:type="dxa" w:w="4705"/>
          </w:tcPr>
          <w:p>
            <w:pPr>
              <w:spacing w:after="20"/>
            </w:pPr>
            <w:r>
              <w:rPr>
                <w:rFonts w:ascii="Consolas" w:hAnsi="Consolas" w:eastAsia="Consolas"/>
                <w:color w:val="333333"/>
                <w:sz w:val="17"/>
              </w:rPr>
              <w:t>fluent_principle/</w:t>
            </w:r>
          </w:p>
        </w:tc>
        <w:tc>
          <w:tcPr>
            <w:tcW w:type="dxa" w:w="4705"/>
          </w:tcPr>
          <w:p>
            <w:pPr>
              <w:spacing w:after="20"/>
            </w:pPr>
            <w:r>
              <w:rPr>
                <w:rFonts w:ascii="Times New Roman" w:hAnsi="Times New Roman" w:eastAsia="宋体"/>
                <w:b w:val="0"/>
                <w:i w:val="0"/>
                <w:sz w:val="18"/>
              </w:rPr>
              <w:t>Fluent 原理 9 篇</w:t>
            </w:r>
          </w:p>
        </w:tc>
      </w:tr>
    </w:tbl>
    <w:p>
      <w:pPr>
        <w:spacing w:after="40"/>
      </w:pPr>
    </w:p>
    <w:p>
      <w:pPr>
        <w:spacing w:after="100"/>
        <w:ind w:firstLine="0"/>
      </w:pPr>
      <w:r>
        <w:rPr>
          <w:rFonts w:ascii="Times New Roman" w:hAnsi="Times New Roman" w:eastAsia="宋体"/>
          <w:b w:val="0"/>
          <w:i/>
          <w:sz w:val="21"/>
        </w:rPr>
        <w:t xml:space="preserve">本报告数据与图件均由项目内脚本自动生成。参数与结论如有更新，以 </w:t>
      </w:r>
      <w:r>
        <w:rPr>
          <w:rFonts w:ascii="Consolas" w:hAnsi="Consolas" w:eastAsia="Consolas"/>
          <w:color w:val="333333"/>
          <w:sz w:val="20"/>
        </w:rPr>
        <w:t>docs/PINN数据包说明.md</w:t>
      </w:r>
      <w:r>
        <w:rPr>
          <w:rFonts w:ascii="Times New Roman" w:hAnsi="Times New Roman" w:eastAsia="宋体"/>
          <w:b w:val="0"/>
          <w:i/>
          <w:sz w:val="21"/>
        </w:rPr>
        <w:t xml:space="preserve"> 为准。</w:t>
      </w:r>
    </w:p>
    <w:sectPr w:rsidR="00FC693F" w:rsidRPr="0006063C" w:rsidSect="00034616">
      <w:pgSz w:w="11906" w:h="16838"/>
      <w:pgMar w:top="1361"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微软雅黑"/>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微软雅黑"/>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微软雅黑"/>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微软雅黑"/>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