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三机 MADDPG 逐级控制验证任务说明</w:t>
      </w:r>
    </w:p>
    <w:p>
      <w:pPr>
        <w:pStyle w:val="Subtitle"/>
      </w:pPr>
      <w:r>
        <w:t>优化控制模块  2026 年 10 月 7 日</w:t>
      </w:r>
    </w:p>
    <w:p>
      <w:r>
        <w:t>本轮已经完成仅桨距单目标、多目标以及逐步开放转速和偏航的验证。三个单目标都存在有效跟踪策略，多目标策略也能响应不同功率要求；但多种子可靠性和部分任务的后期退化仍未解决。当前成果可以交接和复现，不能作为已验收的真实风场控制器。</w:t>
      </w:r>
    </w:p>
    <w:p>
      <w:pPr>
        <w:pStyle w:val="Heading1"/>
      </w:pPr>
      <w:r>
        <w:t>任务目标和实验范围</w:t>
      </w:r>
    </w:p>
    <w:p>
      <w:r>
        <w:t>目标是定位学习能力在哪一步失效。首先为 2.5、3.5、4.5 MW 分别训练仅桨距策略；随后用一个策略响应多个功率目标；最后依次开放转速和偏航。三台风机的桨距分别控制，各方法使用相同执行器及物理限制。</w:t>
      </w:r>
    </w:p>
    <w:p>
      <w:r>
        <w:t>全程保持九控制输入的迁移联调网络，入口风速 9 m/s、方向 0、背景湍流强度 0.1。模型由队友冻结主体与合成标签训练新增部分构成，未经真实仿真数据验证。机位采用 378 m 等间距的演示假设。</w:t>
      </w:r>
    </w:p>
    <w:p>
      <w:pPr>
        <w:pStyle w:val="Heading1"/>
      </w:pPr>
      <w:r>
        <w:t>单目标仅桨距的结果</w:t>
      </w:r>
    </w:p>
    <w:p>
      <w:r>
        <w:t>下表误差单位为 kW。选中策略按验证结果保存；末段为最后 32 步，反映接近稳态后的跟踪误差。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cantSplit/>
          <w:tblHeader/>
        </w:trPr>
        <w:tc>
          <w:tcPr>
            <w:tcW w:type="dxa" w:w="1944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1"/>
              </w:rPr>
              <w:t>功率目标</w:t>
            </w:r>
          </w:p>
        </w:tc>
        <w:tc>
          <w:tcPr>
            <w:tcW w:type="dxa" w:w="2448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选中全程</w:t>
            </w:r>
          </w:p>
        </w:tc>
        <w:tc>
          <w:tcPr>
            <w:tcW w:type="dxa" w:w="2448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选中末段</w:t>
            </w:r>
          </w:p>
        </w:tc>
        <w:tc>
          <w:tcPr>
            <w:tcW w:type="dxa" w:w="2448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最终全程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1"/>
              </w:rPr>
              <w:t>2.5 MW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373.87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28.73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379.04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1"/>
              </w:rPr>
              <w:t>3.5 MW</w:t>
            </w:r>
          </w:p>
        </w:tc>
        <w:tc>
          <w:tcPr>
            <w:tcW w:type="dxa" w:w="2448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116.50</w:t>
            </w:r>
          </w:p>
        </w:tc>
        <w:tc>
          <w:tcPr>
            <w:tcW w:type="dxa" w:w="2448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1.23</w:t>
            </w:r>
          </w:p>
        </w:tc>
        <w:tc>
          <w:tcPr>
            <w:tcW w:type="dxa" w:w="2448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116.50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1"/>
              </w:rPr>
              <w:t>4.5 MW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7.46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5.13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189.44</w:t>
            </w:r>
          </w:p>
        </w:tc>
      </w:tr>
    </w:tbl>
    <w:p>
      <w:pPr>
        <w:spacing w:after="0"/>
      </w:pPr>
    </w:p>
    <w:p>
      <w:r>
        <w:t>三个选中策略的末段误差均小于 100 kW，证明仅桨距具备完成这些目标的学习能力。2.5 MW 的全程误差包含较长降功率过渡。4.5 MW 在训练早期表现较好，继续训练后明显退化；选中较好权重并不意味着训练终点稳定。</w:t>
      </w:r>
    </w:p>
    <w:p>
      <w:r>
        <w:br w:type="page"/>
      </w:r>
    </w:p>
    <w:p>
      <w:pPr>
        <w:pStyle w:val="Heading1"/>
      </w:pPr>
      <w:r>
        <w:t>多目标和通道扩展的结果</w:t>
      </w:r>
    </w:p>
    <w:p>
      <w:r>
        <w:t>每种多目标权限使用三个训练种子。训练后先由验证集选定模型并冻结，再使用新的功率目标和初始桨距测试。下表是独立测试的全程 RMSE，单位 kW；加减项为三个种子的样本标准差。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/>
        </w:trPr>
        <w:tc>
          <w:tcPr>
            <w:tcW w:type="dxa" w:w="2160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sz w:val="21"/>
              </w:rPr>
              <w:t>控制权限</w:t>
            </w:r>
          </w:p>
        </w:tc>
        <w:tc>
          <w:tcPr>
            <w:tcW w:type="dxa" w:w="2448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选中 MADDPG</w:t>
            </w:r>
          </w:p>
        </w:tc>
        <w:tc>
          <w:tcPr>
            <w:tcW w:type="dxa" w:w="1512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P</w:t>
            </w:r>
          </w:p>
        </w:tc>
        <w:tc>
          <w:tcPr>
            <w:tcW w:type="dxa" w:w="1512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PI</w:t>
            </w:r>
          </w:p>
        </w:tc>
        <w:tc>
          <w:tcPr>
            <w:tcW w:type="dxa" w:w="1656"/>
            <w:vAlign w:val="center"/>
            <w:shd w:fill="E8EEF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验证通过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1"/>
              </w:rPr>
              <w:t>仅桨距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169.75 ± 9.17</w:t>
            </w:r>
          </w:p>
        </w:tc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403.40</w:t>
            </w:r>
          </w:p>
        </w:tc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251.96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2 / 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1"/>
              </w:rPr>
              <w:t>桨距和转速</w:t>
            </w:r>
          </w:p>
        </w:tc>
        <w:tc>
          <w:tcPr>
            <w:tcW w:type="dxa" w:w="2448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172.89 ± 5.33</w:t>
            </w:r>
          </w:p>
        </w:tc>
        <w:tc>
          <w:tcPr>
            <w:tcW w:type="dxa" w:w="1512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433.02</w:t>
            </w:r>
          </w:p>
        </w:tc>
        <w:tc>
          <w:tcPr>
            <w:tcW w:type="dxa" w:w="1512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270.07</w:t>
            </w:r>
          </w:p>
        </w:tc>
        <w:tc>
          <w:tcPr>
            <w:tcW w:type="dxa" w:w="1656"/>
            <w:vAlign w:val="center"/>
            <w:shd w:fill="F6F7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2 / 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1"/>
              </w:rPr>
              <w:t>偏航桨距转速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189.81 ± 15.37</w:t>
            </w:r>
          </w:p>
        </w:tc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433.02</w:t>
            </w:r>
          </w:p>
        </w:tc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270.07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1 / 3</w:t>
            </w:r>
          </w:p>
        </w:tc>
      </w:tr>
    </w:tbl>
    <w:p>
      <w:pPr>
        <w:spacing w:after="0"/>
      </w:pPr>
    </w:p>
    <w:p>
      <w:r>
        <w:t>仅桨距多目标策略已恢复目标响应，但一个种子在中间功率目标失效。原晋级流程因此停止；后两项按用户要求以新冻结协议独立完成，未将失败阶段标为通过。</w:t>
      </w:r>
    </w:p>
    <w:p>
      <w:r>
        <w:t>仅桨距与后两项的预算和测试目标不同，均值不能直接解释为增加通道的收益。桨距和转速与三通道实验的预算、目标和随机流一致；加入偏航后三个配对种子都变差，平均误差上升约 9.8%。结论只适用于当前模型与配置。</w:t>
      </w:r>
    </w:p>
    <w:p>
      <w:pPr>
        <w:pStyle w:val="Heading1"/>
      </w:pPr>
      <w:r>
        <w:t>如何正确理解对照结果</w:t>
      </w:r>
    </w:p>
    <w:p>
      <w:r>
        <w:t>MADDPG 在当前固定参数对照中的全程平均误差较低，但 PI 的最差末段误差更小。仅桨距多目标选中策略的最差测试末段为 175.79 kW，PI 为 84.42 kW。不能以总平均掩盖个别目标失败，也不能据此宣称 RL 全面优于充分调参的传统控制。</w:t>
      </w:r>
    </w:p>
    <w:p>
      <w:r>
        <w:t>P 和 PI 沿用事先固定的参数，同样输出目标值并由统一执行器执行。此前高目标的个位数误差来自无噪声联调网络内的跟踪，不等于实际风场精度。随机风况生成器仍可用于外层 Mock 实验，但本轮固定风况网络不能直接适配变风速、风向和 TI。</w:t>
      </w:r>
    </w:p>
    <w:p>
      <w:pPr>
        <w:pStyle w:val="Heading1"/>
      </w:pPr>
      <w:r>
        <w:t>验证结论</w:t>
      </w:r>
    </w:p>
    <w:p>
      <w:r>
        <w:t>共完成 12 次训练和 245760 个训练步。26 项相关软件测试通过，并审计全部保存训练记录中的固定风况、禁用通道、执行器限速、终止标记和奖励重建。保存了 576 行冻结测试指标与 59904 行测试轨迹。软件流程验证通过，策略可靠性和真实精度尚未验收。</w:t>
      </w:r>
    </w:p>
    <w:p>
      <w:r>
        <w:br w:type="page"/>
      </w:r>
    </w:p>
    <w:p>
      <w:pPr>
        <w:pStyle w:val="Heading1"/>
      </w:pPr>
      <w:r>
        <w:t>交付内容和查阅方式</w:t>
      </w:r>
    </w:p>
    <w:p>
      <w:r>
        <w:t>压缩包解开后保留原项目相对目录，可直接查看报告、配置、结果表和曲线。每次训练保留初始、验证选中、最终完整权重及归一化参数；模型文件、加载依赖和 SHA256 清单一并提供。剩余中间检查点和以前的全部优化成果在历史分卷中另行保存。</w:t>
      </w:r>
    </w:p>
    <w:p>
      <w:r>
        <w:t>人先读本说明，AI 先读 readme.md。详细方法和逐目标结果见 optimization_control 下 maddpg_wind_farm 中的 FIXED_CURRICULUM.md。每个实验的 selection.json 是策略索引，test 目录保存独立测试结果。不要仅凭权重文件名判断哪一个策略可用。</w:t>
      </w:r>
    </w:p>
    <w:p>
      <w:pPr>
        <w:pStyle w:val="Heading1"/>
      </w:pPr>
      <w:r>
        <w:t>全部优化工作的整理范围</w:t>
      </w:r>
    </w:p>
    <w:p>
      <w:r>
        <w:t>本次 GitHub 分支除本轮外，还整理了代理模型基线复现与 XGBoost 优化、单机 PPO 与工程复核、动作映射和执行器、随机风况及回放、三机 MADDPG 与 P／PI、稳定训练、混合风况对照、可达性和价值诊断、队友 PINN 接收与联调。失败实验和已撤回结论同样保留。完整导航为 optimization_control/WORK_INDEX.md。</w:t>
      </w:r>
    </w:p>
    <w:p>
      <w:r>
        <w:t>优化代码放在团队仓库的 optimization_control，个人说明和分卷放在 materials 下洪祖名目录。本次仅提交独立分支供团队审阅，不合并 main。PINN 必要加载文件明确归属队友，未将整个队友交付或原始仿真数据算作本人成果。</w:t>
      </w:r>
    </w:p>
    <w:p>
      <w:pPr>
        <w:pStyle w:val="Heading1"/>
      </w:pPr>
      <w:r>
        <w:t>接手者可以做什么</w:t>
      </w:r>
    </w:p>
    <w:p>
      <w:r>
        <w:t>无需训练即可查看已存指标、轨迹和图。具备相同依赖后，可通过随包回放入口在新的目录运行选中、初始或最终策略，并与同权限 P／PI 对照。入口根据解压位置解析历史路径，校验权重且不修改原模型；具体命令见 AI README。</w:t>
      </w:r>
    </w:p>
    <w:p>
      <w:r>
        <w:t>建议下一轮优先解决仅桨距多目标的中间目标和随机种子差异，并保留 4.5 MW 后期退化作为回归检查。可靠性通过后再研究转速和偏航扩展。真实控制收益需要真实标签和新的适用域验证，不能由本轮合成联调直接推出。</w:t>
      </w:r>
    </w:p>
    <w:p>
      <w:pPr>
        <w:pStyle w:val="Heading1"/>
      </w:pPr>
      <w:r>
        <w:t>版本和完整性</w:t>
      </w:r>
    </w:p>
    <w:p>
      <w:r>
        <w:t>本轮原始成果提交为 042c634，整理日期为 2026 年 10 月 7 日。manifest.json 记录原文件路径、归属、大小和 SHA256。GitHub 上的大 ZIP 以顺序字节分片保存，历史分卷则为独立 ZIP；随包工具可校验、重组并解压到新目录。原实验与队友文件均保留。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三机 MADDPG 逐级控制验证任务说明</dc:title>
  <dc:subject>优化控制任务交付与结果解释</dc:subject>
  <dc:creator>优化控制模块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