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三台风机 PINN 模型交接指南</w:t>
      </w:r>
    </w:p>
    <w:p>
      <w:pPr>
        <w:pStyle w:val="Subtitle"/>
      </w:pPr>
      <w:r>
        <w:t>用于项目打包 数据准备 后续训练与优化调用</w:t>
        <w:br/>
        <w:t>交接日期 2026年10月3日</w:t>
      </w:r>
    </w:p>
    <w:p>
      <w:r>
        <w:t>我们已完成原预训练模型的加载、隐藏层冻结，以及九个控制输入和六个目标输出的结构改造，实际项目运行检查已通过。接收同学可以直接使用压缩包中的待训练模型，填写项目配置并准备数据，随后训练新增参数。</w:t>
      </w:r>
    </w:p>
    <w:p>
      <w:r>
        <w:rPr>
          <w:b/>
        </w:rPr>
        <w:t>当前交付阶段为待数据训练。</w:t>
      </w:r>
      <w:r>
        <w:t>新增部分尚未学习真实工况与功率、有效风速之间的关系，预测准确性尚未验证。完成训练和独立测试后，再将模型用于优化。</w:t>
      </w:r>
    </w:p>
    <w:p>
      <w:pPr>
        <w:pStyle w:val="Heading1"/>
      </w:pPr>
      <w:r>
        <w:t>1 已完成的工作与适用范围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bottom w:w="85" w:type="dxa"/>
          <w:left w:w="100" w:type="dxa"/>
          <w:right w:w="100" w:type="dxa"/>
        </w:tblCellMar>
      </w:tblPr>
      <w:tblGrid>
        <w:gridCol w:w="3816"/>
        <w:gridCol w:w="1728"/>
        <w:gridCol w:w="4334"/>
      </w:tblGrid>
      <w:tr>
        <w:trPr>
          <w:tblHeader/>
          <w:cantSplit/>
        </w:trPr>
        <w:tc>
          <w:tcPr>
            <w:tcW w:type="dxa" w:w="3816"/>
            <w:vAlign w:val="center"/>
            <w:shd w:fill="E7EEF5"/>
          </w:tcPr>
          <w:p>
            <w:pPr>
              <w:spacing w:after="0" w:line="269" w:lineRule="auto"/>
              <w:jc w:val="left"/>
            </w:pPr>
            <w:r>
              <w:rPr>
                <w:b/>
                <w:color w:val="000000"/>
                <w:sz w:val="20"/>
              </w:rPr>
              <w:t>部分</w:t>
            </w:r>
          </w:p>
        </w:tc>
        <w:tc>
          <w:tcPr>
            <w:tcW w:type="dxa" w:w="1728"/>
            <w:vAlign w:val="center"/>
            <w:shd w:fill="E7EEF5"/>
          </w:tcPr>
          <w:p>
            <w:pPr>
              <w:spacing w:after="0" w:line="269" w:lineRule="auto"/>
              <w:jc w:val="center"/>
            </w:pPr>
            <w:r>
              <w:rPr>
                <w:b/>
                <w:color w:val="000000"/>
                <w:sz w:val="20"/>
              </w:rPr>
              <w:t>参数数量</w:t>
            </w:r>
          </w:p>
        </w:tc>
        <w:tc>
          <w:tcPr>
            <w:tcW w:type="dxa" w:w="4334"/>
            <w:vAlign w:val="center"/>
            <w:shd w:fill="E7EEF5"/>
          </w:tcPr>
          <w:p>
            <w:pPr>
              <w:spacing w:after="0" w:line="269" w:lineRule="auto"/>
              <w:jc w:val="left"/>
            </w:pPr>
            <w:r>
              <w:rPr>
                <w:b/>
                <w:color w:val="000000"/>
                <w:sz w:val="20"/>
              </w:rPr>
              <w:t>状态</w:t>
            </w:r>
          </w:p>
        </w:tc>
      </w:tr>
      <w:tr>
        <w:trPr>
          <w:cantSplit/>
        </w:trPr>
        <w:tc>
          <w:tcPr>
            <w:tcW w:type="dxa" w:w="3816"/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b w:val="0"/>
                <w:color w:val="000000"/>
                <w:sz w:val="20"/>
              </w:rPr>
              <w:t>原模型全部参数</w:t>
            </w:r>
          </w:p>
        </w:tc>
        <w:tc>
          <w:tcPr>
            <w:tcW w:type="dxa" w:w="1728"/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b w:val="0"/>
                <w:color w:val="000000"/>
                <w:sz w:val="20"/>
              </w:rPr>
              <w:t>3,090,200</w:t>
            </w:r>
          </w:p>
        </w:tc>
        <w:tc>
          <w:tcPr>
            <w:tcW w:type="dxa" w:w="4334"/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b w:val="0"/>
                <w:color w:val="000000"/>
                <w:sz w:val="20"/>
              </w:rPr>
              <w:t>原模型保留用于追溯</w:t>
            </w:r>
          </w:p>
        </w:tc>
      </w:tr>
      <w:tr>
        <w:trPr>
          <w:cantSplit/>
        </w:trPr>
        <w:tc>
          <w:tcPr>
            <w:tcW w:type="dxa" w:w="3816"/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b w:val="0"/>
                <w:color w:val="000000"/>
                <w:sz w:val="20"/>
              </w:rPr>
              <w:t>保留的原有隐藏层</w:t>
            </w:r>
          </w:p>
        </w:tc>
        <w:tc>
          <w:tcPr>
            <w:tcW w:type="dxa" w:w="1728"/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b w:val="0"/>
                <w:color w:val="000000"/>
                <w:sz w:val="20"/>
              </w:rPr>
              <w:t>3,087,200</w:t>
            </w:r>
          </w:p>
        </w:tc>
        <w:tc>
          <w:tcPr>
            <w:tcW w:type="dxa" w:w="4334"/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b w:val="0"/>
                <w:color w:val="000000"/>
                <w:sz w:val="20"/>
              </w:rPr>
              <w:t>原权重冻结</w:t>
            </w:r>
          </w:p>
        </w:tc>
      </w:tr>
      <w:tr>
        <w:trPr>
          <w:cantSplit/>
        </w:trPr>
        <w:tc>
          <w:tcPr>
            <w:tcW w:type="dxa" w:w="3816"/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b w:val="0"/>
                <w:color w:val="000000"/>
                <w:sz w:val="20"/>
              </w:rPr>
              <w:t>新增控制输入连接</w:t>
            </w:r>
          </w:p>
        </w:tc>
        <w:tc>
          <w:tcPr>
            <w:tcW w:type="dxa" w:w="1728"/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b w:val="0"/>
                <w:color w:val="000000"/>
                <w:sz w:val="20"/>
              </w:rPr>
              <w:t>6,300</w:t>
            </w:r>
          </w:p>
        </w:tc>
        <w:tc>
          <w:tcPr>
            <w:tcW w:type="dxa" w:w="4334"/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b w:val="0"/>
                <w:color w:val="000000"/>
                <w:sz w:val="20"/>
              </w:rPr>
              <w:t>参加后续训练</w:t>
            </w:r>
          </w:p>
        </w:tc>
      </w:tr>
      <w:tr>
        <w:trPr>
          <w:cantSplit/>
        </w:trPr>
        <w:tc>
          <w:tcPr>
            <w:tcW w:type="dxa" w:w="3816"/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b w:val="0"/>
                <w:color w:val="000000"/>
                <w:sz w:val="20"/>
              </w:rPr>
              <w:t>新的六个输出层</w:t>
            </w:r>
          </w:p>
        </w:tc>
        <w:tc>
          <w:tcPr>
            <w:tcW w:type="dxa" w:w="1728"/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b w:val="0"/>
                <w:color w:val="000000"/>
                <w:sz w:val="20"/>
              </w:rPr>
              <w:t>18,006</w:t>
            </w:r>
          </w:p>
        </w:tc>
        <w:tc>
          <w:tcPr>
            <w:tcW w:type="dxa" w:w="4334"/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b w:val="0"/>
                <w:color w:val="000000"/>
                <w:sz w:val="20"/>
              </w:rPr>
              <w:t>参加后续训练</w:t>
            </w:r>
          </w:p>
        </w:tc>
      </w:tr>
      <w:tr>
        <w:trPr>
          <w:cantSplit/>
        </w:trPr>
        <w:tc>
          <w:tcPr>
            <w:tcW w:type="dxa" w:w="3816"/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b w:val="0"/>
                <w:color w:val="000000"/>
                <w:sz w:val="20"/>
              </w:rPr>
              <w:t>合计可训练参数</w:t>
            </w:r>
          </w:p>
        </w:tc>
        <w:tc>
          <w:tcPr>
            <w:tcW w:type="dxa" w:w="1728"/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b w:val="0"/>
                <w:color w:val="000000"/>
                <w:sz w:val="20"/>
              </w:rPr>
              <w:t>24,306</w:t>
            </w:r>
          </w:p>
        </w:tc>
        <w:tc>
          <w:tcPr>
            <w:tcW w:type="dxa" w:w="4334"/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b w:val="0"/>
                <w:color w:val="000000"/>
                <w:sz w:val="20"/>
              </w:rPr>
              <w:t>约为原模型参数量的0.79%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r>
        <w:t>改造复用了原网络的共享隐藏层和全部六个特征分支。原第一隐藏层增加九个控制输入的连接，原坐标连接权重和偏置继续冻结；没有新增独立的小神经网络或额外隐藏层。三台机组共用原网络权重，各自的输出层读取所在位置的特征。</w:t>
      </w:r>
    </w:p>
    <w:p>
      <w:r>
        <w:t>实际运行已通过原特征一致性、九个输入连接的梯度与作用路径、原权重不变、保存重载一致性检查。检查中的临时参数变化已恢复。新增输入连接初始为零，真实控制作用需要后续数据训练。</w:t>
      </w:r>
    </w:p>
    <w:p>
      <w:r>
        <w:t>本版面向固定三台机组布置、固定机型和固定来流环境。入口风速、风向、湍流强度还没有作为可变输入接入。原预训练模型对应9 m/s、四台风机的源工况，迁移到本项目三台机组的准确性需要验证。</w:t>
      </w:r>
    </w:p>
    <w:p>
      <w:r>
        <w:t>后续训练采用有标签的迁移学习，不运行原仓库的RANS和k-ε方程残差训练流程。可训练参数减少不等于计算时间按相同比例减少；原隐藏层仍参与前向计算和新增输入连接的反向传播。</w:t>
      </w:r>
    </w:p>
    <w:p>
      <w:pPr>
        <w:pStyle w:val="Heading1"/>
      </w:pPr>
      <w:r>
        <w:t>2 发件人怎样打包</w:t>
      </w:r>
    </w:p>
    <w:p>
      <w:r>
        <w:rPr>
          <w:b/>
        </w:rPr>
        <w:t>最省事的办法：</w:t>
      </w:r>
      <w:r>
        <w:t>将本指南放进已完成改造的项目根目录，压缩整个 PINNs_multi_turbine_wake_simulation-outputchange 文件夹，再交给接收同学。这样能一并保留原代码、预训练权重、模型和配置。</w:t>
      </w:r>
    </w:p>
    <w:p>
      <w:r>
        <w:t>当前用户电脑上的项目根目录如下。接收方可解压到自己的位置，不必复现这个用户路径。</w:t>
      </w:r>
    </w:p>
    <w:p>
      <w:pPr>
        <w:pStyle w:val="PinnCode"/>
      </w:pPr>
      <w:r>
        <w:t>C:\Users\Ice-d\Desktop\pinnmodel\PINNs_multi_turbine_wake_simulation-outputchange</w:t>
      </w:r>
    </w:p>
    <w:p>
      <w:r>
        <w:t>发出前检查下列项目均已包含。路径均相对于项目根目录。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bottom w:w="85" w:type="dxa"/>
          <w:left w:w="100" w:type="dxa"/>
          <w:right w:w="100" w:type="dxa"/>
        </w:tblCellMar>
      </w:tblPr>
      <w:tblGrid>
        <w:gridCol w:w="4982"/>
        <w:gridCol w:w="4896"/>
      </w:tblGrid>
      <w:tr>
        <w:trPr>
          <w:tblHeader/>
          <w:cantSplit/>
        </w:trPr>
        <w:tc>
          <w:tcPr>
            <w:tcW w:type="dxa" w:w="4982"/>
            <w:vAlign w:val="center"/>
            <w:shd w:fill="E7EEF5"/>
          </w:tcPr>
          <w:p>
            <w:pPr>
              <w:spacing w:after="0" w:line="269" w:lineRule="auto"/>
              <w:jc w:val="left"/>
            </w:pPr>
            <w:r>
              <w:rPr>
                <w:b/>
                <w:color w:val="000000"/>
                <w:sz w:val="20"/>
              </w:rPr>
              <w:t>文件或目录</w:t>
            </w:r>
          </w:p>
        </w:tc>
        <w:tc>
          <w:tcPr>
            <w:tcW w:type="dxa" w:w="4896"/>
            <w:vAlign w:val="center"/>
            <w:shd w:fill="E7EEF5"/>
          </w:tcPr>
          <w:p>
            <w:pPr>
              <w:spacing w:after="0" w:line="269" w:lineRule="auto"/>
              <w:jc w:val="left"/>
            </w:pPr>
            <w:r>
              <w:rPr>
                <w:b/>
                <w:color w:val="000000"/>
                <w:sz w:val="20"/>
              </w:rPr>
              <w:t>用途</w:t>
            </w:r>
          </w:p>
        </w:tc>
      </w:tr>
      <w:tr>
        <w:trPr>
          <w:cantSplit/>
        </w:trPr>
        <w:tc>
          <w:tcPr>
            <w:tcW w:type="dxa" w:w="4982"/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b w:val="0"/>
                <w:color w:val="000000"/>
                <w:sz w:val="20"/>
              </w:rPr>
              <w:t>prepare_pinn_outputchange.py</w:t>
              <w:br/>
              <w:t>modify_pinn_io.py</w:t>
            </w:r>
          </w:p>
        </w:tc>
        <w:tc>
          <w:tcPr>
            <w:tcW w:type="dxa" w:w="4896"/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b w:val="0"/>
                <w:color w:val="000000"/>
                <w:sz w:val="20"/>
              </w:rPr>
              <w:t>原模型准备、结构改造、训练和预测入口</w:t>
            </w:r>
          </w:p>
        </w:tc>
      </w:tr>
      <w:tr>
        <w:trPr>
          <w:cantSplit/>
        </w:trPr>
        <w:tc>
          <w:tcPr>
            <w:tcW w:type="dxa" w:w="4982"/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b w:val="0"/>
                <w:color w:val="000000"/>
                <w:sz w:val="20"/>
              </w:rPr>
              <w:t>OutputChange/prepared_9ms/</w:t>
            </w:r>
          </w:p>
        </w:tc>
        <w:tc>
          <w:tcPr>
            <w:tcW w:type="dxa" w:w="4896"/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b w:val="0"/>
                <w:color w:val="000000"/>
                <w:sz w:val="20"/>
              </w:rPr>
              <w:t>包含 original_frozen.keras 等原模型导出文件和准备报告</w:t>
            </w:r>
          </w:p>
        </w:tc>
      </w:tr>
      <w:tr>
        <w:trPr>
          <w:cantSplit/>
        </w:trPr>
        <w:tc>
          <w:tcPr>
            <w:tcW w:type="dxa" w:w="4982"/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b w:val="0"/>
                <w:color w:val="000000"/>
                <w:sz w:val="20"/>
              </w:rPr>
              <w:t>OutputChange/iochanged_9ms/</w:t>
            </w:r>
          </w:p>
        </w:tc>
        <w:tc>
          <w:tcPr>
            <w:tcW w:type="dxa" w:w="4896"/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b w:val="0"/>
                <w:color w:val="000000"/>
                <w:sz w:val="20"/>
              </w:rPr>
              <w:t>包含 untrained.keras、build_report.json、训练数据模板和结构摘要</w:t>
            </w:r>
          </w:p>
        </w:tc>
      </w:tr>
      <w:tr>
        <w:trPr>
          <w:cantSplit/>
        </w:trPr>
        <w:tc>
          <w:tcPr>
            <w:tcW w:type="dxa" w:w="4982"/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b w:val="0"/>
                <w:color w:val="000000"/>
                <w:sz w:val="20"/>
              </w:rPr>
              <w:t>OutputChange/project_config.json</w:t>
            </w:r>
          </w:p>
        </w:tc>
        <w:tc>
          <w:tcPr>
            <w:tcW w:type="dxa" w:w="4896"/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b w:val="0"/>
                <w:color w:val="000000"/>
                <w:sz w:val="20"/>
              </w:rPr>
              <w:t>由接收方填写真实坐标并核对单位</w:t>
            </w:r>
          </w:p>
        </w:tc>
      </w:tr>
      <w:tr>
        <w:trPr>
          <w:cantSplit/>
        </w:trPr>
        <w:tc>
          <w:tcPr>
            <w:tcW w:type="dxa" w:w="4982"/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b w:val="0"/>
                <w:color w:val="000000"/>
                <w:sz w:val="20"/>
              </w:rPr>
              <w:t>原仓库代码及 LICENSE 和 README</w:t>
            </w:r>
          </w:p>
        </w:tc>
        <w:tc>
          <w:tcPr>
            <w:tcW w:type="dxa" w:w="4896"/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b w:val="0"/>
                <w:color w:val="000000"/>
                <w:sz w:val="20"/>
              </w:rPr>
              <w:t>保留项目来源、原模型及复现依据</w:t>
            </w:r>
          </w:p>
        </w:tc>
      </w:tr>
      <w:tr>
        <w:trPr>
          <w:cantSplit/>
        </w:trPr>
        <w:tc>
          <w:tcPr>
            <w:tcW w:type="dxa" w:w="4982"/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b w:val="0"/>
                <w:color w:val="000000"/>
                <w:sz w:val="20"/>
              </w:rPr>
              <w:t>本指南</w:t>
            </w:r>
          </w:p>
        </w:tc>
        <w:tc>
          <w:tcPr>
            <w:tcW w:type="dxa" w:w="4896"/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b w:val="0"/>
                <w:color w:val="000000"/>
                <w:sz w:val="20"/>
              </w:rPr>
              <w:t>接收方的操作和数据约定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r>
        <w:t>当前待训练模型在 OutputChange/iochanged_9ms/untrained.keras。模型使用自定义输入连接和标准化层，接收方需要同时保留 modify_pinn_io.py；只收到一个 .keras 文件不足以完成后续操作。</w:t>
      </w:r>
    </w:p>
    <w:p>
      <w:r>
        <w:t>建议按任务交接：仿真同学提供机组布置、控制工况和输出标签；负责后续训练的同学配置环境、整理CSV、运行训练并提交测试误差；优化同学确认机组顺序、控制范围、有效风速定义和可接受误差。具体由组内安排，不要求原交付人逐项代填。</w:t>
      </w:r>
    </w:p>
    <w:p>
      <w:r>
        <w:t>项目压缩包不包含收件人电脑上的Conda环境。接收方按下一节准备环境。已完成构建的模型可以直接训练，无须重复运行两个构建脚本。</w:t>
      </w:r>
    </w:p>
    <w:p>
      <w:pPr>
        <w:pStyle w:val="Heading1"/>
      </w:pPr>
      <w:r>
        <w:t>3 接收方准备运行环境</w:t>
      </w:r>
    </w:p>
    <w:p>
      <w:r>
        <w:t>以下步骤针对Windows的Anaconda Prompt。当前已跑通的环境为Python 3.10.21、TensorFlow 2.16.1、TF-Keras 2.16.0。脚本按CPU方式运行。</w:t>
      </w:r>
    </w:p>
    <w:p>
      <w:pPr>
        <w:pStyle w:val="Heading2"/>
      </w:pPr>
      <w:r>
        <w:t>3 1 创建或检查环境</w:t>
      </w:r>
    </w:p>
    <w:p>
      <w:r>
        <w:t>已有相同环境时直接激活。需要新建时执行以下三条命令。</w:t>
      </w:r>
    </w:p>
    <w:p>
      <w:pPr>
        <w:pStyle w:val="PinnCode"/>
      </w:pPr>
      <w:r>
        <w:t>conda create -n pinn-multi python=3.10 -y</w:t>
        <w:br/>
        <w:t>conda activate pinn-multi</w:t>
        <w:br/>
        <w:t>python -m pip install "tensorflow==2.16.1" "tf-keras==2.16.0"</w:t>
      </w:r>
    </w:p>
    <w:p>
      <w:r>
        <w:t>检查版本，TensorFlow应为2.16.1，TF-Keras应为2.16.0。Python保持3.10系列。</w:t>
      </w:r>
    </w:p>
    <w:p>
      <w:pPr>
        <w:pStyle w:val="PinnCode"/>
      </w:pPr>
      <w:r>
        <w:t>python -c "import sys,tensorflow as tf,tf_keras as k; print(sys.version.split()[0],tf.__version__,k.__version__)"</w:t>
      </w:r>
    </w:p>
    <w:p>
      <w:r>
        <w:t>本次训练入口只需上述环境及其自动安装的依赖。使用脚本内的 tf_keras 加载模型；继续运行本次脚本即可，不需要启动原仓库的完整训练程序或为了本次入口安装原 requirements.txt 的全部依赖。</w:t>
      </w:r>
    </w:p>
    <w:p>
      <w:pPr>
        <w:pStyle w:val="Heading2"/>
      </w:pPr>
      <w:r>
        <w:t>3 2 进入解压后的项目根目录</w:t>
      </w:r>
    </w:p>
    <w:p>
      <w:r>
        <w:t>把下面路径替换成自己的解压位置。根目录中应能看到 modify_pinn_io.py 和 OutputChange 文件夹。文档中的一条命令如因版面自动换行，执行时仍作为同一条命令复制。</w:t>
      </w:r>
    </w:p>
    <w:p>
      <w:pPr>
        <w:pStyle w:val="PinnCode"/>
      </w:pPr>
      <w:r>
        <w:t>cd /d "C:\pinn_project\PINNs_multi_turbine_wake_simulation-outputchange"</w:t>
      </w:r>
    </w:p>
    <w:p>
      <w:r>
        <w:t>原报告可能记录交付人电脑的绝对路径，这些记录用于追溯；训练入口会读取当前项目中的相对文件，不需要新建 Ice-d 用户目录。</w:t>
      </w:r>
    </w:p>
    <w:p>
      <w:pPr>
        <w:pStyle w:val="Heading1"/>
      </w:pPr>
      <w:r>
        <w:t>4 仿真与训练同学填写项目配置</w:t>
      </w:r>
    </w:p>
    <w:p>
      <w:r>
        <w:t>目的：让程序在你们三台机组的真实位置提取原网络特征，并统一控制量单位。位置由仿真布置决定，只需为这版固定布置填写一次。</w:t>
      </w:r>
    </w:p>
    <w:p>
      <w:pPr>
        <w:pStyle w:val="PinnCode"/>
      </w:pPr>
      <w:r>
        <w:t>notepad OutputChange\project_config.json</w:t>
      </w:r>
    </w:p>
    <w:p>
      <w:r>
        <w:t>配置中关键字段如下。将每组null依次替换为机组1、2、3的真实数值，其他说明字段可保留。下面保留null是为了标出待填项，不能直接用于训练。</w:t>
      </w:r>
    </w:p>
    <w:p>
      <w:pPr>
        <w:pStyle w:val="PinnCode"/>
      </w:pPr>
      <w:r>
        <w:t>"turbine_positions_m": [</w:t>
        <w:br/>
        <w:t xml:space="preserve">  [null, null, null],</w:t>
        <w:br/>
        <w:t xml:space="preserve">  [null, null, null],</w:t>
        <w:br/>
        <w:t xml:space="preserve">  [null, null, null]</w:t>
        <w:br/>
        <w:t>],</w:t>
        <w:br/>
        <w:t>"control_units": {</w:t>
        <w:br/>
        <w:t xml:space="preserve">  "yaw": "deg",</w:t>
        <w:br/>
        <w:t xml:space="preserve">  "pitch": "deg",</w:t>
        <w:br/>
        <w:t xml:space="preserve">  "rotor_speed": "rpm"</w:t>
        <w:br/>
        <w:t>},</w:t>
        <w:br/>
        <w:t>"fixed_inlet_wind_speed_m_s": 9.0</w:t>
      </w:r>
    </w:p>
    <w:p>
      <w:pPr>
        <w:pStyle w:val="ListBullet"/>
      </w:pPr>
      <w:r>
        <w:t>每组位置为 [x,y,z]，单位m，z为轮毂高度。三个位置必须不同，轮毂高度大于0；与仿真使用同一原点，x沿来流方向，y横向，z竖直。</w:t>
      </w:r>
    </w:p>
    <w:p>
      <w:pPr>
        <w:pStyle w:val="ListBullet"/>
      </w:pPr>
      <w:r>
        <w:t>yaw和pitch可用deg或rad；rotor_speed可用rpm或rad/s。配置、数据和优化输入必须一致，脚本不会自动把度转换为弧度或把rpm转换为rad/s。</w:t>
      </w:r>
    </w:p>
    <w:p>
      <w:pPr>
        <w:pStyle w:val="ListBullet"/>
      </w:pPr>
      <w:r>
        <w:t>fixed_inlet_wind_speed_m_s填写数据对应的固定入口风速。默认9.0来自所选源模型；这个字段用于记录和一致性检查，不会作为新输入改变预训练风场。换到其他固定来流工况仍需训练验证。</w:t>
      </w:r>
    </w:p>
    <w:p>
      <w:pPr>
        <w:pStyle w:val="ListBullet"/>
      </w:pPr>
      <w:r>
        <w:t>同一版训练数据的风向、湍流强度、机型、转子尺寸和机组顺序应一致。若要同时预测不同环境工况，需要另行扩充条件输入。</w:t>
      </w:r>
    </w:p>
    <w:p>
      <w:pPr>
        <w:pStyle w:val="Heading1"/>
      </w:pPr>
      <w:r>
        <w:t>5 仿真同学准备训练数据</w:t>
      </w:r>
    </w:p>
    <w:p>
      <w:r>
        <w:t>每行对应一个有效控制工况，提供九个控制量和该工况的六个真实结果。建议复制 OutputChange/iochanged_9ms/training_data_template.csv 为 cases.csv，填写后保存到项目根目录。使用逗号分隔的UTF-8 CSV。模板只有表头，没有可用于训练的示例结果。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bottom w:w="85" w:type="dxa"/>
          <w:left w:w="100" w:type="dxa"/>
          <w:right w:w="100" w:type="dxa"/>
        </w:tblCellMar>
      </w:tblPr>
      <w:tblGrid>
        <w:gridCol w:w="4378"/>
        <w:gridCol w:w="3456"/>
        <w:gridCol w:w="2045"/>
      </w:tblGrid>
      <w:tr>
        <w:trPr>
          <w:tblHeader/>
          <w:cantSplit/>
        </w:trPr>
        <w:tc>
          <w:tcPr>
            <w:tcW w:type="dxa" w:w="4378"/>
            <w:vAlign w:val="center"/>
            <w:shd w:fill="E7EEF5"/>
          </w:tcPr>
          <w:p>
            <w:pPr>
              <w:spacing w:after="0" w:line="269" w:lineRule="auto"/>
              <w:jc w:val="left"/>
            </w:pPr>
            <w:r>
              <w:rPr>
                <w:b/>
                <w:color w:val="000000"/>
                <w:sz w:val="20"/>
              </w:rPr>
              <w:t>字段</w:t>
            </w:r>
          </w:p>
        </w:tc>
        <w:tc>
          <w:tcPr>
            <w:tcW w:type="dxa" w:w="3456"/>
            <w:vAlign w:val="center"/>
            <w:shd w:fill="E7EEF5"/>
          </w:tcPr>
          <w:p>
            <w:pPr>
              <w:spacing w:after="0" w:line="269" w:lineRule="auto"/>
              <w:jc w:val="left"/>
            </w:pPr>
            <w:r>
              <w:rPr>
                <w:b/>
                <w:color w:val="000000"/>
                <w:sz w:val="20"/>
              </w:rPr>
              <w:t>含义</w:t>
            </w:r>
          </w:p>
        </w:tc>
        <w:tc>
          <w:tcPr>
            <w:tcW w:type="dxa" w:w="2045"/>
            <w:vAlign w:val="center"/>
            <w:shd w:fill="E7EEF5"/>
          </w:tcPr>
          <w:p>
            <w:pPr>
              <w:spacing w:after="0" w:line="269" w:lineRule="auto"/>
              <w:jc w:val="left"/>
            </w:pPr>
            <w:r>
              <w:rPr>
                <w:b/>
                <w:color w:val="000000"/>
                <w:sz w:val="20"/>
              </w:rPr>
              <w:t>单位</w:t>
            </w:r>
          </w:p>
        </w:tc>
      </w:tr>
      <w:tr>
        <w:trPr>
          <w:cantSplit/>
        </w:trPr>
        <w:tc>
          <w:tcPr>
            <w:tcW w:type="dxa" w:w="4378"/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b w:val="0"/>
                <w:color w:val="000000"/>
                <w:sz w:val="20"/>
              </w:rPr>
              <w:t>yaw1 yaw2 yaw3</w:t>
            </w:r>
          </w:p>
        </w:tc>
        <w:tc>
          <w:tcPr>
            <w:tcW w:type="dxa" w:w="3456"/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b w:val="0"/>
                <w:color w:val="000000"/>
                <w:sz w:val="20"/>
              </w:rPr>
              <w:t>三台机组各自偏航角</w:t>
            </w:r>
          </w:p>
        </w:tc>
        <w:tc>
          <w:tcPr>
            <w:tcW w:type="dxa" w:w="2045"/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b w:val="0"/>
                <w:color w:val="000000"/>
                <w:sz w:val="20"/>
              </w:rPr>
              <w:t>与配置的yaw一致</w:t>
            </w:r>
          </w:p>
        </w:tc>
      </w:tr>
      <w:tr>
        <w:trPr>
          <w:cantSplit/>
        </w:trPr>
        <w:tc>
          <w:tcPr>
            <w:tcW w:type="dxa" w:w="4378"/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b w:val="0"/>
                <w:color w:val="000000"/>
                <w:sz w:val="20"/>
              </w:rPr>
              <w:t>pitch1 pitch2 pitch3</w:t>
            </w:r>
          </w:p>
        </w:tc>
        <w:tc>
          <w:tcPr>
            <w:tcW w:type="dxa" w:w="3456"/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b w:val="0"/>
                <w:color w:val="000000"/>
                <w:sz w:val="20"/>
              </w:rPr>
              <w:t>三台机组各自桨距角</w:t>
            </w:r>
          </w:p>
        </w:tc>
        <w:tc>
          <w:tcPr>
            <w:tcW w:type="dxa" w:w="2045"/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b w:val="0"/>
                <w:color w:val="000000"/>
                <w:sz w:val="20"/>
              </w:rPr>
              <w:t>与配置的pitch一致</w:t>
            </w:r>
          </w:p>
        </w:tc>
      </w:tr>
      <w:tr>
        <w:trPr>
          <w:cantSplit/>
        </w:trPr>
        <w:tc>
          <w:tcPr>
            <w:tcW w:type="dxa" w:w="4378"/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b w:val="0"/>
                <w:color w:val="000000"/>
                <w:sz w:val="20"/>
              </w:rPr>
              <w:t>rotor_speed1 rotor_speed2 rotor_speed3</w:t>
            </w:r>
          </w:p>
        </w:tc>
        <w:tc>
          <w:tcPr>
            <w:tcW w:type="dxa" w:w="3456"/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b w:val="0"/>
                <w:color w:val="000000"/>
                <w:sz w:val="20"/>
              </w:rPr>
              <w:t>三台机组各自转速大小</w:t>
            </w:r>
          </w:p>
        </w:tc>
        <w:tc>
          <w:tcPr>
            <w:tcW w:type="dxa" w:w="2045"/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b w:val="0"/>
                <w:color w:val="000000"/>
                <w:sz w:val="20"/>
              </w:rPr>
              <w:t>与配置的rotor_speed一致</w:t>
            </w:r>
          </w:p>
        </w:tc>
      </w:tr>
      <w:tr>
        <w:trPr>
          <w:cantSplit/>
        </w:trPr>
        <w:tc>
          <w:tcPr>
            <w:tcW w:type="dxa" w:w="4378"/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b w:val="0"/>
                <w:color w:val="000000"/>
                <w:sz w:val="20"/>
              </w:rPr>
              <w:t>P1 P2 P3</w:t>
            </w:r>
          </w:p>
        </w:tc>
        <w:tc>
          <w:tcPr>
            <w:tcW w:type="dxa" w:w="3456"/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b w:val="0"/>
                <w:color w:val="000000"/>
                <w:sz w:val="20"/>
              </w:rPr>
              <w:t>机组1 2 3分别的功率</w:t>
            </w:r>
          </w:p>
        </w:tc>
        <w:tc>
          <w:tcPr>
            <w:tcW w:type="dxa" w:w="2045"/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b w:val="0"/>
                <w:color w:val="000000"/>
                <w:sz w:val="20"/>
              </w:rPr>
              <w:t>W</w:t>
            </w:r>
          </w:p>
        </w:tc>
      </w:tr>
      <w:tr>
        <w:trPr>
          <w:cantSplit/>
        </w:trPr>
        <w:tc>
          <w:tcPr>
            <w:tcW w:type="dxa" w:w="4378"/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b w:val="0"/>
                <w:color w:val="000000"/>
                <w:sz w:val="20"/>
              </w:rPr>
              <w:t>Ueff1 Ueff2 Ueff3</w:t>
            </w:r>
          </w:p>
        </w:tc>
        <w:tc>
          <w:tcPr>
            <w:tcW w:type="dxa" w:w="3456"/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b w:val="0"/>
                <w:color w:val="000000"/>
                <w:sz w:val="20"/>
              </w:rPr>
              <w:t>机组1 2 3分别的转子盘有效风速</w:t>
            </w:r>
          </w:p>
        </w:tc>
        <w:tc>
          <w:tcPr>
            <w:tcW w:type="dxa" w:w="2045"/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b w:val="0"/>
                <w:color w:val="000000"/>
                <w:sz w:val="20"/>
              </w:rPr>
              <w:t>m/s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r>
        <w:t>要求使用的完整表头如下。数据读取按列名对应；优化传入向量的顺序则严格按下一节约定。</w:t>
      </w:r>
    </w:p>
    <w:p>
      <w:pPr>
        <w:pStyle w:val="PinnCode"/>
      </w:pPr>
      <w:r>
        <w:t>yaw1,pitch1,rotor_speed1,yaw2,pitch2,rotor_speed2,yaw3,pitch3,rotor_speed3,P1,P2,P3,Ueff1,Ueff2,Ueff3</w:t>
      </w:r>
    </w:p>
    <w:p>
      <w:r>
        <w:t>九维控制向量顺序固定为 yaw1、pitch1、rotor_speed1、yaw2、pitch2、rotor_speed2、yaw3、pitch3、rotor_speed3。六维输出顺序固定为 P1、P2、P3、Ueff1、Ueff2、Ueff3。整个项目采用同一机组编号。</w:t>
      </w:r>
    </w:p>
    <w:p>
      <w:pPr>
        <w:pStyle w:val="Heading2"/>
      </w:pPr>
      <w:r>
        <w:t>5 1 输出标签的约定</w:t>
      </w:r>
    </w:p>
    <w:p>
      <w:r>
        <w:t>功率必须是W。仿真结果如为kW，应乘以1000；如为MW，应乘以1000000。真实停机工况的P可以为0，失败或未收敛的仿真结果不能用0代替。当前脚本要求P非负、Ueff大于0，所有字段均为有限数值。</w:t>
      </w:r>
    </w:p>
    <w:p>
      <w:r>
        <w:t>Ueff的计算方法由仿真和优化同学共同确认，并随数据说明记录采样区域、流速方向与平均方法。必须提供转子盘有效风速标签；当前脚本不会从流场自动积分生成Ueff，风机中心单点风速也不能直接当作盘有效风速。</w:t>
      </w:r>
    </w:p>
    <w:p>
      <w:pPr>
        <w:pStyle w:val="Heading2"/>
      </w:pPr>
      <w:r>
        <w:t>5 2 数据覆盖与环境条件</w:t>
      </w:r>
    </w:p>
    <w:p>
      <w:r>
        <w:t>工况需覆盖准备优化的控制范围，包含控制量的变化和组合。某个角度或转速始终不变时，无法检验模型对它的控制作用。不能把缺失控制量填0后当作完整训练数据。</w:t>
      </w:r>
    </w:p>
    <w:p>
      <w:r>
        <w:t>脚本要求至少5组不同的九维控制组合，才能划分训练、验证和测试；这是程序的划分下限，不代表5组数据足以支撑九维优化。样本数量和覆盖程度由组内结合仿真成本与误差结果安排。</w:t>
      </w:r>
    </w:p>
    <w:p>
      <w:r>
        <w:t>本版仅支持固定来流环境。若CSV中的 wind_speed、wind_direction 或 turbulence_intensity 等环境列发生变化，脚本会报错；不要通过删除列名掩盖不同工况。之前只有风速、风向、湍流强度和功率的数据，也不能自动补成所需的控制量及Ueff标签。</w:t>
      </w:r>
    </w:p>
    <w:p>
      <w:r>
        <w:t>请随CSV附一份数据说明，注明固定风速、风向、湍流强度、机型与转子尺寸、控制范围、单位、机组编号和Ueff计算约定，便于训练与优化两侧核对。</w:t>
      </w:r>
    </w:p>
    <w:p>
      <w:pPr>
        <w:pStyle w:val="Heading1"/>
      </w:pPr>
      <w:r>
        <w:t>6 训练同学运行训练并检查误差</w:t>
      </w:r>
    </w:p>
    <w:p>
      <w:r>
        <w:t>填写配置并准备 cases.csv 后，在已激活环境的项目根目录执行：</w:t>
      </w:r>
    </w:p>
    <w:p>
      <w:pPr>
        <w:pStyle w:val="PinnCode"/>
      </w:pPr>
      <w:r>
        <w:t>python modify_pinn_io.py train --bundle "OutputChange\iochanged_9ms" --csv "cases.csv"</w:t>
      </w:r>
    </w:p>
    <w:p>
      <w:r>
        <w:t>默认最多200轮，批量大小16，学习率0.0001，并按验证损失提前停止。脚本只更新新增输入连接和新输出层；原有隐藏层权重继续冻结。显式指定 --bundle 可确保训练交付的这一版结构。</w:t>
      </w:r>
    </w:p>
    <w:p>
      <w:r>
        <w:t>按不同控制组合约60%、20%、20%划分训练、验证、测试；重复控制组合会放进同一部分。标准化统计只用训练部分计算，验证部分用于提前停止，测试部分用于最后检查。W和m/s先按训练统计标准化后共同计算训练损失，导出预测恢复为物理单位。</w:t>
      </w:r>
    </w:p>
    <w:p>
      <w:r>
        <w:t>训练成功后会在 OutputChange/iochanged_9ms 下新增 training_时间戳 文件夹。以终端显示的实际路径为准。该目录包含：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bottom w:w="85" w:type="dxa"/>
          <w:left w:w="100" w:type="dxa"/>
          <w:right w:w="100" w:type="dxa"/>
        </w:tblCellMar>
      </w:tblPr>
      <w:tblGrid>
        <w:gridCol w:w="3283"/>
        <w:gridCol w:w="6595"/>
      </w:tblGrid>
      <w:tr>
        <w:trPr>
          <w:tblHeader/>
          <w:cantSplit/>
        </w:trPr>
        <w:tc>
          <w:tcPr>
            <w:tcW w:type="dxa" w:w="3283"/>
            <w:vAlign w:val="center"/>
            <w:shd w:fill="E7EEF5"/>
          </w:tcPr>
          <w:p>
            <w:pPr>
              <w:spacing w:after="0" w:line="269" w:lineRule="auto"/>
              <w:jc w:val="left"/>
            </w:pPr>
            <w:r>
              <w:rPr>
                <w:b/>
                <w:color w:val="000000"/>
                <w:sz w:val="20"/>
              </w:rPr>
              <w:t>文件</w:t>
            </w:r>
          </w:p>
        </w:tc>
        <w:tc>
          <w:tcPr>
            <w:tcW w:type="dxa" w:w="6595"/>
            <w:vAlign w:val="center"/>
            <w:shd w:fill="E7EEF5"/>
          </w:tcPr>
          <w:p>
            <w:pPr>
              <w:spacing w:after="0" w:line="269" w:lineRule="auto"/>
              <w:jc w:val="left"/>
            </w:pPr>
            <w:r>
              <w:rPr>
                <w:b/>
                <w:color w:val="000000"/>
                <w:sz w:val="20"/>
              </w:rPr>
              <w:t>接收与验收用途</w:t>
            </w:r>
          </w:p>
        </w:tc>
      </w:tr>
      <w:tr>
        <w:trPr>
          <w:cantSplit/>
        </w:trPr>
        <w:tc>
          <w:tcPr>
            <w:tcW w:type="dxa" w:w="3283"/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b w:val="0"/>
                <w:color w:val="000000"/>
                <w:sz w:val="20"/>
              </w:rPr>
              <w:t>trained.keras</w:t>
            </w:r>
          </w:p>
        </w:tc>
        <w:tc>
          <w:tcPr>
            <w:tcW w:type="dxa" w:w="6595"/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b w:val="0"/>
                <w:color w:val="000000"/>
                <w:sz w:val="20"/>
              </w:rPr>
              <w:t>已训练的模型</w:t>
            </w:r>
          </w:p>
        </w:tc>
      </w:tr>
      <w:tr>
        <w:trPr>
          <w:cantSplit/>
        </w:trPr>
        <w:tc>
          <w:tcPr>
            <w:tcW w:type="dxa" w:w="3283"/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b w:val="0"/>
                <w:color w:val="000000"/>
                <w:sz w:val="20"/>
              </w:rPr>
              <w:t>config_used.json</w:t>
            </w:r>
          </w:p>
        </w:tc>
        <w:tc>
          <w:tcPr>
            <w:tcW w:type="dxa" w:w="6595"/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b w:val="0"/>
                <w:color w:val="000000"/>
                <w:sz w:val="20"/>
              </w:rPr>
              <w:t>这次训练实际采用的布置、单位与固定风速</w:t>
            </w:r>
          </w:p>
        </w:tc>
      </w:tr>
      <w:tr>
        <w:trPr>
          <w:cantSplit/>
        </w:trPr>
        <w:tc>
          <w:tcPr>
            <w:tcW w:type="dxa" w:w="3283"/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b w:val="0"/>
                <w:color w:val="000000"/>
                <w:sz w:val="20"/>
              </w:rPr>
              <w:t>training_report.json</w:t>
            </w:r>
          </w:p>
        </w:tc>
        <w:tc>
          <w:tcPr>
            <w:tcW w:type="dxa" w:w="6595"/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b w:val="0"/>
                <w:color w:val="000000"/>
                <w:sz w:val="20"/>
              </w:rPr>
              <w:t>训练记录、分组行号、控制范围、六个输出的测试MAE和RMSE、原权重校验记录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r>
        <w:t>打开报告查看每台功率误差的W值和每台有效风速误差的m/s值。MAE表示平均绝对误差，RMSE会更突出较大的偏差。允许误差由仿真与优化同学根据项目用途约定；完成训练并不自动代表已经达到优化要求。</w:t>
      </w:r>
    </w:p>
    <w:p>
      <w:r>
        <w:t>还应检查 original_parameters_unchanged 为true、constant_controls_in_training中是否有计划优化却未变化的变量，以及 negative_test_output_count。线性输出没有强制非负约束；出现负功率或负有效风速时应核查数据与拟合效果。优化提出的最终控制方案建议再用仿真或实验复核。</w:t>
      </w:r>
    </w:p>
    <w:p>
      <w:r>
        <w:t>训练完成后交给优化侧：trained.keras、config_used.json、training_report.json、modify_pinn_io.py，以及数据说明。保留原训练目录和待训练模型，便于复现。</w:t>
      </w:r>
    </w:p>
    <w:p>
      <w:pPr>
        <w:pStyle w:val="Heading1"/>
      </w:pPr>
      <w:r>
        <w:t>7 优化同学怎样调用</w:t>
      </w:r>
    </w:p>
    <w:p>
      <w:r>
        <w:t>本节在模型完成训练并确认误差后使用。优化侧提供九个控制量，位置由训练时保存的配置固定。输出为六个数，前三个是W，后三个是m/s。总功率可在优化程序中计算为P1加P2加P3。</w:t>
      </w:r>
    </w:p>
    <w:p>
      <w:pPr>
        <w:pStyle w:val="Heading2"/>
      </w:pPr>
      <w:r>
        <w:t>7 1 批量预测</w:t>
      </w:r>
    </w:p>
    <w:p>
      <w:r>
        <w:t>建立 predict_cases.csv，只需九个控制列，使用相同名称、顺序和单位。在项目根目录执行：</w:t>
      </w:r>
    </w:p>
    <w:p>
      <w:pPr>
        <w:pStyle w:val="PinnCode"/>
      </w:pPr>
      <w:r>
        <w:t>python modify_pinn_io.py predict --bundle "OutputChange\iochanged_9ms" --csv "predict_cases.csv" --output "predictions.csv"</w:t>
      </w:r>
    </w:p>
    <w:p>
      <w:r>
        <w:t>此命令使用该构建目录中最新完成的训练结果。predictions.csv包含九个控制量和六个预测量。输出文件已存在时，请换一个新文件名，脚本会避免覆盖。指定某次训练时，可用 --run 替换 --bundle，并填写该次 training_时间戳 目录。</w:t>
      </w:r>
    </w:p>
    <w:p>
      <w:pPr>
        <w:pStyle w:val="Heading2"/>
      </w:pPr>
      <w:r>
        <w:t>7 2 在优化程序内调用</w:t>
      </w:r>
    </w:p>
    <w:p>
      <w:r>
        <w:t>将下面的run_dir改为实际训练目录；在同一Python进程中加载一次模型，之后反复调用 predict_case(q)。保留 modify_pinn_io.py，并先注册其中的自定义层。</w:t>
      </w:r>
    </w:p>
    <w:p>
      <w:pPr>
        <w:pStyle w:val="PinnCode"/>
      </w:pPr>
      <w:r>
        <w:t>from pathlib import Path</w:t>
        <w:br/>
        <w:t>import numpy as np</w:t>
        <w:br/>
        <w:t>import modify_pinn_io as io</w:t>
        <w:br/>
        <w:br/>
        <w:t>tf, keras, *classes = io.tensorflow_components()</w:t>
        <w:br/>
        <w:t>run_dir = Path(</w:t>
        <w:br/>
        <w:t xml:space="preserve">    r"OutputChange\iochanged_9ms\training_实际时间戳"</w:t>
        <w:br/>
        <w:t>)</w:t>
        <w:br/>
        <w:t>config, positions = io.validate_config(run_dir / "config_used.json")</w:t>
        <w:br/>
        <w:t>model = keras.models.load_model(</w:t>
        <w:br/>
        <w:t xml:space="preserve">    str(run_dir / "trained.keras"), compile=False</w:t>
        <w:br/>
        <w:t>)</w:t>
        <w:br/>
        <w:br/>
        <w:t>def predict_case(q):</w:t>
        <w:br/>
        <w:t xml:space="preserve">    controls = np.asarray(q, dtype=np.float32).reshape(1, 9)</w:t>
        <w:br/>
        <w:t xml:space="preserve">    inputs = io.inputs_for(controls, positions)</w:t>
        <w:br/>
        <w:t xml:space="preserve">    return model(inputs, training=False).numpy()[0]</w:t>
      </w:r>
    </w:p>
    <w:p>
      <w:r>
        <w:t>q按本指南的九维顺序传入；返回值前3项对应P1至P3，后3项对应Ueff1至Ueff3。该函数提供预测，控制边界、约束和异常处理由优化程序实现。以报告中的训练控制范围和已验证条件设置搜索范围；即使单个变量位于范围内，也需要关注组合工况的覆盖程度。</w:t>
      </w:r>
    </w:p>
    <w:p>
      <w:r>
        <w:t>预测使用 config_used.json 中的机组位置和单位。训练完成后单独改全局 project_config.json，不会自动改变已训练模型的适用布置或单位。若布置、机型或来流环境改变，应重新准备对应数据并训练验证。</w:t>
      </w:r>
    </w:p>
    <w:p>
      <w:pPr>
        <w:pStyle w:val="Heading1"/>
      </w:pPr>
      <w:r>
        <w:t>8 常见问题</w:t>
      </w:r>
    </w:p>
    <w:p>
      <w:r>
        <w:rPr>
          <w:b/>
        </w:rPr>
        <w:t>出现弃用WARNING：</w:t>
      </w:r>
      <w:r>
        <w:t>当前已通过的运行中，这类旧接口提示没有阻止操作。是否成功以末尾的[OK]、保存路径和报告为准；出现[ERROR]时保留完整报错末尾。</w:t>
      </w:r>
    </w:p>
    <w:p>
      <w:r>
        <w:rPr>
          <w:b/>
        </w:rPr>
        <w:t>坐标仍为null：</w:t>
      </w:r>
      <w:r>
        <w:t>由仿真同学填写真实机组位置，不能沿用检查时的测试坐标；同时确认轮毂高度和坐标系。</w:t>
      </w:r>
    </w:p>
    <w:p>
      <w:r>
        <w:rPr>
          <w:b/>
        </w:rPr>
        <w:t>CSV缺少列或存在空白：</w:t>
      </w:r>
      <w:r>
        <w:t>对照15列表头补充真实值，Ueff和控制量需要实际数据来源，不能用占位数凑齐。</w:t>
      </w:r>
    </w:p>
    <w:p>
      <w:r>
        <w:rPr>
          <w:b/>
        </w:rPr>
        <w:t>控制量不变化或独立工况不足：</w:t>
      </w:r>
      <w:r>
        <w:t>补充能覆盖待优化变量的工况；固定变量的作用无法由当前样本验证。</w:t>
      </w:r>
    </w:p>
    <w:p>
      <w:r>
        <w:rPr>
          <w:b/>
        </w:rPr>
        <w:t>环境列随工况变化：</w:t>
      </w:r>
      <w:r>
        <w:t>先整理固定环境的数据子集，或另行改造条件输入后再训练。固定入口风速与配置不一致时，应核对单位和工况记录。</w:t>
      </w:r>
    </w:p>
    <w:p>
      <w:r>
        <w:rPr>
          <w:b/>
        </w:rPr>
        <w:t>找不到训练模型：</w:t>
      </w:r>
      <w:r>
        <w:t>当前压缩包交付的是untrained.keras，先完成数据训练。只运行构建命令不会生成trained.keras。</w:t>
      </w:r>
    </w:p>
    <w:p>
      <w:r>
        <w:rPr>
          <w:b/>
        </w:rPr>
        <w:t>直接加载时提示自定义层未知：</w:t>
      </w:r>
      <w:r>
        <w:t>使用本指南的调用方法，先运行 io.tensorflow_components()，再用返回的keras加载。不要混用默认tf.keras与本次tf_keras接口。</w:t>
      </w:r>
    </w:p>
    <w:p>
      <w:r>
        <w:rPr>
          <w:b/>
        </w:rPr>
        <w:t>重复运行构建后目录多出后缀：</w:t>
      </w:r>
      <w:r>
        <w:t>程序会保留旧目录并生成iochanged_9ms_2等新目录。本指南按已交付的iochanged_9ms操作；需要换版本时，明确调整--bundle路径。</w:t>
      </w:r>
    </w:p>
    <w:p>
      <w:pPr>
        <w:pStyle w:val="Heading1"/>
      </w:pPr>
      <w:r>
        <w:t>9 交接记录</w:t>
      </w:r>
    </w:p>
    <w:p>
      <w:r>
        <w:t>本次已完成的范围为原预训练PINN隐藏层冻结、九个控制输入接入、六个目标输出改造及运行一致性检查。坐标与单位确认、真实数据准备、训练、误差验收和优化结果复核由后续接收任务继续完成。</w:t>
      </w:r>
    </w:p>
    <w:p>
      <w:r>
        <w:t>原项目来源：quest-lab-iisc / PINNs_multi_turbine_wake_simulation。压缩包保留原作者的代码、模型及LICENSE。</w:t>
      </w:r>
    </w:p>
    <w:p>
      <w:r>
        <w:t>https://github.com/quest-lab-iisc/PINNs_multi_turbine_wake_simulation</w:t>
      </w:r>
    </w:p>
    <w:sectPr w:rsidR="00FC693F" w:rsidRPr="0006063C" w:rsidSect="00034616">
      <w:footerReference w:type="default" r:id="rId9"/>
      <w:pgSz w:w="12240" w:h="15840"/>
      <w:pgMar w:top="1037" w:right="1181" w:bottom="1008" w:left="1181" w:header="720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第 </w:t>
    </w:r>
    <w:fldSimple w:instr="PAGE"/>
    <w:r>
      <w:rPr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00" w:line="288" w:lineRule="auto"/>
    </w:pPr>
    <w:rPr>
      <w:rFonts w:ascii="Arial" w:hAnsi="Arial" w:eastAsia="Noto Sans CJK SC" w:cs="Arial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="Arial" w:hAnsi="Arial" w:eastAsia="Noto Sans CJK SC" w:cs="Arial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100"/>
      <w:outlineLvl w:val="1"/>
    </w:pPr>
    <w:rPr>
      <w:rFonts w:ascii="Arial" w:hAnsi="Arial" w:eastAsia="Noto Sans CJK SC" w:cs="Arial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00" w:line="240" w:lineRule="auto"/>
      <w:contextualSpacing/>
    </w:pPr>
    <w:rPr>
      <w:rFonts w:ascii="Arial" w:hAnsi="Arial" w:eastAsia="Noto Sans CJK SC" w:cs="Arial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40"/>
    </w:pPr>
    <w:rPr>
      <w:rFonts w:ascii="Arial" w:hAnsi="Arial" w:eastAsia="Noto Sans CJK SC" w:cs="Arial"/>
      <w:b w:val="0"/>
      <w:i w:val="0"/>
      <w:iCs/>
      <w:color w:val="000000"/>
      <w:spacing w:val="15"/>
      <w:sz w:val="21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83" w:lineRule="auto"/>
      <w:contextualSpacing/>
    </w:pPr>
    <w:rPr>
      <w:rFonts w:ascii="Arial" w:hAnsi="Arial" w:eastAsia="Noto Sans CJK SC" w:cs="Arial"/>
      <w:b w:val="0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83" w:lineRule="auto"/>
      <w:contextualSpacing/>
    </w:pPr>
    <w:rPr>
      <w:rFonts w:ascii="Arial" w:hAnsi="Arial" w:eastAsia="Noto Sans CJK SC" w:cs="Arial"/>
      <w:b w:val="0"/>
      <w:color w:val="000000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innCode">
    <w:name w:val="Pinn Code"/>
    <w:pPr>
      <w:keepLines/>
      <w:spacing w:line="259" w:lineRule="auto" w:after="120"/>
      <w:ind w:left="173"/>
    </w:pPr>
    <w:rPr>
      <w:rFonts w:ascii="DejaVu Sans Mono" w:hAnsi="DejaVu Sans Mono" w:eastAsia="Noto Sans CJK SC" w:cs="DejaVu Sans Mono"/>
      <w:b w:val="0"/>
      <w:color w:val="000000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三台风机 PINN 模型交接指南</dc:title>
  <dc:subject>项目打包 数据准备 迁移训练与优化调用</dc:subject>
  <dc:creator>风电场大创项目组</dc:creator>
  <cp:keywords>PINN 三台风机 迁移学习 交接 训练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