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E5B4" w14:textId="77777777" w:rsidR="00854F4A" w:rsidRDefault="00000000">
      <w:pPr>
        <w:spacing w:after="280"/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NREL-5MW 三机串列风力机 MRF 数值仿真阶段总结</w:t>
      </w:r>
    </w:p>
    <w:p w14:paraId="75D1FD7C" w14:textId="77777777" w:rsidR="00854F4A" w:rsidRDefault="00000000">
      <w:pPr>
        <w:spacing w:before="24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一、仿真概述</w:t>
      </w:r>
    </w:p>
    <w:p w14:paraId="13F668BF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本阶段以 NREL-5MW 开源风力机为研究对象，针对三台风机串列布置的风场场景，基于 ANSYS Fluent Meshing 与 Fluent 求解器开展稳态气动数值仿真。工作目标是获取三台机组的推力、输出功率以及串列尾流的速度分布，并以此为基础构建供 PINN 代理模型训练与验证的数据集。</w:t>
      </w:r>
    </w:p>
    <w:p w14:paraId="6F1D3409" w14:textId="64A78564" w:rsidR="00854F4A" w:rsidRDefault="00000000" w:rsidP="00A429A7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与上一阶段（单机/两机、额定工况 11.4 m/s）相比，本阶段推进到三机串列、来流 9 m/s </w:t>
      </w:r>
      <w:r w:rsidR="00A429A7">
        <w:rPr>
          <w:rFonts w:hint="eastAsia"/>
          <w:lang w:eastAsia="zh-CN"/>
        </w:rPr>
        <w:t>、湍流强度10%</w:t>
      </w:r>
      <w:r>
        <w:rPr>
          <w:lang w:eastAsia="zh-CN"/>
        </w:rPr>
        <w:t>的工况，并在同一套几何与网格上分别采用 SST k-</w:t>
      </w:r>
      <w:r>
        <w:t>ω</w:t>
      </w:r>
      <w:r>
        <w:rPr>
          <w:lang w:eastAsia="zh-CN"/>
        </w:rPr>
        <w:t xml:space="preserve"> 与标准 k-</w:t>
      </w:r>
      <w:r w:rsidR="00F2288A">
        <w:t>ε</w:t>
      </w:r>
      <w:r>
        <w:rPr>
          <w:lang w:eastAsia="zh-CN"/>
        </w:rPr>
        <w:t xml:space="preserve"> 两种湍流模型各完成一套稳态计算，用于考察湍流模型对尾流与功率预测的影响。全部计算在 Fluent 2024 中完成，几何由 SpaceClai</w:t>
      </w:r>
      <w:r w:rsidR="00A429A7">
        <w:rPr>
          <w:rFonts w:hint="eastAsia"/>
          <w:lang w:eastAsia="zh-CN"/>
        </w:rPr>
        <w:t>m处理并</w:t>
      </w:r>
      <w:r>
        <w:rPr>
          <w:lang w:eastAsia="zh-CN"/>
        </w:rPr>
        <w:t>导出，网格由 Fluent Meshin生成。</w:t>
      </w:r>
    </w:p>
    <w:p w14:paraId="4E623681" w14:textId="77777777" w:rsidR="00854F4A" w:rsidRDefault="00000000">
      <w:pPr>
        <w:spacing w:before="24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二、仿真模型与几何设置</w:t>
      </w:r>
    </w:p>
    <w:p w14:paraId="28D1C8CF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2.1 物理模型</w:t>
      </w:r>
    </w:p>
    <w:p w14:paraId="13116DCA" w14:textId="298A095F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采用经典 NREL-5MW 开源风力机模型，叶轮直径 12</w:t>
      </w:r>
      <w:r w:rsidR="00A429A7">
        <w:rPr>
          <w:rFonts w:hint="eastAsia"/>
          <w:lang w:eastAsia="zh-CN"/>
        </w:rPr>
        <w:t>6</w:t>
      </w:r>
      <w:r>
        <w:rPr>
          <w:lang w:eastAsia="zh-CN"/>
        </w:rPr>
        <w:t xml:space="preserve"> m。为降低网格量与计算开销，对模型作了简化：仅保留叶扇与轮毂，去除塔架与机舱；轮毂两端的球面改为垂直于转轴的平面；合并叶根附近多余的面并清理小倒角。</w:t>
      </w:r>
    </w:p>
    <w:p w14:paraId="1EADA7E4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转轴并非沿坐标轴方向：轮毂中心位于 (0, 81.333, 8.006) m，转轴方向为 (0, 0.0962, 0.996)，相对来流方向存在约 5.5°的轴倾角，与真实机组的轴倾角一致。</w:t>
      </w:r>
    </w:p>
    <w:p w14:paraId="070E9093" w14:textId="2926E062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三台机组沿来流方向串列布置，转子平面分别位于 z = 8.0、−370.0、−748.0 m，间距 378 m，约为 3 倍叶轮直径。</w:t>
      </w:r>
    </w:p>
    <w:p w14:paraId="54CD1A76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2.2 计算域与网格</w:t>
      </w:r>
    </w:p>
    <w:p w14:paraId="5B7D1082" w14:textId="0A3B0AA2" w:rsidR="00854F4A" w:rsidRDefault="00000000">
      <w:pPr>
        <w:spacing w:after="40"/>
        <w:ind w:firstLine="420"/>
        <w:rPr>
          <w:lang w:eastAsia="zh-CN"/>
        </w:rPr>
      </w:pPr>
      <w:r>
        <w:rPr>
          <w:lang w:eastAsia="zh-CN"/>
        </w:rPr>
        <w:t>外流场为长方体，横向 384 m、竖向 300 m、顺流向 2016 m。上游留出约 1.45D、下游留出约 8.5D 的尾流发展空间，两侧各约 1.5D。每台机组外包裹一个圆柱形旋转域，半径 96 m、沿轴向长度 75 m，三台旋转域互不重叠。</w:t>
      </w:r>
    </w:p>
    <w:p w14:paraId="322E75FB" w14:textId="693B9CC0" w:rsidR="004D5212" w:rsidRDefault="004D5212" w:rsidP="004D5212">
      <w:pPr>
        <w:spacing w:after="40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BF00A68" wp14:editId="575AAD71">
            <wp:extent cx="4201564" cy="2910114"/>
            <wp:effectExtent l="0" t="0" r="8890" b="5080"/>
            <wp:docPr id="89534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384" cy="2918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04409" w14:textId="22254FFA" w:rsidR="00B57092" w:rsidRDefault="00000000" w:rsidP="004D5212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体网格采用 Poly-Hexcore 方案：近壁与叶片表面为多面体网格，流域内部填充以六面体为主的 Hexcore 网格。总网格量为 1,055,511 个单元、4,905,635 个面。叶片表面网格尺寸 0.25 m，边界层 1</w:t>
      </w:r>
      <w:r w:rsidR="004D5212">
        <w:rPr>
          <w:rFonts w:hint="eastAsia"/>
          <w:lang w:eastAsia="zh-CN"/>
        </w:rPr>
        <w:t>0</w:t>
      </w:r>
      <w:r>
        <w:rPr>
          <w:lang w:eastAsia="zh-CN"/>
        </w:rPr>
        <w:t xml:space="preserve"> 层、首层高度 </w:t>
      </w:r>
      <w:r w:rsidR="00B46923">
        <w:rPr>
          <w:rFonts w:hint="eastAsia"/>
          <w:lang w:eastAsia="zh-CN"/>
        </w:rPr>
        <w:t>20</w:t>
      </w:r>
      <w:r>
        <w:rPr>
          <w:lang w:eastAsia="zh-CN"/>
        </w:rPr>
        <w:t xml:space="preserve"> m</w:t>
      </w:r>
      <w:r w:rsidR="00B46923">
        <w:rPr>
          <w:rFonts w:hint="eastAsia"/>
          <w:lang w:eastAsia="zh-CN"/>
        </w:rPr>
        <w:t>m。</w:t>
      </w:r>
    </w:p>
    <w:p w14:paraId="7496E59D" w14:textId="0311FD5F" w:rsidR="00B57092" w:rsidRDefault="00B57092" w:rsidP="00B57092">
      <w:pPr>
        <w:spacing w:after="40"/>
        <w:ind w:firstLine="42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72D90FF" wp14:editId="3A182F56">
            <wp:extent cx="3295556" cy="2224949"/>
            <wp:effectExtent l="0" t="0" r="635" b="4445"/>
            <wp:docPr id="721273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774" cy="2229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474A2" w14:textId="426D7FBE" w:rsidR="00B57092" w:rsidRPr="00F2288A" w:rsidRDefault="00B57092" w:rsidP="00B57092">
      <w:pPr>
        <w:spacing w:after="40"/>
        <w:ind w:firstLine="420"/>
        <w:jc w:val="center"/>
        <w:rPr>
          <w:rFonts w:hint="eastAsia"/>
          <w:sz w:val="18"/>
          <w:szCs w:val="18"/>
          <w:lang w:eastAsia="zh-CN"/>
        </w:rPr>
      </w:pPr>
      <w:r w:rsidRPr="00F2288A">
        <w:rPr>
          <w:rFonts w:hint="eastAsia"/>
          <w:sz w:val="18"/>
          <w:szCs w:val="18"/>
          <w:lang w:eastAsia="zh-CN"/>
        </w:rPr>
        <w:t>总体网格情况</w:t>
      </w:r>
    </w:p>
    <w:p w14:paraId="2C8A70A8" w14:textId="4C179AEA" w:rsidR="00B57092" w:rsidRDefault="00B57092" w:rsidP="00B57092">
      <w:pPr>
        <w:spacing w:after="40"/>
        <w:ind w:firstLine="42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9C30081" wp14:editId="45E20F2B">
            <wp:extent cx="3276525" cy="2295525"/>
            <wp:effectExtent l="0" t="0" r="635" b="0"/>
            <wp:docPr id="14378708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36" cy="2307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50614" w14:textId="0BE49902" w:rsidR="00B57092" w:rsidRPr="00F2288A" w:rsidRDefault="00EA69AA" w:rsidP="00B57092">
      <w:pPr>
        <w:spacing w:after="40"/>
        <w:ind w:firstLine="420"/>
        <w:jc w:val="center"/>
        <w:rPr>
          <w:rFonts w:hint="eastAsia"/>
          <w:sz w:val="18"/>
          <w:szCs w:val="18"/>
          <w:lang w:eastAsia="zh-CN"/>
        </w:rPr>
      </w:pPr>
      <w:r w:rsidRPr="00F2288A">
        <w:rPr>
          <w:rFonts w:hint="eastAsia"/>
          <w:sz w:val="18"/>
          <w:szCs w:val="18"/>
          <w:lang w:eastAsia="zh-CN"/>
        </w:rPr>
        <w:lastRenderedPageBreak/>
        <w:t>网格</w:t>
      </w:r>
      <w:r w:rsidR="00B57092" w:rsidRPr="00F2288A">
        <w:rPr>
          <w:rFonts w:hint="eastAsia"/>
          <w:sz w:val="18"/>
          <w:szCs w:val="18"/>
          <w:lang w:eastAsia="zh-CN"/>
        </w:rPr>
        <w:t>局部切图</w:t>
      </w:r>
    </w:p>
    <w:p w14:paraId="00710859" w14:textId="0E8EE397" w:rsidR="00854F4A" w:rsidRDefault="00000000" w:rsidP="00B57092">
      <w:pPr>
        <w:spacing w:after="40"/>
        <w:rPr>
          <w:rFonts w:hint="eastAsia"/>
          <w:lang w:eastAsia="zh-CN"/>
        </w:rPr>
      </w:pPr>
      <w:r>
        <w:rPr>
          <w:b/>
          <w:sz w:val="24"/>
          <w:lang w:eastAsia="zh-CN"/>
        </w:rPr>
        <w:t>三、数值计算方法</w:t>
      </w:r>
    </w:p>
    <w:p w14:paraId="0B5A00DF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3.1 MRF 多参考系方法</w:t>
      </w:r>
    </w:p>
    <w:p w14:paraId="16E029E1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本次仿真采用多参考系模型（MRF）。将计算域划分为三个旋转域与一个静止域，叶片包裹于圆柱旋转域内，通过给定旋转角速度模拟叶片转动，外部流域保持静止。三个旋转域各自设置独立的旋转轴原点与转速，因此可以在同一次计算中让三台机组以不同转速运行。</w:t>
      </w:r>
    </w:p>
    <w:p w14:paraId="30B36AED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动静域交界面通过非共节点网格插值传递流场数据，无需动网格迭代，计算稳定性高、开销低，适合获取时均气动载荷与平均尾流场。其局限性在于：只得到时间平均结果，无法捕捉叶片脱落涡与尾流的瞬态脉动；交界面两侧网格尺寸差距不能过大，否则插值误差会污染尾流。</w:t>
      </w:r>
    </w:p>
    <w:p w14:paraId="6E19E18C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3.2 湍流模型与求解设置</w:t>
      </w:r>
    </w:p>
    <w:p w14:paraId="71EE9913" w14:textId="5E16A25E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两套算例分别采用 SST k-</w:t>
      </w:r>
      <m:oMath>
        <m:r>
          <w:rPr>
            <w:rFonts w:ascii="Cambria Math" w:hAnsi="Cambria Math"/>
            <w:lang w:eastAsia="zh-CN"/>
          </w:rPr>
          <m:t>ω</m:t>
        </m:r>
      </m:oMath>
      <w:r>
        <w:rPr>
          <w:lang w:eastAsia="zh-CN"/>
        </w:rPr>
        <w:t xml:space="preserve"> 模型与标准 k-</w:t>
      </w:r>
      <m:oMath>
        <m:r>
          <w:rPr>
            <w:rFonts w:ascii="Cambria Math" w:hAnsi="Cambria Math"/>
            <w:lang w:eastAsia="zh-CN"/>
          </w:rPr>
          <m:t>ε</m:t>
        </m:r>
      </m:oMath>
      <w:r>
        <w:rPr>
          <w:lang w:eastAsia="zh-CN"/>
        </w:rPr>
        <w:t xml:space="preserve"> 模型。SST k-</w:t>
      </w:r>
      <m:oMath>
        <m:r>
          <w:rPr>
            <w:rFonts w:ascii="Cambria Math" w:hAnsi="Cambria Math"/>
            <w:lang w:eastAsia="zh-CN"/>
          </w:rPr>
          <m:t>ω</m:t>
        </m:r>
      </m:oMath>
      <w:r>
        <w:rPr>
          <w:lang w:eastAsia="zh-CN"/>
        </w:rPr>
        <w:t xml:space="preserve"> 在近壁区采用 k-</w:t>
      </w:r>
      <m:oMath>
        <m:r>
          <w:rPr>
            <w:rFonts w:ascii="Cambria Math" w:hAnsi="Cambria Math"/>
            <w:lang w:eastAsia="zh-CN"/>
          </w:rPr>
          <m:t>ω</m:t>
        </m:r>
      </m:oMath>
      <w:r>
        <w:rPr>
          <w:lang w:eastAsia="zh-CN"/>
        </w:rPr>
        <w:t xml:space="preserve"> 形式，对边界层与逆压梯度下的分离流动模拟能力强；在自由流区域自动切换为 k-</w:t>
      </w:r>
      <m:oMath>
        <m:r>
          <w:rPr>
            <w:rFonts w:ascii="Cambria Math" w:hAnsi="Cambria Math"/>
            <w:lang w:eastAsia="zh-CN"/>
          </w:rPr>
          <m:t>ε</m:t>
        </m:r>
      </m:oMath>
      <w:r>
        <w:rPr>
          <w:lang w:eastAsia="zh-CN"/>
        </w:rPr>
        <w:t xml:space="preserve"> 形式，避免标准 k-</w:t>
      </w:r>
      <m:oMath>
        <m:r>
          <w:rPr>
            <w:rFonts w:ascii="Cambria Math" w:hAnsi="Cambria Math"/>
            <w:lang w:eastAsia="zh-CN"/>
          </w:rPr>
          <m:t>ω</m:t>
        </m:r>
      </m:oMath>
      <w:r>
        <w:rPr>
          <w:lang w:eastAsia="zh-CN"/>
        </w:rPr>
        <w:t xml:space="preserve"> 对来流 </w:t>
      </w:r>
      <m:oMath>
        <m:r>
          <w:rPr>
            <w:rFonts w:ascii="Cambria Math" w:hAnsi="Cambria Math"/>
            <w:lang w:eastAsia="zh-CN"/>
          </w:rPr>
          <m:t>ω</m:t>
        </m:r>
      </m:oMath>
      <w:r>
        <w:rPr>
          <w:lang w:eastAsia="zh-CN"/>
        </w:rPr>
        <w:t xml:space="preserve"> 边界条件过于敏感的缺陷。k-</w:t>
      </w:r>
      <m:oMath>
        <m:r>
          <w:rPr>
            <w:rFonts w:ascii="Cambria Math" w:hAnsi="Cambria Math"/>
            <w:lang w:eastAsia="zh-CN"/>
          </w:rPr>
          <m:t>ε</m:t>
        </m:r>
      </m:oMath>
      <w:r>
        <w:rPr>
          <w:lang w:eastAsia="zh-CN"/>
        </w:rPr>
        <w:t xml:space="preserve"> 则用于对比，考察模型选择对尾流恢复的影响。</w:t>
      </w:r>
    </w:p>
    <w:p w14:paraId="697374FF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两套算例的几何、网格、边界条件完全一致，仅湍流模型不同，具体设置见表 1。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236"/>
      </w:tblGrid>
      <w:tr w:rsidR="00854F4A" w14:paraId="3567B6AC" w14:textId="77777777">
        <w:trPr>
          <w:cantSplit/>
          <w:tblHeader/>
          <w:jc w:val="center"/>
        </w:trPr>
        <w:tc>
          <w:tcPr>
            <w:tcW w:w="2381" w:type="dxa"/>
          </w:tcPr>
          <w:p w14:paraId="0D5C47A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236" w:type="dxa"/>
          </w:tcPr>
          <w:p w14:paraId="2835DCE3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设置</w:t>
            </w:r>
          </w:p>
        </w:tc>
      </w:tr>
      <w:tr w:rsidR="00854F4A" w14:paraId="7D7109FF" w14:textId="77777777">
        <w:trPr>
          <w:cantSplit/>
          <w:jc w:val="center"/>
        </w:trPr>
        <w:tc>
          <w:tcPr>
            <w:tcW w:w="2381" w:type="dxa"/>
          </w:tcPr>
          <w:p w14:paraId="66D7C5E4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求解器</w:t>
            </w:r>
          </w:p>
        </w:tc>
        <w:tc>
          <w:tcPr>
            <w:tcW w:w="6236" w:type="dxa"/>
          </w:tcPr>
          <w:p w14:paraId="7ECF9AC2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Fluent，压力基，稳态</w:t>
            </w:r>
          </w:p>
        </w:tc>
      </w:tr>
      <w:tr w:rsidR="00854F4A" w14:paraId="5F2E351F" w14:textId="77777777">
        <w:trPr>
          <w:cantSplit/>
          <w:jc w:val="center"/>
        </w:trPr>
        <w:tc>
          <w:tcPr>
            <w:tcW w:w="2381" w:type="dxa"/>
          </w:tcPr>
          <w:p w14:paraId="74996FD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压力-速度耦合</w:t>
            </w:r>
          </w:p>
        </w:tc>
        <w:tc>
          <w:tcPr>
            <w:tcW w:w="6236" w:type="dxa"/>
          </w:tcPr>
          <w:p w14:paraId="3D64CD8B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Coupled，伪时间推进</w:t>
            </w:r>
          </w:p>
        </w:tc>
      </w:tr>
      <w:tr w:rsidR="00854F4A" w14:paraId="138AD598" w14:textId="77777777">
        <w:trPr>
          <w:cantSplit/>
          <w:jc w:val="center"/>
        </w:trPr>
        <w:tc>
          <w:tcPr>
            <w:tcW w:w="2381" w:type="dxa"/>
          </w:tcPr>
          <w:p w14:paraId="0AB8C81F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空间离散</w:t>
            </w:r>
          </w:p>
        </w:tc>
        <w:tc>
          <w:tcPr>
            <w:tcW w:w="6236" w:type="dxa"/>
          </w:tcPr>
          <w:p w14:paraId="6DE2094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二阶迎风</w:t>
            </w:r>
          </w:p>
        </w:tc>
      </w:tr>
      <w:tr w:rsidR="00854F4A" w14:paraId="65E2DC10" w14:textId="77777777">
        <w:trPr>
          <w:cantSplit/>
          <w:jc w:val="center"/>
        </w:trPr>
        <w:tc>
          <w:tcPr>
            <w:tcW w:w="2381" w:type="dxa"/>
          </w:tcPr>
          <w:p w14:paraId="5030D1C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入口</w:t>
            </w:r>
          </w:p>
        </w:tc>
        <w:tc>
          <w:tcPr>
            <w:tcW w:w="6236" w:type="dxa"/>
          </w:tcPr>
          <w:p w14:paraId="7BED9E6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速度入口，9 m/s，垂直于入口面</w:t>
            </w:r>
          </w:p>
        </w:tc>
      </w:tr>
      <w:tr w:rsidR="00854F4A" w14:paraId="1A75FB09" w14:textId="77777777">
        <w:trPr>
          <w:cantSplit/>
          <w:jc w:val="center"/>
        </w:trPr>
        <w:tc>
          <w:tcPr>
            <w:tcW w:w="2381" w:type="dxa"/>
          </w:tcPr>
          <w:p w14:paraId="4B213B63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出口</w:t>
            </w:r>
          </w:p>
        </w:tc>
        <w:tc>
          <w:tcPr>
            <w:tcW w:w="6236" w:type="dxa"/>
          </w:tcPr>
          <w:p w14:paraId="54F01C2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压力出口，表压 0 Pa</w:t>
            </w:r>
          </w:p>
        </w:tc>
      </w:tr>
      <w:tr w:rsidR="00854F4A" w14:paraId="3D84E4F7" w14:textId="77777777">
        <w:trPr>
          <w:cantSplit/>
          <w:jc w:val="center"/>
        </w:trPr>
        <w:tc>
          <w:tcPr>
            <w:tcW w:w="2381" w:type="dxa"/>
          </w:tcPr>
          <w:p w14:paraId="3B2C5872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侧面与顶底</w:t>
            </w:r>
          </w:p>
        </w:tc>
        <w:tc>
          <w:tcPr>
            <w:tcW w:w="6236" w:type="dxa"/>
          </w:tcPr>
          <w:p w14:paraId="2F49CE8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对称边界</w:t>
            </w:r>
          </w:p>
        </w:tc>
      </w:tr>
      <w:tr w:rsidR="00854F4A" w14:paraId="0CFFA200" w14:textId="77777777">
        <w:trPr>
          <w:cantSplit/>
          <w:jc w:val="center"/>
        </w:trPr>
        <w:tc>
          <w:tcPr>
            <w:tcW w:w="2381" w:type="dxa"/>
          </w:tcPr>
          <w:p w14:paraId="2E509BF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叶片与轮毂</w:t>
            </w:r>
          </w:p>
        </w:tc>
        <w:tc>
          <w:tcPr>
            <w:tcW w:w="6236" w:type="dxa"/>
          </w:tcPr>
          <w:p w14:paraId="657D24F4" w14:textId="77777777" w:rsidR="00854F4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无滑移壁面，相对相邻网格区静止（随旋转域转动）</w:t>
            </w:r>
          </w:p>
        </w:tc>
      </w:tr>
      <w:tr w:rsidR="00854F4A" w14:paraId="50A84C1D" w14:textId="77777777">
        <w:trPr>
          <w:cantSplit/>
          <w:jc w:val="center"/>
        </w:trPr>
        <w:tc>
          <w:tcPr>
            <w:tcW w:w="2381" w:type="dxa"/>
          </w:tcPr>
          <w:p w14:paraId="45F6890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旋转域转速</w:t>
            </w:r>
          </w:p>
        </w:tc>
        <w:tc>
          <w:tcPr>
            <w:tcW w:w="6236" w:type="dxa"/>
          </w:tcPr>
          <w:p w14:paraId="1DF4BAA0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Ω = 1.070 rad/s（约 10.2 r/min），三者相同</w:t>
            </w:r>
          </w:p>
        </w:tc>
      </w:tr>
      <w:tr w:rsidR="00854F4A" w14:paraId="25DD1B79" w14:textId="77777777">
        <w:trPr>
          <w:cantSplit/>
          <w:jc w:val="center"/>
        </w:trPr>
        <w:tc>
          <w:tcPr>
            <w:tcW w:w="2381" w:type="dxa"/>
          </w:tcPr>
          <w:p w14:paraId="637CD305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湍流模型</w:t>
            </w:r>
          </w:p>
        </w:tc>
        <w:tc>
          <w:tcPr>
            <w:tcW w:w="6236" w:type="dxa"/>
          </w:tcPr>
          <w:p w14:paraId="46B84287" w14:textId="6DA0F3FD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A：SST k-</w:t>
            </w:r>
            <m:oMath>
              <m:r>
                <w:rPr>
                  <w:rFonts w:ascii="Cambria Math" w:hAnsi="Cambria Math"/>
                  <w:sz w:val="18"/>
                </w:rPr>
                <m:t>ω</m:t>
              </m:r>
            </m:oMath>
            <w:r>
              <w:rPr>
                <w:sz w:val="18"/>
              </w:rPr>
              <w:t>；B：标准 k-</w:t>
            </w:r>
            <m:oMath>
              <m:r>
                <w:rPr>
                  <w:rFonts w:ascii="Cambria Math" w:hAnsi="Cambria Math"/>
                  <w:sz w:val="18"/>
                </w:rPr>
                <m:t>ε</m:t>
              </m:r>
            </m:oMath>
          </w:p>
        </w:tc>
      </w:tr>
      <w:tr w:rsidR="00854F4A" w14:paraId="4D79B814" w14:textId="77777777">
        <w:trPr>
          <w:cantSplit/>
          <w:jc w:val="center"/>
        </w:trPr>
        <w:tc>
          <w:tcPr>
            <w:tcW w:w="2381" w:type="dxa"/>
          </w:tcPr>
          <w:p w14:paraId="2E73B00C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收敛步数</w:t>
            </w:r>
          </w:p>
        </w:tc>
        <w:tc>
          <w:tcPr>
            <w:tcW w:w="6236" w:type="dxa"/>
          </w:tcPr>
          <w:p w14:paraId="273593F4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A：4606 步；B：4800 步</w:t>
            </w:r>
          </w:p>
        </w:tc>
      </w:tr>
    </w:tbl>
    <w:p w14:paraId="5197B932" w14:textId="77777777" w:rsidR="00854F4A" w:rsidRDefault="00854F4A">
      <w:pPr>
        <w:rPr>
          <w:rFonts w:hint="eastAsia"/>
        </w:rPr>
      </w:pPr>
    </w:p>
    <w:p w14:paraId="44A89C83" w14:textId="77777777" w:rsidR="00854F4A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444444"/>
          <w:sz w:val="18"/>
          <w:lang w:eastAsia="zh-CN"/>
        </w:rPr>
        <w:t>表 1  两套算例的求解设置。除湍流模型外其余条件完全一致。</w:t>
      </w:r>
    </w:p>
    <w:p w14:paraId="11F39F08" w14:textId="7C6007A7" w:rsidR="00854F4A" w:rsidRDefault="00000000">
      <w:pPr>
        <w:spacing w:before="24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四、仿真结果</w:t>
      </w:r>
      <w:r w:rsidR="0098524D">
        <w:rPr>
          <w:rFonts w:hint="eastAsia"/>
          <w:b/>
          <w:sz w:val="24"/>
          <w:lang w:eastAsia="zh-CN"/>
        </w:rPr>
        <w:t>（可以在之前的压缩文件中的总结文档看更详细的描述）</w:t>
      </w:r>
    </w:p>
    <w:p w14:paraId="4A289E98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4.1 推力与输出功率</w:t>
      </w:r>
    </w:p>
    <w:p w14:paraId="1358F8E6" w14:textId="77777777" w:rsidR="00854F4A" w:rsidRDefault="00000000">
      <w:pPr>
        <w:spacing w:after="40"/>
        <w:ind w:firstLine="420"/>
        <w:rPr>
          <w:rFonts w:hint="eastAsia"/>
        </w:rPr>
      </w:pPr>
      <w:r>
        <w:rPr>
          <w:lang w:eastAsia="zh-CN"/>
        </w:rPr>
        <w:lastRenderedPageBreak/>
        <w:t>三台机组的推力由叶片与轮毂壁面的压力积分得到，功率按致动盘关系 P = T·u 计算，其中 u 为转子盘面的面积平均轴向速度。</w:t>
      </w:r>
      <w:r>
        <w:t>结果见表 2。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474"/>
        <w:gridCol w:w="1474"/>
        <w:gridCol w:w="1701"/>
        <w:gridCol w:w="1701"/>
        <w:gridCol w:w="1361"/>
        <w:gridCol w:w="1361"/>
      </w:tblGrid>
      <w:tr w:rsidR="00854F4A" w14:paraId="7F9E3511" w14:textId="77777777">
        <w:trPr>
          <w:cantSplit/>
          <w:tblHeader/>
          <w:jc w:val="center"/>
        </w:trPr>
        <w:tc>
          <w:tcPr>
            <w:tcW w:w="1247" w:type="dxa"/>
          </w:tcPr>
          <w:p w14:paraId="57515490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机组</w:t>
            </w:r>
          </w:p>
        </w:tc>
        <w:tc>
          <w:tcPr>
            <w:tcW w:w="1474" w:type="dxa"/>
          </w:tcPr>
          <w:p w14:paraId="6625FD50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推力 A (kN)</w:t>
            </w:r>
          </w:p>
        </w:tc>
        <w:tc>
          <w:tcPr>
            <w:tcW w:w="1474" w:type="dxa"/>
          </w:tcPr>
          <w:p w14:paraId="5A73E092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推力 B (kN)</w:t>
            </w:r>
          </w:p>
        </w:tc>
        <w:tc>
          <w:tcPr>
            <w:tcW w:w="1701" w:type="dxa"/>
          </w:tcPr>
          <w:p w14:paraId="2A7B1A35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盘面速度 A (m/s)</w:t>
            </w:r>
          </w:p>
        </w:tc>
        <w:tc>
          <w:tcPr>
            <w:tcW w:w="1701" w:type="dxa"/>
          </w:tcPr>
          <w:p w14:paraId="4FA91C93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盘面速度 B (m/s)</w:t>
            </w:r>
          </w:p>
        </w:tc>
        <w:tc>
          <w:tcPr>
            <w:tcW w:w="1361" w:type="dxa"/>
          </w:tcPr>
          <w:p w14:paraId="25BA0B85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功率 A (MW)</w:t>
            </w:r>
          </w:p>
        </w:tc>
        <w:tc>
          <w:tcPr>
            <w:tcW w:w="1361" w:type="dxa"/>
          </w:tcPr>
          <w:p w14:paraId="6D58B82B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功率 B (MW)</w:t>
            </w:r>
          </w:p>
        </w:tc>
      </w:tr>
      <w:tr w:rsidR="00854F4A" w14:paraId="7351F107" w14:textId="77777777">
        <w:trPr>
          <w:cantSplit/>
          <w:jc w:val="center"/>
        </w:trPr>
        <w:tc>
          <w:tcPr>
            <w:tcW w:w="1247" w:type="dxa"/>
          </w:tcPr>
          <w:p w14:paraId="7366B94B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台</w:t>
            </w:r>
          </w:p>
        </w:tc>
        <w:tc>
          <w:tcPr>
            <w:tcW w:w="1474" w:type="dxa"/>
          </w:tcPr>
          <w:p w14:paraId="46DF76A5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388.0</w:t>
            </w:r>
          </w:p>
        </w:tc>
        <w:tc>
          <w:tcPr>
            <w:tcW w:w="1474" w:type="dxa"/>
          </w:tcPr>
          <w:p w14:paraId="05D7704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378.7</w:t>
            </w:r>
          </w:p>
        </w:tc>
        <w:tc>
          <w:tcPr>
            <w:tcW w:w="1701" w:type="dxa"/>
          </w:tcPr>
          <w:p w14:paraId="34FB59EA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6.15</w:t>
            </w:r>
          </w:p>
        </w:tc>
        <w:tc>
          <w:tcPr>
            <w:tcW w:w="1701" w:type="dxa"/>
          </w:tcPr>
          <w:p w14:paraId="29B54518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6.13</w:t>
            </w:r>
          </w:p>
        </w:tc>
        <w:tc>
          <w:tcPr>
            <w:tcW w:w="1361" w:type="dxa"/>
          </w:tcPr>
          <w:p w14:paraId="2A287074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2.39</w:t>
            </w:r>
          </w:p>
        </w:tc>
        <w:tc>
          <w:tcPr>
            <w:tcW w:w="1361" w:type="dxa"/>
          </w:tcPr>
          <w:p w14:paraId="6C6ED79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2.32</w:t>
            </w:r>
          </w:p>
        </w:tc>
      </w:tr>
      <w:tr w:rsidR="00854F4A" w14:paraId="77186EEC" w14:textId="77777777">
        <w:trPr>
          <w:cantSplit/>
          <w:jc w:val="center"/>
        </w:trPr>
        <w:tc>
          <w:tcPr>
            <w:tcW w:w="1247" w:type="dxa"/>
          </w:tcPr>
          <w:p w14:paraId="2998A1D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2 台</w:t>
            </w:r>
          </w:p>
        </w:tc>
        <w:tc>
          <w:tcPr>
            <w:tcW w:w="1474" w:type="dxa"/>
          </w:tcPr>
          <w:p w14:paraId="5F85782A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342.0</w:t>
            </w:r>
          </w:p>
        </w:tc>
        <w:tc>
          <w:tcPr>
            <w:tcW w:w="1474" w:type="dxa"/>
          </w:tcPr>
          <w:p w14:paraId="1E5FD2E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339.6</w:t>
            </w:r>
          </w:p>
        </w:tc>
        <w:tc>
          <w:tcPr>
            <w:tcW w:w="1701" w:type="dxa"/>
          </w:tcPr>
          <w:p w14:paraId="5D2AB41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6.14</w:t>
            </w:r>
          </w:p>
        </w:tc>
        <w:tc>
          <w:tcPr>
            <w:tcW w:w="1701" w:type="dxa"/>
          </w:tcPr>
          <w:p w14:paraId="4A4CD8AF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6.15</w:t>
            </w:r>
          </w:p>
        </w:tc>
        <w:tc>
          <w:tcPr>
            <w:tcW w:w="1361" w:type="dxa"/>
          </w:tcPr>
          <w:p w14:paraId="0121A01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2.10</w:t>
            </w:r>
          </w:p>
        </w:tc>
        <w:tc>
          <w:tcPr>
            <w:tcW w:w="1361" w:type="dxa"/>
          </w:tcPr>
          <w:p w14:paraId="02078F7D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2.09</w:t>
            </w:r>
          </w:p>
        </w:tc>
      </w:tr>
      <w:tr w:rsidR="00854F4A" w14:paraId="2410306D" w14:textId="77777777">
        <w:trPr>
          <w:cantSplit/>
          <w:jc w:val="center"/>
        </w:trPr>
        <w:tc>
          <w:tcPr>
            <w:tcW w:w="1247" w:type="dxa"/>
          </w:tcPr>
          <w:p w14:paraId="7F644821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台</w:t>
            </w:r>
          </w:p>
        </w:tc>
        <w:tc>
          <w:tcPr>
            <w:tcW w:w="1474" w:type="dxa"/>
          </w:tcPr>
          <w:p w14:paraId="45301D56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324.6</w:t>
            </w:r>
          </w:p>
        </w:tc>
        <w:tc>
          <w:tcPr>
            <w:tcW w:w="1474" w:type="dxa"/>
          </w:tcPr>
          <w:p w14:paraId="61E2561D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322.9</w:t>
            </w:r>
          </w:p>
        </w:tc>
        <w:tc>
          <w:tcPr>
            <w:tcW w:w="1701" w:type="dxa"/>
          </w:tcPr>
          <w:p w14:paraId="430E89A0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4.05</w:t>
            </w:r>
          </w:p>
        </w:tc>
        <w:tc>
          <w:tcPr>
            <w:tcW w:w="1701" w:type="dxa"/>
          </w:tcPr>
          <w:p w14:paraId="1FC298F7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4.03</w:t>
            </w:r>
          </w:p>
        </w:tc>
        <w:tc>
          <w:tcPr>
            <w:tcW w:w="1361" w:type="dxa"/>
          </w:tcPr>
          <w:p w14:paraId="07730D68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1.31</w:t>
            </w:r>
          </w:p>
        </w:tc>
        <w:tc>
          <w:tcPr>
            <w:tcW w:w="1361" w:type="dxa"/>
          </w:tcPr>
          <w:p w14:paraId="63D601C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1.30</w:t>
            </w:r>
          </w:p>
        </w:tc>
      </w:tr>
      <w:tr w:rsidR="00854F4A" w14:paraId="2423D40D" w14:textId="77777777">
        <w:trPr>
          <w:cantSplit/>
          <w:jc w:val="center"/>
        </w:trPr>
        <w:tc>
          <w:tcPr>
            <w:tcW w:w="1247" w:type="dxa"/>
          </w:tcPr>
          <w:p w14:paraId="1C1E915A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474" w:type="dxa"/>
          </w:tcPr>
          <w:p w14:paraId="5BBAF5AC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1054.5</w:t>
            </w:r>
          </w:p>
        </w:tc>
        <w:tc>
          <w:tcPr>
            <w:tcW w:w="1474" w:type="dxa"/>
          </w:tcPr>
          <w:p w14:paraId="2E6FA85E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1041.2</w:t>
            </w:r>
          </w:p>
        </w:tc>
        <w:tc>
          <w:tcPr>
            <w:tcW w:w="1701" w:type="dxa"/>
          </w:tcPr>
          <w:p w14:paraId="0C9AF2AC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2F5C5FC4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05D2AD49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5.80</w:t>
            </w:r>
          </w:p>
        </w:tc>
        <w:tc>
          <w:tcPr>
            <w:tcW w:w="1361" w:type="dxa"/>
          </w:tcPr>
          <w:p w14:paraId="7E4E7D24" w14:textId="77777777" w:rsidR="00854F4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5.71</w:t>
            </w:r>
          </w:p>
        </w:tc>
      </w:tr>
    </w:tbl>
    <w:p w14:paraId="0D8AC7E0" w14:textId="77777777" w:rsidR="00854F4A" w:rsidRDefault="00854F4A">
      <w:pPr>
        <w:rPr>
          <w:rFonts w:hint="eastAsia"/>
        </w:rPr>
      </w:pPr>
    </w:p>
    <w:p w14:paraId="202284FD" w14:textId="522AB6C2" w:rsidR="00854F4A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444444"/>
          <w:sz w:val="18"/>
          <w:lang w:eastAsia="zh-CN"/>
        </w:rPr>
        <w:t>表 2  三台机组的推力、盘面平均速度与输出功率（A：SST k-</w:t>
      </w:r>
      <m:oMath>
        <m:r>
          <w:rPr>
            <w:rFonts w:ascii="Cambria Math" w:hAnsi="Cambria Math"/>
            <w:color w:val="444444"/>
            <w:sz w:val="18"/>
            <w:lang w:eastAsia="zh-CN"/>
          </w:rPr>
          <m:t>ω</m:t>
        </m:r>
      </m:oMath>
      <w:r>
        <w:rPr>
          <w:color w:val="444444"/>
          <w:sz w:val="18"/>
          <w:lang w:eastAsia="zh-CN"/>
        </w:rPr>
        <w:t>；B：标准 k-</w:t>
      </w:r>
      <m:oMath>
        <m:r>
          <w:rPr>
            <w:rFonts w:ascii="Cambria Math" w:hAnsi="Cambria Math"/>
            <w:color w:val="444444"/>
            <w:sz w:val="18"/>
            <w:lang w:eastAsia="zh-CN"/>
          </w:rPr>
          <m:t>ε</m:t>
        </m:r>
      </m:oMath>
      <w:r>
        <w:rPr>
          <w:color w:val="444444"/>
          <w:sz w:val="18"/>
          <w:lang w:eastAsia="zh-CN"/>
        </w:rPr>
        <w:t>）。</w:t>
      </w:r>
    </w:p>
    <w:p w14:paraId="6754A29E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两套算例的三台总功率分别为 5.80 MW 与 5.71 MW，相差仅 1.5%，说明在本工况下湍流模型的选择对时均功率预测影响有限。受上游尾流影响，第 2、3 台的功率依次降低，符合串列布置的基本规律。</w:t>
      </w:r>
    </w:p>
    <w:p w14:paraId="34EF76E5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4.2 尾流中心线</w:t>
      </w:r>
    </w:p>
    <w:p w14:paraId="61B0ED75" w14:textId="0CA98CB2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沿三台转子轴心连线提取轴向速度，得到尾流中心线分布，如图 2 左所示。自由流段约 9 m/s；经过 1 号转子后下降至约 4.5～5.5 m/s，随后沿下游逐渐恢复。两套模型的中心线在中近场几乎重合，仅在 7D 以外的远场出现 3%～4% 的差异，k-</w:t>
      </w:r>
      <w:r w:rsidR="00F2288A">
        <w:t>ε</w:t>
      </w:r>
      <w:r>
        <w:rPr>
          <w:lang w:eastAsia="zh-CN"/>
        </w:rPr>
        <w:t xml:space="preserve"> 的恢复略慢，与其耗散特性一致。</w:t>
      </w:r>
    </w:p>
    <w:p w14:paraId="5B92792B" w14:textId="77777777" w:rsidR="00854F4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8701E7" wp14:editId="7160CF82">
            <wp:extent cx="5292000" cy="2187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1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465" w14:textId="77777777" w:rsidR="00854F4A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444444"/>
          <w:sz w:val="18"/>
          <w:lang w:eastAsia="zh-CN"/>
        </w:rPr>
        <w:t>图 2  尾流中心线轴向速度（左）与单台输出功率（右）对比</w:t>
      </w:r>
    </w:p>
    <w:p w14:paraId="21955E24" w14:textId="77777777" w:rsidR="00854F4A" w:rsidRDefault="00000000">
      <w:pPr>
        <w:spacing w:after="40"/>
        <w:ind w:firstLine="420"/>
        <w:rPr>
          <w:lang w:eastAsia="zh-CN"/>
        </w:rPr>
      </w:pPr>
      <w:r>
        <w:rPr>
          <w:lang w:eastAsia="zh-CN"/>
        </w:rPr>
        <w:t>图 2 右侧为两套模型的单台功率对比。可以看出模型差异主要集中在第 1 台（2.7%），下游两台差异仅 0.5%～0.9%，即进入尾流段后两种湍流模型给出的时均结果趋于一致。</w:t>
      </w:r>
    </w:p>
    <w:p w14:paraId="3C13965A" w14:textId="2A8E6BA2" w:rsidR="00B46923" w:rsidRDefault="00B46923" w:rsidP="00B46923">
      <w:pPr>
        <w:spacing w:after="40"/>
        <w:ind w:firstLine="42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3017B02" wp14:editId="3250340E">
            <wp:extent cx="3974465" cy="2169503"/>
            <wp:effectExtent l="0" t="0" r="6985" b="2540"/>
            <wp:docPr id="19010577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625" cy="217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DC1DE" w14:textId="6E80574A" w:rsidR="00B46923" w:rsidRPr="00F2288A" w:rsidRDefault="00B46923" w:rsidP="00B46923">
      <w:pPr>
        <w:spacing w:after="40"/>
        <w:ind w:firstLine="420"/>
        <w:jc w:val="center"/>
        <w:rPr>
          <w:rFonts w:hint="eastAsia"/>
          <w:sz w:val="18"/>
          <w:szCs w:val="18"/>
          <w:lang w:eastAsia="zh-CN"/>
        </w:rPr>
      </w:pPr>
      <w:r w:rsidRPr="00F2288A">
        <w:rPr>
          <w:rFonts w:hint="eastAsia"/>
          <w:sz w:val="18"/>
          <w:szCs w:val="18"/>
          <w:lang w:eastAsia="zh-CN"/>
        </w:rPr>
        <w:t>YZ面尾流速度云图示例（k-</w:t>
      </w:r>
      <m:oMath>
        <m:r>
          <w:rPr>
            <w:rFonts w:ascii="Cambria Math" w:hAnsi="Cambria Math"/>
            <w:sz w:val="18"/>
            <w:szCs w:val="18"/>
            <w:lang w:eastAsia="zh-CN"/>
          </w:rPr>
          <m:t>ε</m:t>
        </m:r>
      </m:oMath>
      <w:r w:rsidRPr="00F2288A">
        <w:rPr>
          <w:rFonts w:hint="eastAsia"/>
          <w:sz w:val="18"/>
          <w:szCs w:val="18"/>
          <w:lang w:eastAsia="zh-CN"/>
        </w:rPr>
        <w:t>工况下）</w:t>
      </w:r>
    </w:p>
    <w:p w14:paraId="7A494E6F" w14:textId="77777777" w:rsidR="00854F4A" w:rsidRDefault="00000000">
      <w:pPr>
        <w:spacing w:before="24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五、阶段认识与改进方向</w:t>
      </w:r>
    </w:p>
    <w:p w14:paraId="695303D7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5.1 已发现的问题</w:t>
      </w:r>
    </w:p>
    <w:p w14:paraId="64BC8F19" w14:textId="344BF49C" w:rsidR="00854F4A" w:rsidRDefault="00000000" w:rsidP="00A429A7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（1）尾流偏窄，下游功率可能偏高。当前结果是：第 2 台功率为第 1 台的 88%，盘面平均速度亏损仅 4.4%；而 3D 串列布置的工程参考值为 45%～55%，用 Jensen 模型按本算例的推力系数手算也在 46%～55% 之间。原因是尾流的低速核心只覆盖转子盘面约 10% 的面积，下游转子大部分面积仍“看到”接近自由流的风，使推力与功率的下降幅度明显偏小。</w:t>
      </w:r>
    </w:p>
    <w:p w14:paraId="30CAB0A3" w14:textId="05C9037B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</w:t>
      </w:r>
      <w:r w:rsidR="00A429A7">
        <w:rPr>
          <w:rFonts w:hint="eastAsia"/>
          <w:lang w:eastAsia="zh-CN"/>
        </w:rPr>
        <w:t>2</w:t>
      </w:r>
      <w:r>
        <w:rPr>
          <w:lang w:eastAsia="zh-CN"/>
        </w:rPr>
        <w:t>）网格存在冗余。前述三个零速度区占 27% 的单元，既浪费计算资源，也会在交界面产生不必要的数值处理。</w:t>
      </w:r>
    </w:p>
    <w:p w14:paraId="6AE72F09" w14:textId="5F0482AC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</w:t>
      </w:r>
      <w:r w:rsidR="00A429A7">
        <w:rPr>
          <w:rFonts w:hint="eastAsia"/>
          <w:lang w:eastAsia="zh-CN"/>
        </w:rPr>
        <w:t>3</w:t>
      </w:r>
      <w:r>
        <w:rPr>
          <w:lang w:eastAsia="zh-CN"/>
        </w:rPr>
        <w:t>）叶片壁面存在重复面。导入的几何中叶片壁面带有 -shadow 影子区与若干切分碎片，推力积分时需要合并主区、排除影子区，否则受力会被拆分或抵消。</w:t>
      </w:r>
    </w:p>
    <w:p w14:paraId="42045399" w14:textId="77777777" w:rsidR="00854F4A" w:rsidRDefault="00000000">
      <w:pPr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5.2 改进方案</w:t>
      </w:r>
    </w:p>
    <w:p w14:paraId="3B07DAA4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（1）尾流区网格加密。在三个转子外侧增加一个贯穿全场的圆柱形加密区（半径约 100 m，z = +100～−1500 m），目标单元尺寸 2.0～2.5 m；叶尖带（0.85R～1.05R）加密至 0.8～1.0 m；叶片表面维持 0.25 m。预计总网格 450 万～600 万，为当前的 4～6 倍。加密后要求盘面平均亏损提高到 15%～25%，P2/P1 落到 0.50～0.65。</w:t>
      </w:r>
    </w:p>
    <w:p w14:paraId="375B990D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（2）删除三个零速度区，把省下的网格量用于尾流区。</w:t>
      </w:r>
    </w:p>
    <w:p w14:paraId="500B4889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（3）数据核对流程化：推力与 Fluent 自带力报告对账，盘面速度用两种独立方法交叉验证，并逐台核对——总功率是求和量，局部误差可能相互抵消，不能仅凭总功率稳定判断数据正确。</w:t>
      </w:r>
    </w:p>
    <w:p w14:paraId="5BEA8E2E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（4）在 PINN 数据集中把叶尖速比 </w:t>
      </w:r>
      <w:r>
        <w:t>λ</w:t>
      </w:r>
      <w:r>
        <w:rPr>
          <w:lang w:eastAsia="zh-CN"/>
        </w:rPr>
        <w:t>（或转速）作为输入特征，使代理模型能够外推到其他风速与变速运行工况。</w:t>
      </w:r>
    </w:p>
    <w:p w14:paraId="505D4F74" w14:textId="77777777" w:rsidR="00854F4A" w:rsidRDefault="00000000">
      <w:pPr>
        <w:spacing w:before="24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lastRenderedPageBreak/>
        <w:t>六、下一步计划</w:t>
      </w:r>
    </w:p>
    <w:p w14:paraId="26BDFFB1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1. 完成尾流区网格加密，并开展网格无关性验证（建议三套网格，单元量按 1 : 1.6 : 2.5 递增，以三台总功率与盘面平均亏损的变化小于 2% 作为收敛判据）。</w:t>
      </w:r>
    </w:p>
    <w:p w14:paraId="6206E804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2. 在加密网格上重算两套湍流模型，并与 FLORIS / PyWake 等工程尾流模型的结果对比，确认 P2/P1 落在合理区间。</w:t>
      </w:r>
    </w:p>
    <w:p w14:paraId="3DFFBC91" w14:textId="77777777" w:rsidR="00854F4A" w:rsidRDefault="00000000">
      <w:pPr>
        <w:spacing w:after="40"/>
        <w:ind w:firstLine="420"/>
        <w:rPr>
          <w:rFonts w:hint="eastAsia"/>
          <w:lang w:eastAsia="zh-CN"/>
        </w:rPr>
      </w:pPr>
      <w:r>
        <w:rPr>
          <w:lang w:eastAsia="zh-CN"/>
        </w:rPr>
        <w:t>3. 开展定速与变速（MPPT）工况对比，量化转速策略对下游功率的影响。</w:t>
      </w:r>
    </w:p>
    <w:p w14:paraId="16F1DBB9" w14:textId="4B15E6D6" w:rsidR="00854F4A" w:rsidRDefault="00854F4A" w:rsidP="00A429A7">
      <w:pPr>
        <w:spacing w:after="40"/>
        <w:rPr>
          <w:rFonts w:hint="eastAsia"/>
          <w:lang w:eastAsia="zh-CN"/>
        </w:rPr>
      </w:pPr>
    </w:p>
    <w:sectPr w:rsidR="00854F4A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2452D" w14:textId="77777777" w:rsidR="007D7C80" w:rsidRDefault="007D7C80" w:rsidP="004D521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AB1116" w14:textId="77777777" w:rsidR="007D7C80" w:rsidRDefault="007D7C80" w:rsidP="004D521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A16B" w14:textId="77777777" w:rsidR="007D7C80" w:rsidRDefault="007D7C80" w:rsidP="004D521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7041B32" w14:textId="77777777" w:rsidR="007D7C80" w:rsidRDefault="007D7C80" w:rsidP="004D521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467477">
    <w:abstractNumId w:val="8"/>
  </w:num>
  <w:num w:numId="2" w16cid:durableId="1948150845">
    <w:abstractNumId w:val="6"/>
  </w:num>
  <w:num w:numId="3" w16cid:durableId="2014645035">
    <w:abstractNumId w:val="5"/>
  </w:num>
  <w:num w:numId="4" w16cid:durableId="761025268">
    <w:abstractNumId w:val="4"/>
  </w:num>
  <w:num w:numId="5" w16cid:durableId="980236597">
    <w:abstractNumId w:val="7"/>
  </w:num>
  <w:num w:numId="6" w16cid:durableId="1533837031">
    <w:abstractNumId w:val="3"/>
  </w:num>
  <w:num w:numId="7" w16cid:durableId="703872130">
    <w:abstractNumId w:val="2"/>
  </w:num>
  <w:num w:numId="8" w16cid:durableId="1031800482">
    <w:abstractNumId w:val="1"/>
  </w:num>
  <w:num w:numId="9" w16cid:durableId="132254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50"/>
    <w:rsid w:val="00034616"/>
    <w:rsid w:val="0006063C"/>
    <w:rsid w:val="0015074B"/>
    <w:rsid w:val="0029639D"/>
    <w:rsid w:val="00326F90"/>
    <w:rsid w:val="003B1C6B"/>
    <w:rsid w:val="004D5212"/>
    <w:rsid w:val="00537336"/>
    <w:rsid w:val="007D7C80"/>
    <w:rsid w:val="00854F4A"/>
    <w:rsid w:val="008E496E"/>
    <w:rsid w:val="0098524D"/>
    <w:rsid w:val="00A429A7"/>
    <w:rsid w:val="00AA1D8D"/>
    <w:rsid w:val="00B46923"/>
    <w:rsid w:val="00B47730"/>
    <w:rsid w:val="00B57092"/>
    <w:rsid w:val="00CB0664"/>
    <w:rsid w:val="00CB2B45"/>
    <w:rsid w:val="00E01120"/>
    <w:rsid w:val="00E34129"/>
    <w:rsid w:val="00EA69AA"/>
    <w:rsid w:val="00F2288A"/>
    <w:rsid w:val="00F40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42E461"/>
  <w14:defaultImageDpi w14:val="300"/>
  <w15:docId w15:val="{400C302E-2C57-4322-8B4B-6FAF30A7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B469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2143978656@qq.com</cp:lastModifiedBy>
  <cp:revision>19</cp:revision>
  <dcterms:created xsi:type="dcterms:W3CDTF">2013-12-23T23:15:00Z</dcterms:created>
  <dcterms:modified xsi:type="dcterms:W3CDTF">2026-10-24T11:02:00Z</dcterms:modified>
  <cp:category/>
</cp:coreProperties>
</file>