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0" w:lineRule="atLeast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功能架构设计</w:t>
      </w:r>
    </w:p>
    <w:p>
      <w:pPr>
        <w:pStyle w:val="3"/>
        <w:spacing w:line="0" w:lineRule="atLeast"/>
        <w:rPr>
          <w:rFonts w:ascii="黑体" w:hAnsi="黑体" w:cs="黑体"/>
          <w:sz w:val="28"/>
          <w:szCs w:val="28"/>
        </w:rPr>
      </w:pPr>
      <w:r>
        <w:rPr>
          <w:rFonts w:hint="eastAsia" w:ascii="黑体" w:hAnsi="黑体" w:cs="黑体"/>
          <w:sz w:val="28"/>
          <w:szCs w:val="28"/>
        </w:rPr>
        <w:t>架构图</w:t>
      </w:r>
    </w:p>
    <w:p>
      <w:pPr>
        <w:spacing w:line="0" w:lineRule="atLeast"/>
      </w:pPr>
      <w:r>
        <w:rPr>
          <w:rFonts w:hint="eastAsia"/>
        </w:rPr>
        <w:object>
          <v:shape id="_x0000_i1025" o:spt="75" type="#_x0000_t75" style="height:125.4pt;width:415.2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3"/>
        <w:spacing w:line="0" w:lineRule="atLeast"/>
        <w:rPr>
          <w:rFonts w:ascii="黑体" w:hAnsi="黑体" w:cs="黑体"/>
          <w:sz w:val="28"/>
          <w:szCs w:val="28"/>
        </w:rPr>
      </w:pPr>
      <w:r>
        <w:rPr>
          <w:rFonts w:hint="eastAsia" w:ascii="黑体" w:hAnsi="黑体" w:cs="黑体"/>
          <w:sz w:val="28"/>
          <w:szCs w:val="28"/>
        </w:rPr>
        <w:t>代码结构</w:t>
      </w:r>
    </w:p>
    <w:p>
      <w:pPr>
        <w:numPr>
          <w:ilvl w:val="0"/>
          <w:numId w:val="2"/>
        </w:numPr>
        <w:spacing w:line="0" w:lineRule="atLeast"/>
        <w:rPr>
          <w:szCs w:val="21"/>
        </w:rPr>
      </w:pPr>
      <w:r>
        <w:rPr>
          <w:rFonts w:hint="eastAsia"/>
          <w:szCs w:val="21"/>
          <w:lang w:val="en-US" w:eastAsia="zh-CN"/>
        </w:rPr>
        <w:t>cims_security</w:t>
      </w:r>
    </w:p>
    <w:p>
      <w:pPr>
        <w:numPr>
          <w:ilvl w:val="0"/>
          <w:numId w:val="2"/>
        </w:numPr>
        <w:spacing w:line="0" w:lineRule="atLeast"/>
        <w:rPr>
          <w:szCs w:val="21"/>
        </w:rPr>
      </w:pPr>
      <w:r>
        <w:rPr>
          <w:rFonts w:hint="eastAsia"/>
          <w:szCs w:val="21"/>
        </w:rPr>
        <w:t>行情中心</w:t>
      </w:r>
      <w:r>
        <w:rPr>
          <w:rFonts w:hint="eastAsia"/>
          <w:szCs w:val="21"/>
          <w:lang w:val="en-US" w:eastAsia="zh-CN"/>
        </w:rPr>
        <w:t>marketdata.provider.datacenter</w:t>
      </w:r>
      <w:r>
        <w:rPr>
          <w:rFonts w:hint="eastAsia"/>
          <w:szCs w:val="21"/>
        </w:rPr>
        <w:t>项目。</w:t>
      </w:r>
    </w:p>
    <w:p>
      <w:pPr>
        <w:pStyle w:val="2"/>
        <w:spacing w:line="0" w:lineRule="atLeast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数据库设计</w:t>
      </w:r>
    </w:p>
    <w:p>
      <w:pPr>
        <w:pStyle w:val="3"/>
        <w:spacing w:line="0" w:lineRule="atLeast"/>
        <w:rPr>
          <w:rFonts w:ascii="黑体" w:hAnsi="黑体" w:cs="黑体"/>
          <w:sz w:val="28"/>
          <w:szCs w:val="28"/>
        </w:rPr>
      </w:pPr>
      <w:r>
        <w:rPr>
          <w:rFonts w:hint="eastAsia" w:ascii="黑体" w:hAnsi="黑体" w:cs="黑体"/>
          <w:sz w:val="28"/>
          <w:szCs w:val="28"/>
        </w:rPr>
        <w:t>表结构</w:t>
      </w:r>
    </w:p>
    <w:p>
      <w:pPr>
        <w:numPr>
          <w:ilvl w:val="0"/>
          <w:numId w:val="2"/>
        </w:numPr>
        <w:spacing w:line="0" w:lineRule="atLeast"/>
        <w:rPr>
          <w:szCs w:val="21"/>
        </w:rPr>
      </w:pPr>
      <w:r>
        <w:rPr>
          <w:rFonts w:hint="eastAsia"/>
          <w:szCs w:val="21"/>
          <w:lang w:val="en-US" w:eastAsia="zh-CN"/>
        </w:rPr>
        <w:t>cs_issuer_info发行人信息表(以下字段为新增字段)</w:t>
      </w:r>
    </w:p>
    <w:tbl>
      <w:tblPr>
        <w:tblStyle w:val="13"/>
        <w:tblW w:w="88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58"/>
        <w:gridCol w:w="1431"/>
        <w:gridCol w:w="1004"/>
        <w:gridCol w:w="1154"/>
        <w:gridCol w:w="1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中文名</w:t>
            </w:r>
          </w:p>
        </w:tc>
        <w:tc>
          <w:tcPr>
            <w:tcW w:w="2158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英文名</w:t>
            </w:r>
          </w:p>
        </w:tc>
        <w:tc>
          <w:tcPr>
            <w:tcW w:w="1431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004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不是null</w:t>
            </w:r>
          </w:p>
        </w:tc>
        <w:tc>
          <w:tcPr>
            <w:tcW w:w="1154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是否主键</w:t>
            </w:r>
          </w:p>
        </w:tc>
        <w:tc>
          <w:tcPr>
            <w:tcW w:w="1546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成立时间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foundation_date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国家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issuer_c</w:t>
            </w:r>
            <w:bookmarkStart w:id="0" w:name="_GoBack"/>
            <w:bookmarkEnd w:id="0"/>
            <w:r>
              <w:rPr>
                <w:rFonts w:hint="eastAsia"/>
                <w:szCs w:val="21"/>
                <w:lang w:val="en-US" w:eastAsia="zh-CN"/>
              </w:rPr>
              <w:t>ountry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资产负债率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asset_liability_ratio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decimal(18,4)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总资产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tot_asset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decimal(18,4)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总负债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tot_liability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decimal(18,4)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营业总收入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tot_revenue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decimal(18,4)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净利润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net_profit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decimal(18,4)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利润率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net_profit_margin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decimal(18,4)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</w:tbl>
    <w:p>
      <w:pPr>
        <w:spacing w:line="0" w:lineRule="atLeast"/>
        <w:rPr>
          <w:szCs w:val="21"/>
        </w:rPr>
      </w:pPr>
    </w:p>
    <w:p>
      <w:pPr>
        <w:pStyle w:val="3"/>
        <w:spacing w:line="0" w:lineRule="atLeast"/>
        <w:rPr>
          <w:rFonts w:ascii="黑体" w:hAnsi="黑体" w:cs="黑体"/>
          <w:sz w:val="28"/>
          <w:szCs w:val="28"/>
        </w:rPr>
      </w:pPr>
      <w:r>
        <w:rPr>
          <w:rFonts w:hint="eastAsia" w:ascii="黑体" w:hAnsi="黑体" w:cs="黑体"/>
          <w:sz w:val="28"/>
          <w:szCs w:val="28"/>
        </w:rPr>
        <w:t>数据字典</w:t>
      </w:r>
    </w:p>
    <w:p>
      <w:pPr>
        <w:numPr>
          <w:ilvl w:val="0"/>
          <w:numId w:val="2"/>
        </w:numPr>
        <w:spacing w:line="0" w:lineRule="atLeast"/>
        <w:rPr>
          <w:szCs w:val="21"/>
        </w:rPr>
      </w:pPr>
      <w:r>
        <w:rPr>
          <w:rFonts w:hint="eastAsia"/>
          <w:szCs w:val="21"/>
          <w:lang w:val="en-US" w:eastAsia="zh-CN"/>
        </w:rPr>
        <w:t>cs_dictionary_item</w:t>
      </w:r>
      <w:r>
        <w:rPr>
          <w:rFonts w:hint="eastAsia"/>
          <w:szCs w:val="21"/>
        </w:rPr>
        <w:t>字典数据</w:t>
      </w:r>
    </w:p>
    <w:p>
      <w:pPr>
        <w:numPr>
          <w:ilvl w:val="0"/>
          <w:numId w:val="3"/>
        </w:numPr>
        <w:spacing w:line="0" w:lineRule="atLeast"/>
        <w:ind w:left="840"/>
        <w:rPr>
          <w:szCs w:val="21"/>
        </w:rPr>
      </w:pPr>
      <w:r>
        <w:rPr>
          <w:rFonts w:hint="eastAsia"/>
          <w:szCs w:val="21"/>
          <w:lang w:eastAsia="zh-CN"/>
        </w:rPr>
        <w:t>新增国家</w:t>
      </w:r>
    </w:p>
    <w:tbl>
      <w:tblPr>
        <w:tblStyle w:val="13"/>
        <w:tblW w:w="7583" w:type="dxa"/>
        <w:tblInd w:w="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3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  <w:shd w:val="clear" w:color="auto" w:fill="BEBEBE" w:themeFill="background1" w:themeFillShade="BF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  <w:tc>
          <w:tcPr>
            <w:tcW w:w="4090" w:type="dxa"/>
            <w:shd w:val="clear" w:color="auto" w:fill="BEBEBE" w:themeFill="background1" w:themeFillShade="BF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中国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开曼群岛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蒙古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英属维尔京群岛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法国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荷兰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百慕大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日本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卢森堡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马来西亚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新西兰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瑞士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意大利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中国香港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澳大利亚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韩国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泽西岛</w:t>
            </w:r>
            <w:r>
              <w:rPr>
                <w:rFonts w:hint="eastAsia"/>
                <w:szCs w:val="21"/>
                <w:lang w:val="en-US" w:eastAsia="zh-CN"/>
              </w:rPr>
              <w:t>(英)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德国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加拿大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美国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新加坡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英国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菲律宾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中国台湾</w:t>
            </w:r>
          </w:p>
        </w:tc>
      </w:tr>
    </w:tbl>
    <w:p>
      <w:pPr>
        <w:spacing w:line="0" w:lineRule="atLeast"/>
        <w:rPr>
          <w:szCs w:val="21"/>
        </w:rPr>
      </w:pPr>
    </w:p>
    <w:p>
      <w:pPr>
        <w:numPr>
          <w:ilvl w:val="0"/>
          <w:numId w:val="3"/>
        </w:numPr>
        <w:spacing w:line="0" w:lineRule="atLeast"/>
        <w:ind w:left="84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发行人类别更改</w:t>
      </w:r>
    </w:p>
    <w:tbl>
      <w:tblPr>
        <w:tblStyle w:val="13"/>
        <w:tblW w:w="7583" w:type="dxa"/>
        <w:tblInd w:w="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734"/>
        <w:gridCol w:w="2064"/>
        <w:gridCol w:w="2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  <w:gridSpan w:val="2"/>
            <w:shd w:val="clear" w:color="auto" w:fill="auto"/>
          </w:tcPr>
          <w:p>
            <w:pPr>
              <w:spacing w:line="0" w:lineRule="atLeast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老</w:t>
            </w:r>
          </w:p>
        </w:tc>
        <w:tc>
          <w:tcPr>
            <w:tcW w:w="4090" w:type="dxa"/>
            <w:gridSpan w:val="2"/>
            <w:shd w:val="clear" w:color="auto" w:fill="auto"/>
          </w:tcPr>
          <w:p>
            <w:pPr>
              <w:spacing w:line="0" w:lineRule="atLeast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59" w:type="dxa"/>
            <w:shd w:val="clear" w:color="auto" w:fill="BEBEBE" w:themeFill="background1" w:themeFillShade="BF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代码</w:t>
            </w:r>
          </w:p>
        </w:tc>
        <w:tc>
          <w:tcPr>
            <w:tcW w:w="1734" w:type="dxa"/>
            <w:shd w:val="clear" w:color="auto" w:fill="BEBEBE" w:themeFill="background1" w:themeFillShade="BF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名称</w:t>
            </w:r>
          </w:p>
        </w:tc>
        <w:tc>
          <w:tcPr>
            <w:tcW w:w="2064" w:type="dxa"/>
            <w:shd w:val="clear" w:color="auto" w:fill="BEBEBE" w:themeFill="background1" w:themeFillShade="BF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代码</w:t>
            </w:r>
          </w:p>
        </w:tc>
        <w:tc>
          <w:tcPr>
            <w:tcW w:w="2026" w:type="dxa"/>
            <w:shd w:val="clear" w:color="auto" w:fill="BEBEBE" w:themeFill="background1" w:themeFillShade="BF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59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734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企业</w:t>
            </w:r>
          </w:p>
        </w:tc>
        <w:tc>
          <w:tcPr>
            <w:tcW w:w="2064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</w:p>
        </w:tc>
        <w:tc>
          <w:tcPr>
            <w:tcW w:w="2026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59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734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银行</w:t>
            </w:r>
          </w:p>
        </w:tc>
        <w:tc>
          <w:tcPr>
            <w:tcW w:w="2064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</w:p>
        </w:tc>
        <w:tc>
          <w:tcPr>
            <w:tcW w:w="2026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59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734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基金管理公司</w:t>
            </w:r>
          </w:p>
        </w:tc>
        <w:tc>
          <w:tcPr>
            <w:tcW w:w="2064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</w:p>
        </w:tc>
        <w:tc>
          <w:tcPr>
            <w:tcW w:w="2026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59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734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其他</w:t>
            </w:r>
          </w:p>
        </w:tc>
        <w:tc>
          <w:tcPr>
            <w:tcW w:w="2064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</w:p>
        </w:tc>
        <w:tc>
          <w:tcPr>
            <w:tcW w:w="2026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59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734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证券你公司</w:t>
            </w:r>
          </w:p>
        </w:tc>
        <w:tc>
          <w:tcPr>
            <w:tcW w:w="2064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</w:p>
        </w:tc>
        <w:tc>
          <w:tcPr>
            <w:tcW w:w="2026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59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734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保险公司</w:t>
            </w:r>
          </w:p>
        </w:tc>
        <w:tc>
          <w:tcPr>
            <w:tcW w:w="2064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</w:p>
        </w:tc>
        <w:tc>
          <w:tcPr>
            <w:tcW w:w="2026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</w:p>
        </w:tc>
      </w:tr>
    </w:tbl>
    <w:p>
      <w:pPr>
        <w:numPr>
          <w:numId w:val="0"/>
        </w:numPr>
        <w:spacing w:line="0" w:lineRule="atLeast"/>
        <w:ind w:left="420" w:leftChars="0"/>
        <w:rPr>
          <w:rFonts w:hint="eastAsia"/>
          <w:szCs w:val="21"/>
          <w:lang w:eastAsia="zh-CN"/>
        </w:rPr>
      </w:pPr>
    </w:p>
    <w:p>
      <w:pPr>
        <w:pStyle w:val="2"/>
        <w:spacing w:line="0" w:lineRule="atLeast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证券信息管理</w:t>
      </w:r>
    </w:p>
    <w:p>
      <w:pPr>
        <w:pStyle w:val="3"/>
        <w:spacing w:line="0" w:lineRule="atLeast"/>
        <w:rPr>
          <w:sz w:val="28"/>
          <w:szCs w:val="28"/>
        </w:rPr>
      </w:pPr>
      <w:r>
        <w:rPr>
          <w:rFonts w:hint="eastAsia" w:ascii="黑体" w:hAnsi="黑体" w:cs="黑体"/>
          <w:sz w:val="28"/>
          <w:szCs w:val="28"/>
        </w:rPr>
        <w:t>新增、修改、详情</w:t>
      </w:r>
    </w:p>
    <w:p>
      <w:pPr>
        <w:numPr>
          <w:ilvl w:val="0"/>
          <w:numId w:val="4"/>
        </w:numPr>
        <w:spacing w:line="0" w:lineRule="atLeast"/>
      </w:pPr>
      <w:r>
        <w:rPr>
          <w:rFonts w:hint="eastAsia"/>
        </w:rPr>
        <w:t>公共字段部分新增字段</w:t>
      </w:r>
    </w:p>
    <w:p>
      <w:pPr>
        <w:numPr>
          <w:ilvl w:val="0"/>
          <w:numId w:val="5"/>
        </w:numPr>
        <w:spacing w:line="0" w:lineRule="atLeast"/>
        <w:ind w:left="840"/>
        <w:rPr>
          <w:szCs w:val="21"/>
        </w:rPr>
      </w:pPr>
      <w:r>
        <w:rPr>
          <w:rFonts w:hint="eastAsia"/>
          <w:szCs w:val="21"/>
        </w:rPr>
        <w:t>杂项分类：下拉列表形式，并且随着证券类型的变化而变化成指定列表。</w:t>
      </w:r>
    </w:p>
    <w:p>
      <w:pPr>
        <w:numPr>
          <w:ilvl w:val="0"/>
          <w:numId w:val="5"/>
        </w:numPr>
        <w:spacing w:line="0" w:lineRule="atLeast"/>
        <w:ind w:left="840"/>
        <w:rPr>
          <w:szCs w:val="21"/>
        </w:rPr>
      </w:pPr>
      <w:r>
        <w:rPr>
          <w:rFonts w:hint="eastAsia"/>
          <w:szCs w:val="21"/>
        </w:rPr>
        <w:t>发型规模：数字输入框</w:t>
      </w:r>
    </w:p>
    <w:p>
      <w:pPr>
        <w:numPr>
          <w:ilvl w:val="0"/>
          <w:numId w:val="5"/>
        </w:numPr>
        <w:spacing w:line="0" w:lineRule="atLeast"/>
        <w:ind w:left="840"/>
        <w:rPr>
          <w:szCs w:val="21"/>
        </w:rPr>
      </w:pPr>
      <w:r>
        <w:rPr>
          <w:rFonts w:hint="eastAsia"/>
          <w:szCs w:val="21"/>
        </w:rPr>
        <w:t>是否公开发行：勾选框</w:t>
      </w:r>
    </w:p>
    <w:p>
      <w:pPr>
        <w:numPr>
          <w:ilvl w:val="0"/>
          <w:numId w:val="5"/>
        </w:numPr>
        <w:spacing w:line="0" w:lineRule="atLeast"/>
        <w:ind w:left="840"/>
      </w:pPr>
      <w:r>
        <w:rPr>
          <w:rFonts w:hint="eastAsia"/>
          <w:szCs w:val="21"/>
        </w:rPr>
        <w:t>发型起始日期：日期选项框</w:t>
      </w:r>
    </w:p>
    <w:p>
      <w:pPr>
        <w:numPr>
          <w:ilvl w:val="0"/>
          <w:numId w:val="4"/>
        </w:numPr>
        <w:spacing w:line="0" w:lineRule="atLeast"/>
      </w:pPr>
      <w:r>
        <w:rPr>
          <w:rFonts w:hint="eastAsia"/>
        </w:rPr>
        <w:t>债券部分新增字段</w:t>
      </w:r>
    </w:p>
    <w:p>
      <w:pPr>
        <w:numPr>
          <w:ilvl w:val="0"/>
          <w:numId w:val="6"/>
        </w:numPr>
        <w:spacing w:line="0" w:lineRule="atLeast"/>
        <w:ind w:left="840"/>
      </w:pPr>
      <w:r>
        <w:rPr>
          <w:rFonts w:hint="eastAsia"/>
        </w:rPr>
        <w:t>修正久期：</w:t>
      </w:r>
      <w:r>
        <w:rPr>
          <w:rFonts w:hint="eastAsia"/>
          <w:szCs w:val="21"/>
        </w:rPr>
        <w:t>数字输入框</w:t>
      </w:r>
    </w:p>
    <w:p>
      <w:pPr>
        <w:numPr>
          <w:ilvl w:val="0"/>
          <w:numId w:val="6"/>
        </w:numPr>
        <w:spacing w:line="0" w:lineRule="atLeast"/>
        <w:ind w:left="840"/>
      </w:pPr>
      <w:r>
        <w:rPr>
          <w:rFonts w:hint="eastAsia"/>
        </w:rPr>
        <w:t>担保方式：下拉列表形式</w:t>
      </w:r>
    </w:p>
    <w:p>
      <w:pPr>
        <w:numPr>
          <w:ilvl w:val="0"/>
          <w:numId w:val="6"/>
        </w:numPr>
        <w:spacing w:line="0" w:lineRule="atLeast"/>
        <w:ind w:left="840"/>
      </w:pPr>
      <w:r>
        <w:rPr>
          <w:rFonts w:hint="eastAsia"/>
        </w:rPr>
        <w:t>利率基准代码：下拉列表形式</w:t>
      </w:r>
    </w:p>
    <w:p>
      <w:pPr>
        <w:numPr>
          <w:ilvl w:val="0"/>
          <w:numId w:val="6"/>
        </w:numPr>
        <w:spacing w:line="0" w:lineRule="atLeast"/>
        <w:ind w:left="840"/>
      </w:pPr>
      <w:r>
        <w:rPr>
          <w:rFonts w:hint="eastAsia"/>
        </w:rPr>
        <w:t>投资人行权日期</w:t>
      </w:r>
      <w:r>
        <w:rPr>
          <w:rFonts w:hint="eastAsia"/>
          <w:szCs w:val="21"/>
        </w:rPr>
        <w:t>：日期选项框</w:t>
      </w:r>
    </w:p>
    <w:p>
      <w:pPr>
        <w:numPr>
          <w:ilvl w:val="0"/>
          <w:numId w:val="6"/>
        </w:numPr>
        <w:spacing w:line="0" w:lineRule="atLeast"/>
        <w:ind w:left="840"/>
      </w:pPr>
      <w:r>
        <w:rPr>
          <w:rFonts w:hint="eastAsia"/>
        </w:rPr>
        <w:t>发行人行权日期</w:t>
      </w:r>
      <w:r>
        <w:rPr>
          <w:rFonts w:hint="eastAsia"/>
          <w:szCs w:val="21"/>
        </w:rPr>
        <w:t>：日期选项框</w:t>
      </w:r>
    </w:p>
    <w:p>
      <w:pPr>
        <w:numPr>
          <w:ilvl w:val="0"/>
          <w:numId w:val="6"/>
        </w:numPr>
        <w:spacing w:line="0" w:lineRule="atLeast"/>
        <w:ind w:left="840"/>
      </w:pPr>
      <w:r>
        <w:rPr>
          <w:rFonts w:hint="eastAsia"/>
        </w:rPr>
        <w:t>下一个兑付日</w:t>
      </w:r>
      <w:r>
        <w:rPr>
          <w:rFonts w:hint="eastAsia"/>
          <w:szCs w:val="21"/>
        </w:rPr>
        <w:t>：日期选项框</w:t>
      </w:r>
    </w:p>
    <w:p>
      <w:pPr>
        <w:numPr>
          <w:ilvl w:val="0"/>
          <w:numId w:val="6"/>
        </w:numPr>
        <w:spacing w:line="0" w:lineRule="atLeast"/>
        <w:ind w:left="840"/>
      </w:pPr>
      <w:r>
        <w:rPr>
          <w:rFonts w:hint="eastAsia"/>
        </w:rPr>
        <w:t>发行面额：数字输入框</w:t>
      </w:r>
    </w:p>
    <w:p>
      <w:pPr>
        <w:numPr>
          <w:ilvl w:val="0"/>
          <w:numId w:val="6"/>
        </w:numPr>
        <w:spacing w:line="0" w:lineRule="atLeast"/>
        <w:ind w:left="840"/>
      </w:pPr>
      <w:r>
        <w:rPr>
          <w:rFonts w:hint="eastAsia"/>
        </w:rPr>
        <w:t>主体外部评级机构：下拉列表形式</w:t>
      </w:r>
    </w:p>
    <w:p>
      <w:pPr>
        <w:numPr>
          <w:ilvl w:val="0"/>
          <w:numId w:val="6"/>
        </w:numPr>
        <w:spacing w:line="0" w:lineRule="atLeast"/>
        <w:ind w:left="840"/>
      </w:pPr>
      <w:r>
        <w:rPr>
          <w:rFonts w:hint="eastAsia"/>
        </w:rPr>
        <w:t>主体外部评级：下拉列表形式，并且根据评级机构的变化而变化成指定列表</w:t>
      </w:r>
    </w:p>
    <w:p>
      <w:pPr>
        <w:numPr>
          <w:ilvl w:val="0"/>
          <w:numId w:val="6"/>
        </w:numPr>
        <w:spacing w:line="0" w:lineRule="atLeast"/>
        <w:ind w:left="840"/>
      </w:pPr>
      <w:r>
        <w:rPr>
          <w:rFonts w:hint="eastAsia"/>
        </w:rPr>
        <w:t>主体外部评级日期</w:t>
      </w:r>
      <w:r>
        <w:rPr>
          <w:rFonts w:hint="eastAsia"/>
          <w:szCs w:val="21"/>
        </w:rPr>
        <w:t>：日期选项框</w:t>
      </w:r>
    </w:p>
    <w:p>
      <w:pPr>
        <w:numPr>
          <w:ilvl w:val="0"/>
          <w:numId w:val="6"/>
        </w:numPr>
        <w:spacing w:line="0" w:lineRule="atLeast"/>
        <w:ind w:left="840"/>
      </w:pPr>
      <w:r>
        <w:rPr>
          <w:rFonts w:hint="eastAsia"/>
        </w:rPr>
        <w:t>债券外部评级机构：下拉列表形式</w:t>
      </w:r>
    </w:p>
    <w:p>
      <w:pPr>
        <w:numPr>
          <w:ilvl w:val="0"/>
          <w:numId w:val="6"/>
        </w:numPr>
        <w:spacing w:line="0" w:lineRule="atLeast"/>
        <w:ind w:left="840"/>
      </w:pPr>
      <w:r>
        <w:rPr>
          <w:rFonts w:hint="eastAsia"/>
        </w:rPr>
        <w:t>债项外部评级：下拉列表形式，并且根据评级机构的变化而变化成指定列表</w:t>
      </w:r>
    </w:p>
    <w:p>
      <w:pPr>
        <w:numPr>
          <w:ilvl w:val="0"/>
          <w:numId w:val="6"/>
        </w:numPr>
        <w:spacing w:line="0" w:lineRule="atLeast"/>
        <w:ind w:left="840"/>
      </w:pPr>
      <w:r>
        <w:rPr>
          <w:rFonts w:hint="eastAsia"/>
        </w:rPr>
        <w:t>债项外部评级日期</w:t>
      </w:r>
      <w:r>
        <w:rPr>
          <w:rFonts w:hint="eastAsia"/>
          <w:szCs w:val="21"/>
        </w:rPr>
        <w:t>：日期选项框</w:t>
      </w:r>
    </w:p>
    <w:p>
      <w:pPr>
        <w:numPr>
          <w:ilvl w:val="0"/>
          <w:numId w:val="6"/>
        </w:numPr>
        <w:spacing w:line="0" w:lineRule="atLeast"/>
        <w:ind w:left="840"/>
      </w:pPr>
      <w:r>
        <w:rPr>
          <w:rFonts w:hint="eastAsia"/>
        </w:rPr>
        <w:t>内部评级：下拉列表形式（因为每个机构有自己的信用级别，多以该字段为cims评级字段，所以该字段内容为所有信用并集的并集）</w:t>
      </w:r>
    </w:p>
    <w:p>
      <w:pPr>
        <w:numPr>
          <w:ilvl w:val="0"/>
          <w:numId w:val="6"/>
        </w:numPr>
        <w:spacing w:line="0" w:lineRule="atLeast"/>
        <w:ind w:left="840"/>
      </w:pPr>
      <w:r>
        <w:rPr>
          <w:rFonts w:hint="eastAsia"/>
        </w:rPr>
        <w:t>计息基准：下拉列表形式（</w:t>
      </w:r>
      <w:r>
        <w:rPr>
          <w:rFonts w:hint="eastAsia"/>
          <w:color w:val="FF0000"/>
        </w:rPr>
        <w:t>由于需求的变化暂时未实现，现在只能手工输入</w:t>
      </w:r>
      <w:r>
        <w:rPr>
          <w:rFonts w:hint="eastAsia"/>
        </w:rPr>
        <w:t>）</w:t>
      </w:r>
    </w:p>
    <w:p>
      <w:pPr>
        <w:numPr>
          <w:ilvl w:val="0"/>
          <w:numId w:val="4"/>
        </w:numPr>
        <w:spacing w:line="0" w:lineRule="atLeast"/>
      </w:pPr>
      <w:r>
        <w:rPr>
          <w:rFonts w:hint="eastAsia"/>
        </w:rPr>
        <w:t>股票部分新增字段</w:t>
      </w:r>
    </w:p>
    <w:p>
      <w:pPr>
        <w:numPr>
          <w:ilvl w:val="0"/>
          <w:numId w:val="7"/>
        </w:numPr>
        <w:spacing w:line="0" w:lineRule="atLeast"/>
        <w:ind w:left="840"/>
      </w:pPr>
      <w:r>
        <w:rPr>
          <w:rFonts w:hint="eastAsia"/>
        </w:rPr>
        <w:t>板块：下拉列表形式</w:t>
      </w:r>
    </w:p>
    <w:p>
      <w:pPr>
        <w:numPr>
          <w:ilvl w:val="0"/>
          <w:numId w:val="7"/>
        </w:numPr>
        <w:spacing w:line="0" w:lineRule="atLeast"/>
        <w:ind w:left="840"/>
      </w:pPr>
      <w:r>
        <w:rPr>
          <w:rFonts w:hint="eastAsia"/>
        </w:rPr>
        <w:t>是否待上市：勾选框</w:t>
      </w:r>
    </w:p>
    <w:p>
      <w:pPr>
        <w:numPr>
          <w:ilvl w:val="0"/>
          <w:numId w:val="4"/>
        </w:numPr>
        <w:spacing w:line="0" w:lineRule="atLeast"/>
      </w:pPr>
      <w:r>
        <w:rPr>
          <w:rFonts w:hint="eastAsia"/>
        </w:rPr>
        <w:t>基金部分新增字段</w:t>
      </w:r>
    </w:p>
    <w:p>
      <w:pPr>
        <w:numPr>
          <w:ilvl w:val="0"/>
          <w:numId w:val="8"/>
        </w:numPr>
        <w:spacing w:line="0" w:lineRule="atLeast"/>
        <w:ind w:left="840"/>
      </w:pPr>
      <w:r>
        <w:rPr>
          <w:rFonts w:hint="eastAsia"/>
        </w:rPr>
        <w:t>成立日期</w:t>
      </w:r>
      <w:r>
        <w:rPr>
          <w:rFonts w:hint="eastAsia"/>
          <w:szCs w:val="21"/>
        </w:rPr>
        <w:t>：日期选项框</w:t>
      </w:r>
    </w:p>
    <w:p>
      <w:pPr>
        <w:numPr>
          <w:ilvl w:val="0"/>
          <w:numId w:val="8"/>
        </w:numPr>
        <w:spacing w:line="0" w:lineRule="atLeast"/>
        <w:ind w:left="840"/>
      </w:pPr>
      <w:r>
        <w:rPr>
          <w:rFonts w:hint="eastAsia"/>
        </w:rPr>
        <w:t>上市日期</w:t>
      </w:r>
      <w:r>
        <w:rPr>
          <w:rFonts w:hint="eastAsia"/>
          <w:szCs w:val="21"/>
        </w:rPr>
        <w:t>：日期选项框</w:t>
      </w:r>
    </w:p>
    <w:p>
      <w:pPr>
        <w:numPr>
          <w:ilvl w:val="0"/>
          <w:numId w:val="8"/>
        </w:numPr>
        <w:spacing w:line="0" w:lineRule="atLeast"/>
        <w:ind w:left="840"/>
      </w:pPr>
      <w:r>
        <w:rPr>
          <w:rFonts w:hint="eastAsia"/>
        </w:rPr>
        <w:t>封闭期：数字输入框</w:t>
      </w:r>
    </w:p>
    <w:p>
      <w:pPr>
        <w:spacing w:line="0" w:lineRule="atLeast"/>
        <w:ind w:left="420"/>
      </w:pPr>
    </w:p>
    <w:p>
      <w:pPr>
        <w:pStyle w:val="3"/>
        <w:spacing w:line="0" w:lineRule="atLeast"/>
      </w:pPr>
      <w:r>
        <w:rPr>
          <w:rFonts w:hint="eastAsia" w:ascii="黑体" w:hAnsi="黑体" w:cs="黑体"/>
          <w:sz w:val="28"/>
          <w:szCs w:val="28"/>
        </w:rPr>
        <w:t>相关api表格更新</w:t>
      </w:r>
    </w:p>
    <w:p>
      <w:pPr>
        <w:spacing w:line="0" w:lineRule="atLeas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C63BA"/>
    <w:multiLevelType w:val="multilevel"/>
    <w:tmpl w:val="5BBC63B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BBC6744"/>
    <w:multiLevelType w:val="singleLevel"/>
    <w:tmpl w:val="5BBC674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BBC87D4"/>
    <w:multiLevelType w:val="singleLevel"/>
    <w:tmpl w:val="5BBC87D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BBC87E3"/>
    <w:multiLevelType w:val="singleLevel"/>
    <w:tmpl w:val="5BBC87E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BBC88B4"/>
    <w:multiLevelType w:val="singleLevel"/>
    <w:tmpl w:val="5BBC88B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BBC8AC9"/>
    <w:multiLevelType w:val="singleLevel"/>
    <w:tmpl w:val="5BBC8AC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BBC8ADA"/>
    <w:multiLevelType w:val="singleLevel"/>
    <w:tmpl w:val="5BBC8A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BC06181"/>
    <w:multiLevelType w:val="singleLevel"/>
    <w:tmpl w:val="5BC061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051"/>
    <w:rsid w:val="000C035F"/>
    <w:rsid w:val="00127731"/>
    <w:rsid w:val="00225740"/>
    <w:rsid w:val="0025089B"/>
    <w:rsid w:val="003C6073"/>
    <w:rsid w:val="004B06B5"/>
    <w:rsid w:val="004E2261"/>
    <w:rsid w:val="00512E73"/>
    <w:rsid w:val="00537049"/>
    <w:rsid w:val="005B4B40"/>
    <w:rsid w:val="005F3582"/>
    <w:rsid w:val="006A511C"/>
    <w:rsid w:val="00786D3D"/>
    <w:rsid w:val="007B1ED3"/>
    <w:rsid w:val="0089511C"/>
    <w:rsid w:val="00906051"/>
    <w:rsid w:val="009C782B"/>
    <w:rsid w:val="00A120DB"/>
    <w:rsid w:val="00A803E5"/>
    <w:rsid w:val="00C14FD5"/>
    <w:rsid w:val="00C434A2"/>
    <w:rsid w:val="00CF5106"/>
    <w:rsid w:val="00DA7A63"/>
    <w:rsid w:val="00DB1907"/>
    <w:rsid w:val="00DC74CA"/>
    <w:rsid w:val="00EE32B4"/>
    <w:rsid w:val="00F15603"/>
    <w:rsid w:val="00F26729"/>
    <w:rsid w:val="00FA001A"/>
    <w:rsid w:val="00FC667D"/>
    <w:rsid w:val="00FE1171"/>
    <w:rsid w:val="013F7446"/>
    <w:rsid w:val="017C5E3C"/>
    <w:rsid w:val="01ED32EE"/>
    <w:rsid w:val="01FD30D7"/>
    <w:rsid w:val="02A40386"/>
    <w:rsid w:val="02A45588"/>
    <w:rsid w:val="03010BD7"/>
    <w:rsid w:val="032626EA"/>
    <w:rsid w:val="03273821"/>
    <w:rsid w:val="03C93FAC"/>
    <w:rsid w:val="041C61C5"/>
    <w:rsid w:val="047833E5"/>
    <w:rsid w:val="04823887"/>
    <w:rsid w:val="04BB0151"/>
    <w:rsid w:val="05185B1D"/>
    <w:rsid w:val="052A3A13"/>
    <w:rsid w:val="056D1562"/>
    <w:rsid w:val="05857C47"/>
    <w:rsid w:val="05B07FAC"/>
    <w:rsid w:val="05CB234C"/>
    <w:rsid w:val="05D11DAE"/>
    <w:rsid w:val="05EF2EAB"/>
    <w:rsid w:val="060401FD"/>
    <w:rsid w:val="067675ED"/>
    <w:rsid w:val="071A7EAF"/>
    <w:rsid w:val="07255DD8"/>
    <w:rsid w:val="07715CEF"/>
    <w:rsid w:val="08057CF6"/>
    <w:rsid w:val="08430137"/>
    <w:rsid w:val="087E4526"/>
    <w:rsid w:val="090826E5"/>
    <w:rsid w:val="09176B25"/>
    <w:rsid w:val="09443F3B"/>
    <w:rsid w:val="095A0A43"/>
    <w:rsid w:val="0AB961DC"/>
    <w:rsid w:val="0B037EE6"/>
    <w:rsid w:val="0B63076D"/>
    <w:rsid w:val="0BC851ED"/>
    <w:rsid w:val="0C6930DC"/>
    <w:rsid w:val="0CE51592"/>
    <w:rsid w:val="0D7B1288"/>
    <w:rsid w:val="0DCD4007"/>
    <w:rsid w:val="0E5E2F65"/>
    <w:rsid w:val="0E6068E6"/>
    <w:rsid w:val="0EA92386"/>
    <w:rsid w:val="0EB91B4D"/>
    <w:rsid w:val="0F096397"/>
    <w:rsid w:val="0F14672D"/>
    <w:rsid w:val="0F6977F7"/>
    <w:rsid w:val="0FA147CA"/>
    <w:rsid w:val="100B4F98"/>
    <w:rsid w:val="108F6E12"/>
    <w:rsid w:val="10900478"/>
    <w:rsid w:val="10D83C27"/>
    <w:rsid w:val="11DA5CFC"/>
    <w:rsid w:val="124C1B86"/>
    <w:rsid w:val="126164AA"/>
    <w:rsid w:val="1335287D"/>
    <w:rsid w:val="13737592"/>
    <w:rsid w:val="13BD6AB1"/>
    <w:rsid w:val="13F50401"/>
    <w:rsid w:val="14311391"/>
    <w:rsid w:val="143B61F1"/>
    <w:rsid w:val="146F4A52"/>
    <w:rsid w:val="147B10DC"/>
    <w:rsid w:val="14A72A0C"/>
    <w:rsid w:val="14B13AE5"/>
    <w:rsid w:val="14EC2691"/>
    <w:rsid w:val="151A4A4D"/>
    <w:rsid w:val="158A6308"/>
    <w:rsid w:val="15932914"/>
    <w:rsid w:val="15976774"/>
    <w:rsid w:val="15D85F35"/>
    <w:rsid w:val="15F3230B"/>
    <w:rsid w:val="161762A2"/>
    <w:rsid w:val="162E5698"/>
    <w:rsid w:val="16444D53"/>
    <w:rsid w:val="16715ECE"/>
    <w:rsid w:val="1694070A"/>
    <w:rsid w:val="16A818AC"/>
    <w:rsid w:val="16D31F77"/>
    <w:rsid w:val="188B698C"/>
    <w:rsid w:val="18BB58A1"/>
    <w:rsid w:val="19436FF7"/>
    <w:rsid w:val="199F6592"/>
    <w:rsid w:val="19C517CB"/>
    <w:rsid w:val="19F43AFC"/>
    <w:rsid w:val="1A0C5E34"/>
    <w:rsid w:val="1ABC3BA4"/>
    <w:rsid w:val="1AC21EFC"/>
    <w:rsid w:val="1AC3502C"/>
    <w:rsid w:val="1B321E46"/>
    <w:rsid w:val="1B51723C"/>
    <w:rsid w:val="1B5C0A70"/>
    <w:rsid w:val="1C3E5D18"/>
    <w:rsid w:val="1C510081"/>
    <w:rsid w:val="1C8636C6"/>
    <w:rsid w:val="1D1026AA"/>
    <w:rsid w:val="1E1E54D9"/>
    <w:rsid w:val="1E385B0E"/>
    <w:rsid w:val="1E500978"/>
    <w:rsid w:val="1E87585D"/>
    <w:rsid w:val="1E882B73"/>
    <w:rsid w:val="1E8845DF"/>
    <w:rsid w:val="1EFE209F"/>
    <w:rsid w:val="1F1952F3"/>
    <w:rsid w:val="1FB163B3"/>
    <w:rsid w:val="1FD33199"/>
    <w:rsid w:val="2012662C"/>
    <w:rsid w:val="201B7445"/>
    <w:rsid w:val="20C84A62"/>
    <w:rsid w:val="2130775A"/>
    <w:rsid w:val="217B2847"/>
    <w:rsid w:val="21FE0B31"/>
    <w:rsid w:val="22C401FB"/>
    <w:rsid w:val="23E37838"/>
    <w:rsid w:val="243E7A3B"/>
    <w:rsid w:val="24797B4C"/>
    <w:rsid w:val="249227BE"/>
    <w:rsid w:val="24B20D27"/>
    <w:rsid w:val="256364F6"/>
    <w:rsid w:val="25A646EA"/>
    <w:rsid w:val="26343E7F"/>
    <w:rsid w:val="267C2BCD"/>
    <w:rsid w:val="27333B98"/>
    <w:rsid w:val="277A17EE"/>
    <w:rsid w:val="27841544"/>
    <w:rsid w:val="282A2D82"/>
    <w:rsid w:val="289B0321"/>
    <w:rsid w:val="28F371EE"/>
    <w:rsid w:val="292724DC"/>
    <w:rsid w:val="293D7566"/>
    <w:rsid w:val="29C57108"/>
    <w:rsid w:val="2A1006BF"/>
    <w:rsid w:val="2A8270F7"/>
    <w:rsid w:val="2AA129AC"/>
    <w:rsid w:val="2AB272D6"/>
    <w:rsid w:val="2ACC09FF"/>
    <w:rsid w:val="2BA175F4"/>
    <w:rsid w:val="2BB64D07"/>
    <w:rsid w:val="2BE52C38"/>
    <w:rsid w:val="2C1753C9"/>
    <w:rsid w:val="2C443425"/>
    <w:rsid w:val="2C614E64"/>
    <w:rsid w:val="2D0F3F74"/>
    <w:rsid w:val="2D4412D2"/>
    <w:rsid w:val="2DC90E59"/>
    <w:rsid w:val="2DDB0B90"/>
    <w:rsid w:val="2F2B235A"/>
    <w:rsid w:val="2F8B31AA"/>
    <w:rsid w:val="2FA46037"/>
    <w:rsid w:val="300A434C"/>
    <w:rsid w:val="305F3E08"/>
    <w:rsid w:val="309F2807"/>
    <w:rsid w:val="30AF2F32"/>
    <w:rsid w:val="31A201A5"/>
    <w:rsid w:val="321131BF"/>
    <w:rsid w:val="323D1384"/>
    <w:rsid w:val="326F1178"/>
    <w:rsid w:val="32C15DF3"/>
    <w:rsid w:val="32D410FF"/>
    <w:rsid w:val="32F92248"/>
    <w:rsid w:val="335523BF"/>
    <w:rsid w:val="3442781B"/>
    <w:rsid w:val="34E53B16"/>
    <w:rsid w:val="35556EEB"/>
    <w:rsid w:val="35C855D7"/>
    <w:rsid w:val="3636627B"/>
    <w:rsid w:val="36A81B45"/>
    <w:rsid w:val="375A41ED"/>
    <w:rsid w:val="388478C7"/>
    <w:rsid w:val="38CE2ACE"/>
    <w:rsid w:val="39293A9C"/>
    <w:rsid w:val="396E7E2F"/>
    <w:rsid w:val="397C60EA"/>
    <w:rsid w:val="39CF1735"/>
    <w:rsid w:val="39CF291F"/>
    <w:rsid w:val="3B0E5DF6"/>
    <w:rsid w:val="3B415D81"/>
    <w:rsid w:val="3B605E0D"/>
    <w:rsid w:val="3B7C3F41"/>
    <w:rsid w:val="3BCA3132"/>
    <w:rsid w:val="3BDA6A4E"/>
    <w:rsid w:val="3C38497E"/>
    <w:rsid w:val="3C8151BB"/>
    <w:rsid w:val="3C9D78FB"/>
    <w:rsid w:val="3D6A6CB0"/>
    <w:rsid w:val="3DA8575D"/>
    <w:rsid w:val="3DEB15F2"/>
    <w:rsid w:val="3E7E3612"/>
    <w:rsid w:val="3EA00910"/>
    <w:rsid w:val="3EA424BB"/>
    <w:rsid w:val="3EF6359E"/>
    <w:rsid w:val="3F354B78"/>
    <w:rsid w:val="3F824867"/>
    <w:rsid w:val="3FDC6272"/>
    <w:rsid w:val="3FFC6AEA"/>
    <w:rsid w:val="401E3F3F"/>
    <w:rsid w:val="40E40E6B"/>
    <w:rsid w:val="40EA4A9D"/>
    <w:rsid w:val="410C2502"/>
    <w:rsid w:val="41384F21"/>
    <w:rsid w:val="413A09BC"/>
    <w:rsid w:val="41CC511C"/>
    <w:rsid w:val="42410BEA"/>
    <w:rsid w:val="428D352A"/>
    <w:rsid w:val="42B572F5"/>
    <w:rsid w:val="42D26EEB"/>
    <w:rsid w:val="42EE73B2"/>
    <w:rsid w:val="432E358C"/>
    <w:rsid w:val="43DD74AA"/>
    <w:rsid w:val="44CD686B"/>
    <w:rsid w:val="455A291D"/>
    <w:rsid w:val="457701DB"/>
    <w:rsid w:val="45B31A4E"/>
    <w:rsid w:val="45BA6E25"/>
    <w:rsid w:val="45D40ACE"/>
    <w:rsid w:val="463B1729"/>
    <w:rsid w:val="471A296D"/>
    <w:rsid w:val="47404649"/>
    <w:rsid w:val="47EA723C"/>
    <w:rsid w:val="487E068B"/>
    <w:rsid w:val="488879FC"/>
    <w:rsid w:val="48E95855"/>
    <w:rsid w:val="49497024"/>
    <w:rsid w:val="49974844"/>
    <w:rsid w:val="49980767"/>
    <w:rsid w:val="49AA1C26"/>
    <w:rsid w:val="4A0C0F1B"/>
    <w:rsid w:val="4A116BB9"/>
    <w:rsid w:val="4A152C7B"/>
    <w:rsid w:val="4A265083"/>
    <w:rsid w:val="4A836D7D"/>
    <w:rsid w:val="4A996C97"/>
    <w:rsid w:val="4AA16101"/>
    <w:rsid w:val="4AC1118A"/>
    <w:rsid w:val="4B4E23DC"/>
    <w:rsid w:val="4BDF7EA7"/>
    <w:rsid w:val="4BE746E0"/>
    <w:rsid w:val="4C3F3F10"/>
    <w:rsid w:val="4CA17609"/>
    <w:rsid w:val="4CF62E28"/>
    <w:rsid w:val="4D0A3E82"/>
    <w:rsid w:val="4D390DF3"/>
    <w:rsid w:val="4DAF1B9B"/>
    <w:rsid w:val="4E007E2E"/>
    <w:rsid w:val="4E545E27"/>
    <w:rsid w:val="4EDD1718"/>
    <w:rsid w:val="4F3E2919"/>
    <w:rsid w:val="4F492272"/>
    <w:rsid w:val="4F9664AA"/>
    <w:rsid w:val="4FEC646B"/>
    <w:rsid w:val="505A0944"/>
    <w:rsid w:val="506F0EAE"/>
    <w:rsid w:val="507C767F"/>
    <w:rsid w:val="50BB3F7B"/>
    <w:rsid w:val="50DC2009"/>
    <w:rsid w:val="51190EEA"/>
    <w:rsid w:val="51B26FA0"/>
    <w:rsid w:val="51D16C5A"/>
    <w:rsid w:val="51E00AD7"/>
    <w:rsid w:val="51FE78DF"/>
    <w:rsid w:val="52676873"/>
    <w:rsid w:val="52771407"/>
    <w:rsid w:val="5290069E"/>
    <w:rsid w:val="52B92D1B"/>
    <w:rsid w:val="52BC4DF6"/>
    <w:rsid w:val="52DA7DED"/>
    <w:rsid w:val="52F14A6F"/>
    <w:rsid w:val="53035905"/>
    <w:rsid w:val="53782662"/>
    <w:rsid w:val="53785A58"/>
    <w:rsid w:val="53C97ABB"/>
    <w:rsid w:val="53CF02A7"/>
    <w:rsid w:val="54093094"/>
    <w:rsid w:val="54815D42"/>
    <w:rsid w:val="54C95C97"/>
    <w:rsid w:val="54F14D40"/>
    <w:rsid w:val="551A2AE4"/>
    <w:rsid w:val="556945E2"/>
    <w:rsid w:val="561B1590"/>
    <w:rsid w:val="5646183D"/>
    <w:rsid w:val="565773C0"/>
    <w:rsid w:val="575D329A"/>
    <w:rsid w:val="57A44D0E"/>
    <w:rsid w:val="57B23B76"/>
    <w:rsid w:val="58176FF9"/>
    <w:rsid w:val="583650FF"/>
    <w:rsid w:val="58B932EE"/>
    <w:rsid w:val="58C70474"/>
    <w:rsid w:val="59107E18"/>
    <w:rsid w:val="59EE0EE1"/>
    <w:rsid w:val="59FE316A"/>
    <w:rsid w:val="5A5B3E42"/>
    <w:rsid w:val="5A85415B"/>
    <w:rsid w:val="5A940316"/>
    <w:rsid w:val="5AA51E2F"/>
    <w:rsid w:val="5B0E3F6E"/>
    <w:rsid w:val="5B2F511E"/>
    <w:rsid w:val="5B69089D"/>
    <w:rsid w:val="5B906492"/>
    <w:rsid w:val="5BAD5F69"/>
    <w:rsid w:val="5BE67E1A"/>
    <w:rsid w:val="5C006C5B"/>
    <w:rsid w:val="5C141C46"/>
    <w:rsid w:val="5C8A168A"/>
    <w:rsid w:val="5C980A45"/>
    <w:rsid w:val="5CFC7EB3"/>
    <w:rsid w:val="5D224AF3"/>
    <w:rsid w:val="5D375A40"/>
    <w:rsid w:val="5D793C71"/>
    <w:rsid w:val="5D8E3064"/>
    <w:rsid w:val="5D8E71E7"/>
    <w:rsid w:val="5D9266A8"/>
    <w:rsid w:val="5DA62423"/>
    <w:rsid w:val="5DF4068E"/>
    <w:rsid w:val="5E467709"/>
    <w:rsid w:val="5E747E0C"/>
    <w:rsid w:val="5F527334"/>
    <w:rsid w:val="5F7F4F15"/>
    <w:rsid w:val="5FD56D90"/>
    <w:rsid w:val="604D4806"/>
    <w:rsid w:val="608F13EB"/>
    <w:rsid w:val="60E7232A"/>
    <w:rsid w:val="60FA309C"/>
    <w:rsid w:val="610655C3"/>
    <w:rsid w:val="61206770"/>
    <w:rsid w:val="61770173"/>
    <w:rsid w:val="61C34D60"/>
    <w:rsid w:val="61ED5686"/>
    <w:rsid w:val="62570336"/>
    <w:rsid w:val="62822534"/>
    <w:rsid w:val="62B5059A"/>
    <w:rsid w:val="62F63C56"/>
    <w:rsid w:val="631A250C"/>
    <w:rsid w:val="633F17F8"/>
    <w:rsid w:val="636B30C7"/>
    <w:rsid w:val="63A73E4C"/>
    <w:rsid w:val="640D1FEE"/>
    <w:rsid w:val="64296242"/>
    <w:rsid w:val="64426D6E"/>
    <w:rsid w:val="648F7BD9"/>
    <w:rsid w:val="64993C82"/>
    <w:rsid w:val="64B278D6"/>
    <w:rsid w:val="651727E9"/>
    <w:rsid w:val="65173F60"/>
    <w:rsid w:val="65976D7C"/>
    <w:rsid w:val="65AD5A66"/>
    <w:rsid w:val="65DB0990"/>
    <w:rsid w:val="66005225"/>
    <w:rsid w:val="660463DC"/>
    <w:rsid w:val="66080B3F"/>
    <w:rsid w:val="6645222C"/>
    <w:rsid w:val="66850408"/>
    <w:rsid w:val="66A610FD"/>
    <w:rsid w:val="66C629D7"/>
    <w:rsid w:val="66D17857"/>
    <w:rsid w:val="66F75E0B"/>
    <w:rsid w:val="67213BEE"/>
    <w:rsid w:val="67D10C0E"/>
    <w:rsid w:val="686A7BBB"/>
    <w:rsid w:val="68720BB8"/>
    <w:rsid w:val="687C726C"/>
    <w:rsid w:val="68B11E66"/>
    <w:rsid w:val="693D5F52"/>
    <w:rsid w:val="69584B86"/>
    <w:rsid w:val="69853607"/>
    <w:rsid w:val="69F55899"/>
    <w:rsid w:val="6A100504"/>
    <w:rsid w:val="6A556A0B"/>
    <w:rsid w:val="6A922C48"/>
    <w:rsid w:val="6AB15891"/>
    <w:rsid w:val="6B1B5615"/>
    <w:rsid w:val="6B7C323B"/>
    <w:rsid w:val="6D2C58EC"/>
    <w:rsid w:val="6D6F1818"/>
    <w:rsid w:val="6D8806BE"/>
    <w:rsid w:val="6DA3399E"/>
    <w:rsid w:val="6DA71300"/>
    <w:rsid w:val="6DA978E3"/>
    <w:rsid w:val="6DCA367E"/>
    <w:rsid w:val="6E32265A"/>
    <w:rsid w:val="6E6C7C14"/>
    <w:rsid w:val="6E7C6216"/>
    <w:rsid w:val="6E874E76"/>
    <w:rsid w:val="6E8D0C57"/>
    <w:rsid w:val="6E8D6AAE"/>
    <w:rsid w:val="6EAA28D2"/>
    <w:rsid w:val="6F360A7D"/>
    <w:rsid w:val="6F5A5C1F"/>
    <w:rsid w:val="7039310D"/>
    <w:rsid w:val="709540DD"/>
    <w:rsid w:val="70D4067E"/>
    <w:rsid w:val="70EE32A1"/>
    <w:rsid w:val="70F756F8"/>
    <w:rsid w:val="71125A5B"/>
    <w:rsid w:val="7115575F"/>
    <w:rsid w:val="712F7095"/>
    <w:rsid w:val="71673B5A"/>
    <w:rsid w:val="71882481"/>
    <w:rsid w:val="71980A4D"/>
    <w:rsid w:val="7198763D"/>
    <w:rsid w:val="72803548"/>
    <w:rsid w:val="728A6B4D"/>
    <w:rsid w:val="72DE0DE2"/>
    <w:rsid w:val="72F03192"/>
    <w:rsid w:val="73052189"/>
    <w:rsid w:val="73097032"/>
    <w:rsid w:val="735D1614"/>
    <w:rsid w:val="73B3034B"/>
    <w:rsid w:val="73DF63EE"/>
    <w:rsid w:val="747148E2"/>
    <w:rsid w:val="74893366"/>
    <w:rsid w:val="7592631D"/>
    <w:rsid w:val="75A20909"/>
    <w:rsid w:val="75C9479E"/>
    <w:rsid w:val="763B7BE7"/>
    <w:rsid w:val="765D11B3"/>
    <w:rsid w:val="7675569E"/>
    <w:rsid w:val="76B03D03"/>
    <w:rsid w:val="779821F2"/>
    <w:rsid w:val="782A52D9"/>
    <w:rsid w:val="782E4D90"/>
    <w:rsid w:val="78607716"/>
    <w:rsid w:val="78925F91"/>
    <w:rsid w:val="78CA0449"/>
    <w:rsid w:val="79344B42"/>
    <w:rsid w:val="793C1775"/>
    <w:rsid w:val="798A090D"/>
    <w:rsid w:val="79B93DEC"/>
    <w:rsid w:val="7A0344FC"/>
    <w:rsid w:val="7A0751B6"/>
    <w:rsid w:val="7A5441DE"/>
    <w:rsid w:val="7A6C460E"/>
    <w:rsid w:val="7A907924"/>
    <w:rsid w:val="7B2C1BD5"/>
    <w:rsid w:val="7B54717F"/>
    <w:rsid w:val="7D104C72"/>
    <w:rsid w:val="7D9D61CD"/>
    <w:rsid w:val="7DB6396F"/>
    <w:rsid w:val="7E490FB5"/>
    <w:rsid w:val="7E581D76"/>
    <w:rsid w:val="7F04272C"/>
    <w:rsid w:val="7F5931E2"/>
    <w:rsid w:val="7FB3772A"/>
    <w:rsid w:val="7FC1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747</Words>
  <Characters>4264</Characters>
  <Lines>35</Lines>
  <Paragraphs>10</Paragraphs>
  <ScaleCrop>false</ScaleCrop>
  <LinksUpToDate>false</LinksUpToDate>
  <CharactersWithSpaces>5001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2018-10-25T05:30:43Z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