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20" w:lineRule="auto"/>
        <w:ind w:left="0" w:leftChars="0" w:right="0" w:rightChars="0" w:firstLine="0" w:firstLineChars="0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eastAsia="zh-CN"/>
        </w:rPr>
        <w:t>恒生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UF2.0(国金证券)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2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委托确认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2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委托撤销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2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查询交易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120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账户登录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3835"/>
    <w:multiLevelType w:val="singleLevel"/>
    <w:tmpl w:val="59F9383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6F599C"/>
    <w:rsid w:val="17E95D4B"/>
    <w:rsid w:val="19335380"/>
    <w:rsid w:val="19404103"/>
    <w:rsid w:val="195240A5"/>
    <w:rsid w:val="1C012B24"/>
    <w:rsid w:val="30CC6738"/>
    <w:rsid w:val="35284560"/>
    <w:rsid w:val="364B5633"/>
    <w:rsid w:val="373A6D1B"/>
    <w:rsid w:val="384817B7"/>
    <w:rsid w:val="398953BC"/>
    <w:rsid w:val="45E02661"/>
    <w:rsid w:val="4F1140AF"/>
    <w:rsid w:val="54D67C59"/>
    <w:rsid w:val="563E4AB1"/>
    <w:rsid w:val="5AC44E2E"/>
    <w:rsid w:val="65440A77"/>
    <w:rsid w:val="6AEB5ECB"/>
    <w:rsid w:val="6DB90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2017-11-01T03:02:21Z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