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0" w:lineRule="atLeas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功能架构设计</w:t>
      </w: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架构图</w:t>
      </w:r>
    </w:p>
    <w:p>
      <w:pPr>
        <w:spacing w:line="0" w:lineRule="atLeast"/>
      </w:pPr>
      <w:r>
        <w:rPr>
          <w:rFonts w:hint="eastAsia"/>
        </w:rPr>
        <w:object>
          <v:shape id="_x0000_i1025" o:spt="75" type="#_x0000_t75" style="height:125.4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代码结构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行情中心新增datacenter.provider项目。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数据新增表：</w:t>
      </w:r>
    </w:p>
    <w:p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rd_security_map_sundrytype证券杂项分类关系表。</w:t>
      </w:r>
    </w:p>
    <w:p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rd_security_stock股票基本信息表。</w:t>
      </w:r>
    </w:p>
    <w:p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rd_sundry_security_type杂项分类表。</w:t>
      </w:r>
    </w:p>
    <w:p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rd_credit_rating信用级别信息表。</w:t>
      </w:r>
    </w:p>
    <w:p>
      <w:pPr>
        <w:pStyle w:val="2"/>
        <w:spacing w:line="0" w:lineRule="atLeas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数据库设计</w:t>
      </w: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表结构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rd_security证券公共信息表（</w:t>
      </w:r>
      <w:r>
        <w:rPr>
          <w:rFonts w:hint="eastAsia"/>
          <w:color w:val="FF0000"/>
          <w:szCs w:val="21"/>
        </w:rPr>
        <w:t>以下字段为新增字段</w:t>
      </w:r>
      <w:r>
        <w:rPr>
          <w:rFonts w:hint="eastAsia"/>
          <w:szCs w:val="21"/>
        </w:rPr>
        <w:t>）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发型规模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issue_amountact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是否公开发行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is_exchmarket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1：是，2：否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发型起始日期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issue_begin_date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发行人编号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issuer_no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该字段与发行人分支冲突，按照发行人分支处理</w:t>
            </w:r>
          </w:p>
        </w:tc>
      </w:tr>
    </w:tbl>
    <w:p>
      <w:pPr>
        <w:spacing w:line="0" w:lineRule="atLeast"/>
        <w:ind w:firstLine="420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rd_security_bond债券基本信息表（</w:t>
      </w:r>
      <w:r>
        <w:rPr>
          <w:rFonts w:hint="eastAsia"/>
          <w:color w:val="FF0000"/>
          <w:szCs w:val="21"/>
        </w:rPr>
        <w:t>以下字段为新增字段</w:t>
      </w:r>
      <w:r>
        <w:rPr>
          <w:rFonts w:hint="eastAsia"/>
          <w:szCs w:val="21"/>
        </w:rPr>
        <w:t>）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修正久期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modified_duration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担保方式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guarantee_type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利率基准代码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rate_benchmark_code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投资人行权日期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investor_exercise_date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发行人行权日期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issuer_exercise_date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下一个兑付日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next_payment_date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发行面额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denomination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主体外部评级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ext_issuer_rating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主体外部评级日期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ext_issuer_rating_date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主体外部评级机构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ext_issuer_rating_inst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债项外部评级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ext_bond_rating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债项外部评级日期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ext_bond_rating_date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债券外部评级机构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ext_bond_rating_inst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主体</w:t>
            </w:r>
            <w:r>
              <w:rPr>
                <w:rFonts w:hint="eastAsia"/>
                <w:szCs w:val="21"/>
              </w:rPr>
              <w:t>内部评级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int_issuer_rating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债项内部评级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int_bond_rating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计息基准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coupon_quotation_benchmark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rd_equal_security债券关联券关系表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主键id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bigint(20)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关联券1id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security_id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varchar(40)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关联券2id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equal_security_id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varchar(40)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rd_security_stock股票基本信息表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证券id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security_id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varchar(40)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是否待上市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is_before_listed_date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板块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list_board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rd_security_fund基金基本信息表（</w:t>
      </w:r>
      <w:r>
        <w:rPr>
          <w:rFonts w:hint="eastAsia"/>
          <w:color w:val="FF0000"/>
          <w:szCs w:val="21"/>
        </w:rPr>
        <w:t>以下字段为新增字段</w:t>
      </w:r>
      <w:r>
        <w:rPr>
          <w:rFonts w:hint="eastAsia"/>
          <w:szCs w:val="21"/>
        </w:rPr>
        <w:t>）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成立日期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setup_date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上市日期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list_date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封闭期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closed_period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decimal(18,4)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rd_security_map_sundrytype证券杂项分类关系表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证券id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security_id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varchar(40)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杂项分类代码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sundry_security_type_code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rd_sundry_security_type杂项分类字典表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证券类型代码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security_type_code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证券杂项分类代码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sundry_security_type_code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证券杂项分类名称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rd_credit_rating信用级别字典表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评级机构代码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inst_no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等级序号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rating_sort_no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decimal(20,0)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信用级别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credit_rating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通用等级</w:t>
            </w:r>
          </w:p>
        </w:tc>
        <w:tc>
          <w:tcPr>
            <w:tcW w:w="2158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universal_rating</w:t>
            </w:r>
          </w:p>
        </w:tc>
        <w:tc>
          <w:tcPr>
            <w:tcW w:w="1431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1004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rPr>
          <w:szCs w:val="21"/>
        </w:rPr>
      </w:pPr>
    </w:p>
    <w:p>
      <w:pPr>
        <w:pStyle w:val="3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数据字典</w:t>
      </w: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rd_dictionary_item字典数据</w:t>
      </w:r>
    </w:p>
    <w:p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担保方式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SURETY_GURANTEE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保证担保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IRREVOCABLE_CONTINUING_GURANTEE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不可撤销连带责任担保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MORTGAGE_GURANTEE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抵押担保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COUNTER_GUARANTEE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CORRELATE_GURANTEE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互相担保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EXEMPTED_GURANTEE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豁免担保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CONTINUING_GURANTEE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连带责任担保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ILLEGAL_GURANTEE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违规担保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OBLIGATORY_GURANTEE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无偿担保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CREDIT_GURANTEE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信用担保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NORMAL_GURANTEE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PLEDGE_GURANTEE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质押担保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PLEDGE</w:t>
            </w:r>
            <w:r>
              <w:rPr>
                <w:rFonts w:hint="eastAsia"/>
                <w:szCs w:val="21"/>
                <w:lang w:val="en-US" w:eastAsia="zh-CN"/>
              </w:rPr>
              <w:t>_</w:t>
            </w:r>
            <w:r>
              <w:rPr>
                <w:szCs w:val="21"/>
              </w:rPr>
              <w:t>MORTAGE_GURANTEE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质押担保及抵押担保</w:t>
            </w:r>
          </w:p>
        </w:tc>
      </w:tr>
    </w:tbl>
    <w:p>
      <w:pPr>
        <w:spacing w:line="0" w:lineRule="atLeast"/>
        <w:ind w:left="840"/>
        <w:rPr>
          <w:rFonts w:hint="eastAsia"/>
          <w:szCs w:val="21"/>
        </w:rPr>
      </w:pPr>
    </w:p>
    <w:p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利率基准代码</w:t>
      </w:r>
      <w:r>
        <w:rPr>
          <w:rFonts w:hint="eastAsia"/>
          <w:szCs w:val="21"/>
          <w:lang w:val="en-US" w:eastAsia="zh-CN"/>
        </w:rPr>
        <w:t>--需要修改</w:t>
      </w:r>
      <w:bookmarkStart w:id="0" w:name="_GoBack"/>
      <w:bookmarkEnd w:id="0"/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SHIBOR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HIBOR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LIBOR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7D_FIXING_REPO_RATE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7天回购定盘利率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7D_MEAN_REPO_RATE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7天回购利率平均值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6M_DEPOSIT_RATE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半年期定期存款利率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3M_DEPOSIT_RATE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三个月定期存款利率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1Y_DEPOSIT_RATE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1年期定期存款利率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1TO3Y_LOAN_INTEREST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一致三年定期存款利率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1Y_LOAN_INTEREST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1年期贷款基准利率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5Y_LOAN_INTEREST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五年期以上贷款利率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1TO5Y_LOAN_INTEREST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一至五年期贷款利率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3TO5Y_LOAN_INTEREST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中长期贷款三至五年(含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3YT_BOND_YIELD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中债登银行间固定利率国债3年期收益率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5YT_BOND_YIELD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中债登银行间固定利率国债5年期收益率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7YT_BOND_YIELD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中债登银行间固定利率国债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年期收益率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3Y_POLICY_BANK_BOND_YIELD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中债政策性金融债到期收益率(国开行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3"/>
        </w:numPr>
        <w:spacing w:line="0" w:lineRule="atLeast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评级机构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大公国际资信评估有限公司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东方金诚国际信用评估有限公司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联合信用评级有限公司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鹏元资信评估有限公司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上海新世纪资信评估投资服务有限公司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上海远东资信评估有限公司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中诚信证券评估有限公司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联合资信评估有限公司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中诚信国际信用评级有限公司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中债资信评估有限公司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计息基准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/A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/360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A/366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A/366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30/360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30/360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/365F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/365F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板块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MAIN_BOARD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SME_BOARD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中小企业版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CHI_NEXT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创业板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  <w:lang w:eastAsia="zh-CN"/>
        </w:rPr>
        <w:t>利息</w:t>
      </w:r>
      <w:r>
        <w:rPr>
          <w:rFonts w:hint="eastAsia"/>
          <w:szCs w:val="21"/>
        </w:rPr>
        <w:t>品种新增累进利率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PROGRESSIVE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累进利率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rd_credit_rating信用级别字典数据</w:t>
      </w:r>
    </w:p>
    <w:p>
      <w:pPr>
        <w:numPr>
          <w:ilvl w:val="0"/>
          <w:numId w:val="4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信用级别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</w:p>
        </w:tc>
      </w:tr>
    </w:tbl>
    <w:p>
      <w:pPr>
        <w:spacing w:line="0" w:lineRule="atLeast"/>
        <w:ind w:firstLine="420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rd_sub_security_type子类型新增字典数据</w:t>
      </w:r>
    </w:p>
    <w:p>
      <w:pPr>
        <w:numPr>
          <w:ilvl w:val="0"/>
          <w:numId w:val="5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债券新增子类型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SHORT_FINANCING_BOND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短期融资债券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MEDIUM_TERM_NOTES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中期票据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ABS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资产支持证券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SUPRANATIONAL_BOND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国际机构债券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AGENCY_BOND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政府支持机构债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同业存单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PPN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定向工具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rd_sundry_security_type杂项分类字典数据</w:t>
      </w:r>
    </w:p>
    <w:p>
      <w:pPr>
        <w:numPr>
          <w:ilvl w:val="0"/>
          <w:numId w:val="6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债券杂项分类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UNBAN_INVESTMENT_BOND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城投债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MOR_BOND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铁道债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REAL_ESTATE_BOND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房地产债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PP_NISSUED_BY_EXCHANGE_MARKET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交易所私募债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信用债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DEBENTURE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利率债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NONPOLICY_BANK_BOND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非政策性金融债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OPTION_EMBEDDED_BOND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含权债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STRAIGHT_FINANCIAL_BOND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普通金融债(一次性还本付息)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PREPETUAL_BOND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永续债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PPN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非公开定向债务融资工具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FINANCING_BOND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融资券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SUBPRIME_BOND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次级债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</w:rPr>
              <w:t>LARGE_AMOUNT_DEPOSIT_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BILL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大额存单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SCP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超短期融资债券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POLICYBANK_BOND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政策金融债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SMECN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集合票据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PRIVATE_PLACEMENT_BOND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私募债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ABN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资产支持票据</w:t>
            </w:r>
          </w:p>
        </w:tc>
      </w:tr>
    </w:tbl>
    <w:p>
      <w:pPr>
        <w:spacing w:line="0" w:lineRule="atLeast"/>
        <w:ind w:left="420"/>
        <w:rPr>
          <w:szCs w:val="21"/>
        </w:rPr>
      </w:pPr>
    </w:p>
    <w:p>
      <w:pPr>
        <w:numPr>
          <w:ilvl w:val="0"/>
          <w:numId w:val="6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股票杂项分类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ST_LEVEL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风险警示股票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IS_MULTI_MARKET_LISTED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多地上市股票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IS_PERFERRED_STOCK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是否优先股</w:t>
            </w:r>
          </w:p>
        </w:tc>
      </w:tr>
    </w:tbl>
    <w:p>
      <w:pPr>
        <w:spacing w:line="0" w:lineRule="atLeast"/>
        <w:ind w:left="420" w:firstLine="420"/>
        <w:rPr>
          <w:szCs w:val="21"/>
        </w:rPr>
      </w:pPr>
    </w:p>
    <w:p>
      <w:pPr>
        <w:numPr>
          <w:ilvl w:val="0"/>
          <w:numId w:val="6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基金杂项分类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ETF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ETF基金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MONETARY_FUND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货币基金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BOND_FUND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债券基金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EQUITY_FUND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股票基金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HYBRID_FUND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混合基金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OPEN_END_FUND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开放式基金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CLOSE_END_FUND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封闭式基金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SPLIT_CAPITAL_FUND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分级基金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FOF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FOF基金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PERIODIC_CLOASE_END_FUND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定期开放式基金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QDII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QDII基金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GOLD_FUND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黄金基金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COMMODITY_FUND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商品基金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PENSION_FUND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养老基金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FINANCIAL_PLANING_FUND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理财基金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OTHER_FUND</w:t>
            </w:r>
          </w:p>
        </w:tc>
        <w:tc>
          <w:tcPr>
            <w:tcW w:w="4090" w:type="dxa"/>
          </w:tcPr>
          <w:p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其他基金</w:t>
            </w:r>
          </w:p>
        </w:tc>
      </w:tr>
    </w:tbl>
    <w:p>
      <w:pPr>
        <w:spacing w:line="0" w:lineRule="atLeast"/>
        <w:ind w:left="420" w:firstLine="420"/>
        <w:rPr>
          <w:szCs w:val="21"/>
        </w:rPr>
      </w:pPr>
    </w:p>
    <w:p>
      <w:pPr>
        <w:pStyle w:val="2"/>
        <w:spacing w:line="0" w:lineRule="atLeas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证券信息管理</w:t>
      </w:r>
    </w:p>
    <w:p>
      <w:pPr>
        <w:pStyle w:val="3"/>
        <w:spacing w:line="0" w:lineRule="atLeast"/>
        <w:rPr>
          <w:sz w:val="28"/>
          <w:szCs w:val="28"/>
        </w:rPr>
      </w:pPr>
      <w:r>
        <w:rPr>
          <w:rFonts w:hint="eastAsia" w:ascii="黑体" w:hAnsi="黑体" w:cs="黑体"/>
          <w:sz w:val="28"/>
          <w:szCs w:val="28"/>
        </w:rPr>
        <w:t>新增、修改、详情</w:t>
      </w:r>
    </w:p>
    <w:p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公共字段部分新增字段</w:t>
      </w:r>
    </w:p>
    <w:p>
      <w:pPr>
        <w:numPr>
          <w:ilvl w:val="0"/>
          <w:numId w:val="8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杂项分类：下拉列表形式，并且随着证券类型的变化而变化成指定列表。</w:t>
      </w:r>
    </w:p>
    <w:p>
      <w:pPr>
        <w:numPr>
          <w:ilvl w:val="0"/>
          <w:numId w:val="8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发型规模：数字输入框</w:t>
      </w:r>
    </w:p>
    <w:p>
      <w:pPr>
        <w:numPr>
          <w:ilvl w:val="0"/>
          <w:numId w:val="8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是否公开发行：勾选框</w:t>
      </w:r>
    </w:p>
    <w:p>
      <w:pPr>
        <w:numPr>
          <w:ilvl w:val="0"/>
          <w:numId w:val="8"/>
        </w:numPr>
        <w:spacing w:line="0" w:lineRule="atLeast"/>
        <w:ind w:left="840"/>
      </w:pPr>
      <w:r>
        <w:rPr>
          <w:rFonts w:hint="eastAsia"/>
          <w:szCs w:val="21"/>
        </w:rPr>
        <w:t>发型起始日期：日期选项框</w:t>
      </w:r>
    </w:p>
    <w:p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债券部分新增字段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修正久期：</w:t>
      </w:r>
      <w:r>
        <w:rPr>
          <w:rFonts w:hint="eastAsia"/>
          <w:szCs w:val="21"/>
        </w:rPr>
        <w:t>数字输入框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担保方式：下拉列表形式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利率基准代码：下拉列表形式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投资人行权日期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发行人行权日期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下一个兑付日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发行面额：数字输入框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主体外部评级机构：下拉列表形式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主体外部评级：下拉列表形式，并且根据评级机构的变化而变化成指定列表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主体外部评级日期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债券外部评级机构：下拉列表形式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债项外部评级：下拉列表形式，并且根据评级机构的变化而变化成指定列表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债项外部评级日期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内部评级：下拉列表形式（因为每个机构有自己的信用级别，多以该字段为cims评级字段，所以该字段内容为所有信用并集的并集）</w:t>
      </w:r>
    </w:p>
    <w:p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计息基准：下拉列表形式（</w:t>
      </w:r>
      <w:r>
        <w:rPr>
          <w:rFonts w:hint="eastAsia"/>
          <w:color w:val="FF0000"/>
        </w:rPr>
        <w:t>由于需求的变化暂时未实现，现在只能手工输入</w:t>
      </w:r>
      <w:r>
        <w:rPr>
          <w:rFonts w:hint="eastAsia"/>
        </w:rPr>
        <w:t>）</w:t>
      </w:r>
    </w:p>
    <w:p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股票部分新增字段</w:t>
      </w:r>
    </w:p>
    <w:p>
      <w:pPr>
        <w:numPr>
          <w:ilvl w:val="0"/>
          <w:numId w:val="10"/>
        </w:numPr>
        <w:spacing w:line="0" w:lineRule="atLeast"/>
        <w:ind w:left="840"/>
      </w:pPr>
      <w:r>
        <w:rPr>
          <w:rFonts w:hint="eastAsia"/>
        </w:rPr>
        <w:t>板块：下拉列表形式</w:t>
      </w:r>
    </w:p>
    <w:p>
      <w:pPr>
        <w:numPr>
          <w:ilvl w:val="0"/>
          <w:numId w:val="10"/>
        </w:numPr>
        <w:spacing w:line="0" w:lineRule="atLeast"/>
        <w:ind w:left="840"/>
      </w:pPr>
      <w:r>
        <w:rPr>
          <w:rFonts w:hint="eastAsia"/>
        </w:rPr>
        <w:t>是否待上市：勾选框</w:t>
      </w:r>
    </w:p>
    <w:p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基金部分新增字段</w:t>
      </w:r>
    </w:p>
    <w:p>
      <w:pPr>
        <w:numPr>
          <w:ilvl w:val="0"/>
          <w:numId w:val="11"/>
        </w:numPr>
        <w:spacing w:line="0" w:lineRule="atLeast"/>
        <w:ind w:left="840"/>
      </w:pPr>
      <w:r>
        <w:rPr>
          <w:rFonts w:hint="eastAsia"/>
        </w:rPr>
        <w:t>成立日期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11"/>
        </w:numPr>
        <w:spacing w:line="0" w:lineRule="atLeast"/>
        <w:ind w:left="840"/>
      </w:pPr>
      <w:r>
        <w:rPr>
          <w:rFonts w:hint="eastAsia"/>
        </w:rPr>
        <w:t>上市日期</w:t>
      </w:r>
      <w:r>
        <w:rPr>
          <w:rFonts w:hint="eastAsia"/>
          <w:szCs w:val="21"/>
        </w:rPr>
        <w:t>：日期选项框</w:t>
      </w:r>
    </w:p>
    <w:p>
      <w:pPr>
        <w:numPr>
          <w:ilvl w:val="0"/>
          <w:numId w:val="11"/>
        </w:numPr>
        <w:spacing w:line="0" w:lineRule="atLeast"/>
        <w:ind w:left="840"/>
      </w:pPr>
      <w:r>
        <w:rPr>
          <w:rFonts w:hint="eastAsia"/>
        </w:rPr>
        <w:t>封闭期：数字输入框</w:t>
      </w:r>
    </w:p>
    <w:p>
      <w:pPr>
        <w:spacing w:line="0" w:lineRule="atLeast"/>
        <w:ind w:left="420"/>
      </w:pPr>
    </w:p>
    <w:p>
      <w:pPr>
        <w:pStyle w:val="3"/>
        <w:spacing w:line="0" w:lineRule="atLeast"/>
      </w:pPr>
      <w:r>
        <w:rPr>
          <w:rFonts w:hint="eastAsia" w:ascii="黑体" w:hAnsi="黑体" w:cs="黑体"/>
          <w:sz w:val="28"/>
          <w:szCs w:val="28"/>
        </w:rPr>
        <w:t>相关api表格更新</w:t>
      </w:r>
    </w:p>
    <w:p>
      <w:pPr>
        <w:spacing w:line="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63BA"/>
    <w:multiLevelType w:val="multilevel"/>
    <w:tmpl w:val="5BBC63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BC6744"/>
    <w:multiLevelType w:val="singleLevel"/>
    <w:tmpl w:val="5BBC67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BC87D4"/>
    <w:multiLevelType w:val="singleLevel"/>
    <w:tmpl w:val="5BBC87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BC87E3"/>
    <w:multiLevelType w:val="singleLevel"/>
    <w:tmpl w:val="5BBC87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BC88B4"/>
    <w:multiLevelType w:val="singleLevel"/>
    <w:tmpl w:val="5BBC88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BC8AC9"/>
    <w:multiLevelType w:val="singleLevel"/>
    <w:tmpl w:val="5BBC8A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BBC8ADA"/>
    <w:multiLevelType w:val="singleLevel"/>
    <w:tmpl w:val="5BBC8A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BC04E33"/>
    <w:multiLevelType w:val="singleLevel"/>
    <w:tmpl w:val="5BC04E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BC06181"/>
    <w:multiLevelType w:val="singleLevel"/>
    <w:tmpl w:val="5BC061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BC061EF"/>
    <w:multiLevelType w:val="singleLevel"/>
    <w:tmpl w:val="5BC061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BC06E90"/>
    <w:multiLevelType w:val="singleLevel"/>
    <w:tmpl w:val="5BC06E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51"/>
    <w:rsid w:val="000C035F"/>
    <w:rsid w:val="00127731"/>
    <w:rsid w:val="00225740"/>
    <w:rsid w:val="0025089B"/>
    <w:rsid w:val="003C6073"/>
    <w:rsid w:val="004B06B5"/>
    <w:rsid w:val="004E2261"/>
    <w:rsid w:val="00512E73"/>
    <w:rsid w:val="00537049"/>
    <w:rsid w:val="005B4B40"/>
    <w:rsid w:val="005F3582"/>
    <w:rsid w:val="006A511C"/>
    <w:rsid w:val="00786D3D"/>
    <w:rsid w:val="007B1ED3"/>
    <w:rsid w:val="0089511C"/>
    <w:rsid w:val="00906051"/>
    <w:rsid w:val="009C782B"/>
    <w:rsid w:val="00A120DB"/>
    <w:rsid w:val="00A803E5"/>
    <w:rsid w:val="00C14FD5"/>
    <w:rsid w:val="00C434A2"/>
    <w:rsid w:val="00CF5106"/>
    <w:rsid w:val="00DA7A63"/>
    <w:rsid w:val="00DB1907"/>
    <w:rsid w:val="00DC74CA"/>
    <w:rsid w:val="00EE32B4"/>
    <w:rsid w:val="00F15603"/>
    <w:rsid w:val="00F26729"/>
    <w:rsid w:val="00FA001A"/>
    <w:rsid w:val="00FC667D"/>
    <w:rsid w:val="00FE1171"/>
    <w:rsid w:val="013F7446"/>
    <w:rsid w:val="017C5E3C"/>
    <w:rsid w:val="01ED32EE"/>
    <w:rsid w:val="01FD30D7"/>
    <w:rsid w:val="02A40386"/>
    <w:rsid w:val="02A45588"/>
    <w:rsid w:val="03010BD7"/>
    <w:rsid w:val="032626EA"/>
    <w:rsid w:val="03C93FAC"/>
    <w:rsid w:val="041C61C5"/>
    <w:rsid w:val="047833E5"/>
    <w:rsid w:val="04823887"/>
    <w:rsid w:val="04BB0151"/>
    <w:rsid w:val="05185B1D"/>
    <w:rsid w:val="052A3A13"/>
    <w:rsid w:val="05651864"/>
    <w:rsid w:val="05857C47"/>
    <w:rsid w:val="05B07FAC"/>
    <w:rsid w:val="05CB234C"/>
    <w:rsid w:val="05D11DAE"/>
    <w:rsid w:val="05EF2EAB"/>
    <w:rsid w:val="060401FD"/>
    <w:rsid w:val="071A7EAF"/>
    <w:rsid w:val="07255DD8"/>
    <w:rsid w:val="08057CF6"/>
    <w:rsid w:val="08430137"/>
    <w:rsid w:val="087E4526"/>
    <w:rsid w:val="090826E5"/>
    <w:rsid w:val="09176B25"/>
    <w:rsid w:val="09443F3B"/>
    <w:rsid w:val="095A0A43"/>
    <w:rsid w:val="0AB961DC"/>
    <w:rsid w:val="0B037EE6"/>
    <w:rsid w:val="0B63076D"/>
    <w:rsid w:val="0BC851ED"/>
    <w:rsid w:val="0C6930DC"/>
    <w:rsid w:val="0CE51592"/>
    <w:rsid w:val="0D7B1288"/>
    <w:rsid w:val="0DCD4007"/>
    <w:rsid w:val="0E5E2F65"/>
    <w:rsid w:val="0EA92386"/>
    <w:rsid w:val="0EB91B4D"/>
    <w:rsid w:val="0F096397"/>
    <w:rsid w:val="0F14672D"/>
    <w:rsid w:val="0F6977F7"/>
    <w:rsid w:val="0FA147CA"/>
    <w:rsid w:val="0FDF5C9F"/>
    <w:rsid w:val="100B4F98"/>
    <w:rsid w:val="108F6E12"/>
    <w:rsid w:val="10900478"/>
    <w:rsid w:val="10D83C27"/>
    <w:rsid w:val="11DA5CFC"/>
    <w:rsid w:val="124C1B86"/>
    <w:rsid w:val="126164AA"/>
    <w:rsid w:val="1335287D"/>
    <w:rsid w:val="13737592"/>
    <w:rsid w:val="13BD6AB1"/>
    <w:rsid w:val="13F50401"/>
    <w:rsid w:val="146F4A52"/>
    <w:rsid w:val="147B10DC"/>
    <w:rsid w:val="14A72A0C"/>
    <w:rsid w:val="14B13AE5"/>
    <w:rsid w:val="14EC2691"/>
    <w:rsid w:val="151A4A4D"/>
    <w:rsid w:val="158A6308"/>
    <w:rsid w:val="15932914"/>
    <w:rsid w:val="15976774"/>
    <w:rsid w:val="15D85F35"/>
    <w:rsid w:val="15F3230B"/>
    <w:rsid w:val="161762A2"/>
    <w:rsid w:val="162E5698"/>
    <w:rsid w:val="16444D53"/>
    <w:rsid w:val="16715ECE"/>
    <w:rsid w:val="1694070A"/>
    <w:rsid w:val="16A818AC"/>
    <w:rsid w:val="16D31F77"/>
    <w:rsid w:val="188B698C"/>
    <w:rsid w:val="18BB58A1"/>
    <w:rsid w:val="19436FF7"/>
    <w:rsid w:val="199F6592"/>
    <w:rsid w:val="19C517CB"/>
    <w:rsid w:val="19F43AFC"/>
    <w:rsid w:val="1ABC3BA4"/>
    <w:rsid w:val="1AC21EFC"/>
    <w:rsid w:val="1B321E46"/>
    <w:rsid w:val="1B51723C"/>
    <w:rsid w:val="1B5C0A70"/>
    <w:rsid w:val="1BFD24C2"/>
    <w:rsid w:val="1C3E5D18"/>
    <w:rsid w:val="1C510081"/>
    <w:rsid w:val="1C8636C6"/>
    <w:rsid w:val="1CFD54B3"/>
    <w:rsid w:val="1D1026AA"/>
    <w:rsid w:val="1E1E54D9"/>
    <w:rsid w:val="1E385B0E"/>
    <w:rsid w:val="1E500978"/>
    <w:rsid w:val="1E87585D"/>
    <w:rsid w:val="1E882B73"/>
    <w:rsid w:val="1E8845DF"/>
    <w:rsid w:val="1EFE209F"/>
    <w:rsid w:val="1F1952F3"/>
    <w:rsid w:val="1FB163B3"/>
    <w:rsid w:val="1FD33199"/>
    <w:rsid w:val="2012662C"/>
    <w:rsid w:val="201B7445"/>
    <w:rsid w:val="20C84A62"/>
    <w:rsid w:val="2130775A"/>
    <w:rsid w:val="21FE0B31"/>
    <w:rsid w:val="22C401FB"/>
    <w:rsid w:val="23E37838"/>
    <w:rsid w:val="243E7A3B"/>
    <w:rsid w:val="24797B4C"/>
    <w:rsid w:val="249227BE"/>
    <w:rsid w:val="24B20D27"/>
    <w:rsid w:val="256364F6"/>
    <w:rsid w:val="25A646EA"/>
    <w:rsid w:val="26343E7F"/>
    <w:rsid w:val="267C2BCD"/>
    <w:rsid w:val="27333B98"/>
    <w:rsid w:val="277A17EE"/>
    <w:rsid w:val="27841544"/>
    <w:rsid w:val="282A2D82"/>
    <w:rsid w:val="289B0321"/>
    <w:rsid w:val="28F371EE"/>
    <w:rsid w:val="293D7566"/>
    <w:rsid w:val="29C57108"/>
    <w:rsid w:val="2A1006BF"/>
    <w:rsid w:val="2A8270F7"/>
    <w:rsid w:val="2AA129AC"/>
    <w:rsid w:val="2AB272D6"/>
    <w:rsid w:val="2ACC09FF"/>
    <w:rsid w:val="2B3105F1"/>
    <w:rsid w:val="2BA175F4"/>
    <w:rsid w:val="2BB64D07"/>
    <w:rsid w:val="2BE52C38"/>
    <w:rsid w:val="2C1753C9"/>
    <w:rsid w:val="2C443425"/>
    <w:rsid w:val="2C614E64"/>
    <w:rsid w:val="2D0F3F74"/>
    <w:rsid w:val="2D4412D2"/>
    <w:rsid w:val="2DC90E59"/>
    <w:rsid w:val="2DDB0B90"/>
    <w:rsid w:val="2F2B235A"/>
    <w:rsid w:val="2F8B31AA"/>
    <w:rsid w:val="2FA46037"/>
    <w:rsid w:val="300A434C"/>
    <w:rsid w:val="305F3E08"/>
    <w:rsid w:val="309F2807"/>
    <w:rsid w:val="30AF2F32"/>
    <w:rsid w:val="31A201A5"/>
    <w:rsid w:val="321131BF"/>
    <w:rsid w:val="323D1384"/>
    <w:rsid w:val="326F1178"/>
    <w:rsid w:val="32C15DF3"/>
    <w:rsid w:val="32D410FF"/>
    <w:rsid w:val="32F92248"/>
    <w:rsid w:val="3442781B"/>
    <w:rsid w:val="34E53B16"/>
    <w:rsid w:val="35556EEB"/>
    <w:rsid w:val="35C855D7"/>
    <w:rsid w:val="3636627B"/>
    <w:rsid w:val="3653220E"/>
    <w:rsid w:val="36A81B45"/>
    <w:rsid w:val="375A41ED"/>
    <w:rsid w:val="388478C7"/>
    <w:rsid w:val="38CE2ACE"/>
    <w:rsid w:val="39293A9C"/>
    <w:rsid w:val="396E7E2F"/>
    <w:rsid w:val="39CF1735"/>
    <w:rsid w:val="39CF291F"/>
    <w:rsid w:val="3B0E5DF6"/>
    <w:rsid w:val="3B415D81"/>
    <w:rsid w:val="3B605E0D"/>
    <w:rsid w:val="3B7C3F41"/>
    <w:rsid w:val="3BCA3132"/>
    <w:rsid w:val="3BDA6A4E"/>
    <w:rsid w:val="3C38497E"/>
    <w:rsid w:val="3C8151BB"/>
    <w:rsid w:val="3C9D78FB"/>
    <w:rsid w:val="3D045AB6"/>
    <w:rsid w:val="3D6A6CB0"/>
    <w:rsid w:val="3DA8575D"/>
    <w:rsid w:val="3DEB15F2"/>
    <w:rsid w:val="3E7E3612"/>
    <w:rsid w:val="3EA00910"/>
    <w:rsid w:val="3EA424BB"/>
    <w:rsid w:val="3EF6359E"/>
    <w:rsid w:val="3F824867"/>
    <w:rsid w:val="3FDC6272"/>
    <w:rsid w:val="3FFC6AEA"/>
    <w:rsid w:val="401E3F3F"/>
    <w:rsid w:val="40E40E6B"/>
    <w:rsid w:val="40EA4A9D"/>
    <w:rsid w:val="410C2502"/>
    <w:rsid w:val="41384F21"/>
    <w:rsid w:val="413A09BC"/>
    <w:rsid w:val="41CC511C"/>
    <w:rsid w:val="42410BEA"/>
    <w:rsid w:val="428D352A"/>
    <w:rsid w:val="42B572F5"/>
    <w:rsid w:val="42EE73B2"/>
    <w:rsid w:val="432E358C"/>
    <w:rsid w:val="43DD74AA"/>
    <w:rsid w:val="455A291D"/>
    <w:rsid w:val="457701DB"/>
    <w:rsid w:val="45B31A4E"/>
    <w:rsid w:val="45BA6E25"/>
    <w:rsid w:val="45D40ACE"/>
    <w:rsid w:val="463B1729"/>
    <w:rsid w:val="471A296D"/>
    <w:rsid w:val="47404649"/>
    <w:rsid w:val="47EA723C"/>
    <w:rsid w:val="487E068B"/>
    <w:rsid w:val="48E95855"/>
    <w:rsid w:val="49497024"/>
    <w:rsid w:val="49974844"/>
    <w:rsid w:val="49980767"/>
    <w:rsid w:val="49AA1C26"/>
    <w:rsid w:val="4A0C0F1B"/>
    <w:rsid w:val="4A152C7B"/>
    <w:rsid w:val="4A265083"/>
    <w:rsid w:val="4A836D7D"/>
    <w:rsid w:val="4A996C97"/>
    <w:rsid w:val="4AA16101"/>
    <w:rsid w:val="4AC1118A"/>
    <w:rsid w:val="4B4E23DC"/>
    <w:rsid w:val="4BDF7EA7"/>
    <w:rsid w:val="4BE746E0"/>
    <w:rsid w:val="4C3F3F10"/>
    <w:rsid w:val="4CA17609"/>
    <w:rsid w:val="4CF62E28"/>
    <w:rsid w:val="4D0A3E82"/>
    <w:rsid w:val="4D390DF3"/>
    <w:rsid w:val="4DAF1B9B"/>
    <w:rsid w:val="4E007E2E"/>
    <w:rsid w:val="4E545E27"/>
    <w:rsid w:val="4EDD1718"/>
    <w:rsid w:val="4F3E2919"/>
    <w:rsid w:val="4F492272"/>
    <w:rsid w:val="4F9664AA"/>
    <w:rsid w:val="4FEC646B"/>
    <w:rsid w:val="506F0EAE"/>
    <w:rsid w:val="507C767F"/>
    <w:rsid w:val="50BB3F7B"/>
    <w:rsid w:val="50DC2009"/>
    <w:rsid w:val="51190EEA"/>
    <w:rsid w:val="51B26FA0"/>
    <w:rsid w:val="51C60F0A"/>
    <w:rsid w:val="51D16C5A"/>
    <w:rsid w:val="51E00AD7"/>
    <w:rsid w:val="51FE78DF"/>
    <w:rsid w:val="52676873"/>
    <w:rsid w:val="52771407"/>
    <w:rsid w:val="5290069E"/>
    <w:rsid w:val="52B92D1B"/>
    <w:rsid w:val="52BC4DF6"/>
    <w:rsid w:val="52DA7DED"/>
    <w:rsid w:val="52F14A6F"/>
    <w:rsid w:val="53035905"/>
    <w:rsid w:val="53782662"/>
    <w:rsid w:val="53785A58"/>
    <w:rsid w:val="53C97ABB"/>
    <w:rsid w:val="53CF02A7"/>
    <w:rsid w:val="54093094"/>
    <w:rsid w:val="54815D42"/>
    <w:rsid w:val="54C95C97"/>
    <w:rsid w:val="551A2AE4"/>
    <w:rsid w:val="556945E2"/>
    <w:rsid w:val="561B1590"/>
    <w:rsid w:val="5641727D"/>
    <w:rsid w:val="5646183D"/>
    <w:rsid w:val="565773C0"/>
    <w:rsid w:val="575D329A"/>
    <w:rsid w:val="57B23B76"/>
    <w:rsid w:val="58176FF9"/>
    <w:rsid w:val="583650FF"/>
    <w:rsid w:val="58B932EE"/>
    <w:rsid w:val="58C70474"/>
    <w:rsid w:val="59107E18"/>
    <w:rsid w:val="59EE0EE1"/>
    <w:rsid w:val="59FE316A"/>
    <w:rsid w:val="5A5B3E42"/>
    <w:rsid w:val="5A85415B"/>
    <w:rsid w:val="5AA51E2F"/>
    <w:rsid w:val="5B0E3F6E"/>
    <w:rsid w:val="5B2F511E"/>
    <w:rsid w:val="5B69089D"/>
    <w:rsid w:val="5B906492"/>
    <w:rsid w:val="5BAD5F69"/>
    <w:rsid w:val="5BE67E1A"/>
    <w:rsid w:val="5C006C5B"/>
    <w:rsid w:val="5C141C46"/>
    <w:rsid w:val="5C843189"/>
    <w:rsid w:val="5C980A45"/>
    <w:rsid w:val="5CFC7EB3"/>
    <w:rsid w:val="5D224AF3"/>
    <w:rsid w:val="5D793C71"/>
    <w:rsid w:val="5D8E71E7"/>
    <w:rsid w:val="5D9266A8"/>
    <w:rsid w:val="5DA62423"/>
    <w:rsid w:val="5DF4068E"/>
    <w:rsid w:val="5E747E0C"/>
    <w:rsid w:val="5F527334"/>
    <w:rsid w:val="5F7F4F15"/>
    <w:rsid w:val="5FD56D90"/>
    <w:rsid w:val="604D4806"/>
    <w:rsid w:val="608F13EB"/>
    <w:rsid w:val="60E7232A"/>
    <w:rsid w:val="60FA309C"/>
    <w:rsid w:val="610655C3"/>
    <w:rsid w:val="61206770"/>
    <w:rsid w:val="61770173"/>
    <w:rsid w:val="61C34D60"/>
    <w:rsid w:val="62570336"/>
    <w:rsid w:val="62822534"/>
    <w:rsid w:val="62B5059A"/>
    <w:rsid w:val="633F17F8"/>
    <w:rsid w:val="636B30C7"/>
    <w:rsid w:val="63A73E4C"/>
    <w:rsid w:val="640D1FEE"/>
    <w:rsid w:val="64296242"/>
    <w:rsid w:val="64426D6E"/>
    <w:rsid w:val="648F7BD9"/>
    <w:rsid w:val="64993C82"/>
    <w:rsid w:val="64B278D6"/>
    <w:rsid w:val="65173F60"/>
    <w:rsid w:val="65AD5A66"/>
    <w:rsid w:val="66005225"/>
    <w:rsid w:val="660463DC"/>
    <w:rsid w:val="6645222C"/>
    <w:rsid w:val="66850408"/>
    <w:rsid w:val="66A610FD"/>
    <w:rsid w:val="66C629D7"/>
    <w:rsid w:val="66D17857"/>
    <w:rsid w:val="66F75E0B"/>
    <w:rsid w:val="67213BEE"/>
    <w:rsid w:val="67D10C0E"/>
    <w:rsid w:val="686A7BBB"/>
    <w:rsid w:val="68720BB8"/>
    <w:rsid w:val="687C726C"/>
    <w:rsid w:val="68B11E66"/>
    <w:rsid w:val="693D5F52"/>
    <w:rsid w:val="69584B86"/>
    <w:rsid w:val="69853607"/>
    <w:rsid w:val="69F55899"/>
    <w:rsid w:val="6A556A0B"/>
    <w:rsid w:val="6A922C48"/>
    <w:rsid w:val="6AB15891"/>
    <w:rsid w:val="6D2C58EC"/>
    <w:rsid w:val="6D6F1818"/>
    <w:rsid w:val="6D8806BE"/>
    <w:rsid w:val="6DA3399E"/>
    <w:rsid w:val="6DA71300"/>
    <w:rsid w:val="6DA978E3"/>
    <w:rsid w:val="6DCA367E"/>
    <w:rsid w:val="6E32265A"/>
    <w:rsid w:val="6E6C7C14"/>
    <w:rsid w:val="6E874E76"/>
    <w:rsid w:val="6E8D0C57"/>
    <w:rsid w:val="6E8D6AAE"/>
    <w:rsid w:val="6EAA28D2"/>
    <w:rsid w:val="6F360A7D"/>
    <w:rsid w:val="6F5A5C1F"/>
    <w:rsid w:val="709540DD"/>
    <w:rsid w:val="70D4067E"/>
    <w:rsid w:val="70EE32A1"/>
    <w:rsid w:val="70F756F8"/>
    <w:rsid w:val="71125A5B"/>
    <w:rsid w:val="7115575F"/>
    <w:rsid w:val="71245DB9"/>
    <w:rsid w:val="712F7095"/>
    <w:rsid w:val="71673B5A"/>
    <w:rsid w:val="71882481"/>
    <w:rsid w:val="71980A4D"/>
    <w:rsid w:val="7198763D"/>
    <w:rsid w:val="72803548"/>
    <w:rsid w:val="728A6B4D"/>
    <w:rsid w:val="72F03192"/>
    <w:rsid w:val="73052189"/>
    <w:rsid w:val="73097032"/>
    <w:rsid w:val="735D1614"/>
    <w:rsid w:val="73B3034B"/>
    <w:rsid w:val="73DF63EE"/>
    <w:rsid w:val="747148E2"/>
    <w:rsid w:val="74893366"/>
    <w:rsid w:val="7592631D"/>
    <w:rsid w:val="75A20909"/>
    <w:rsid w:val="75C9479E"/>
    <w:rsid w:val="763B7BE7"/>
    <w:rsid w:val="765D11B3"/>
    <w:rsid w:val="7663504A"/>
    <w:rsid w:val="7675569E"/>
    <w:rsid w:val="76B03D03"/>
    <w:rsid w:val="779821F2"/>
    <w:rsid w:val="782A52D9"/>
    <w:rsid w:val="782E4D90"/>
    <w:rsid w:val="78607716"/>
    <w:rsid w:val="78925F91"/>
    <w:rsid w:val="79344B42"/>
    <w:rsid w:val="793C1775"/>
    <w:rsid w:val="798A090D"/>
    <w:rsid w:val="79B93DEC"/>
    <w:rsid w:val="7A0344FC"/>
    <w:rsid w:val="7A0751B6"/>
    <w:rsid w:val="7A5441DE"/>
    <w:rsid w:val="7A6C460E"/>
    <w:rsid w:val="7A907924"/>
    <w:rsid w:val="7B2C1BD5"/>
    <w:rsid w:val="7B54717F"/>
    <w:rsid w:val="7D104C72"/>
    <w:rsid w:val="7D9D61CD"/>
    <w:rsid w:val="7DB6396F"/>
    <w:rsid w:val="7E490FB5"/>
    <w:rsid w:val="7E581D76"/>
    <w:rsid w:val="7F04272C"/>
    <w:rsid w:val="7F5931E2"/>
    <w:rsid w:val="7FB3772A"/>
    <w:rsid w:val="7FC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747</Words>
  <Characters>4264</Characters>
  <Lines>35</Lines>
  <Paragraphs>10</Paragraphs>
  <ScaleCrop>false</ScaleCrop>
  <LinksUpToDate>false</LinksUpToDate>
  <CharactersWithSpaces>5001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2018-11-02T02:33:56Z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