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基础数据获取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17.5pt;width:41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7" DrawAspect="Content" ObjectID="_1468075725" r:id="rId4">
            <o:LockedField>false</o:LockedField>
          </o:OLEObject>
        </w:objec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datacenter.provider修改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读取上交所文件cpxxMMDD.txt修改为cpxx0201MMDD.txt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注意：后期要修改为可配置的。</w:t>
      </w:r>
      <w:bookmarkStart w:id="1" w:name="_GoBack"/>
      <w:bookmarkEnd w:id="1"/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marketdata.provider.datacenter修改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marketdata.provider.datacenter项目路径文件的shfast.cpxxmmdd.location对应路径修改为“XX目录/cpxx0201”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上交所证券类型匹配规则文件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STOCK-MAIN_A_STOCK=600###,603###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STOCK-STI_STOCK=688###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wind补充科创板股票信息与A股市场相同。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cpxx0201读取规则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cpxx0201读取字段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00"/>
        <w:gridCol w:w="3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交易所序号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1000" w:type="dxa"/>
            <w:shd w:val="clear" w:color="auto" w:fill="BEBEBE" w:themeFill="background1" w:themeFillShade="BF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3262" w:type="dxa"/>
            <w:shd w:val="clear" w:color="auto" w:fill="BEBEBE" w:themeFill="background1" w:themeFillShade="BF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证券代码</w:t>
            </w:r>
          </w:p>
        </w:tc>
        <w:tc>
          <w:tcPr>
            <w:tcW w:w="1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证券名称</w:t>
            </w:r>
          </w:p>
        </w:tc>
        <w:tc>
          <w:tcPr>
            <w:tcW w:w="1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市场种类</w:t>
            </w:r>
          </w:p>
        </w:tc>
        <w:tc>
          <w:tcPr>
            <w:tcW w:w="1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‘ASHR’表示A股市场；‘BSHR’表示B股市场。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科创板股票、综业平台集合资产管理计划、债券预发行取‘ASHR’。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证券类型</w:t>
            </w:r>
          </w:p>
        </w:tc>
        <w:tc>
          <w:tcPr>
            <w:tcW w:w="1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262" w:type="dxa"/>
          </w:tcPr>
          <w:p>
            <w:pPr>
              <w:tabs>
                <w:tab w:val="left" w:pos="200"/>
              </w:tabs>
              <w:autoSpaceDE w:val="0"/>
              <w:snapToGrid w:val="0"/>
              <w:ind w:left="100"/>
              <w:rPr>
                <w:rFonts w:hint="eastAsia" w:cs="Arial"/>
                <w:lang w:eastAsia="zh-CN"/>
              </w:rPr>
            </w:pPr>
            <w:r>
              <w:rPr>
                <w:rFonts w:cs="Arial"/>
                <w:lang w:eastAsia="zh-CN"/>
              </w:rPr>
              <w:t>‘</w:t>
            </w:r>
            <w:bookmarkStart w:id="0" w:name="OLE_LINK5"/>
            <w:r>
              <w:rPr>
                <w:rFonts w:cs="Arial"/>
                <w:lang w:eastAsia="zh-CN"/>
              </w:rPr>
              <w:t>E</w:t>
            </w:r>
            <w:bookmarkEnd w:id="0"/>
            <w:r>
              <w:rPr>
                <w:rFonts w:hint="eastAsia" w:cs="Arial"/>
                <w:lang w:eastAsia="zh-CN"/>
              </w:rPr>
              <w:t>S</w:t>
            </w:r>
            <w:r>
              <w:rPr>
                <w:rFonts w:cs="Arial"/>
                <w:lang w:eastAsia="zh-CN"/>
              </w:rPr>
              <w:t>’表示股票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证券子类型</w:t>
            </w:r>
          </w:p>
        </w:tc>
        <w:tc>
          <w:tcPr>
            <w:tcW w:w="1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262" w:type="dxa"/>
          </w:tcPr>
          <w:p>
            <w:pPr>
              <w:tabs>
                <w:tab w:val="left" w:pos="200"/>
              </w:tabs>
              <w:autoSpaceDE w:val="0"/>
              <w:snapToGrid w:val="0"/>
              <w:ind w:left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Arial"/>
                <w:lang w:eastAsia="zh-CN"/>
              </w:rPr>
              <w:t>KSH以人民币交易的股票（科创板）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货币种类</w:t>
            </w:r>
          </w:p>
        </w:tc>
        <w:tc>
          <w:tcPr>
            <w:tcW w:w="1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Arial"/>
                <w:lang w:eastAsia="zh-CN"/>
              </w:rPr>
              <w:t>人民币：CNY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面值</w:t>
            </w:r>
          </w:p>
        </w:tc>
        <w:tc>
          <w:tcPr>
            <w:tcW w:w="1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3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上市日</w:t>
            </w:r>
          </w:p>
        </w:tc>
        <w:tc>
          <w:tcPr>
            <w:tcW w:w="1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tabs>
                <w:tab w:val="left" w:pos="662"/>
              </w:tabs>
              <w:autoSpaceDE w:val="0"/>
              <w:snapToGrid w:val="0"/>
              <w:spacing w:line="27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Arial"/>
                <w:lang w:val="de-DE" w:eastAsia="zh-CN"/>
              </w:rPr>
              <w:t>16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left" w:pos="200"/>
              </w:tabs>
              <w:autoSpaceDE w:val="0"/>
              <w:snapToGrid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cs="Arial"/>
                <w:lang w:eastAsia="zh-CN"/>
              </w:rPr>
              <w:t>买数量单位</w:t>
            </w:r>
          </w:p>
        </w:tc>
        <w:tc>
          <w:tcPr>
            <w:tcW w:w="1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3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tabs>
                <w:tab w:val="left" w:pos="662"/>
              </w:tabs>
              <w:autoSpaceDE w:val="0"/>
              <w:snapToGrid w:val="0"/>
              <w:spacing w:line="27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Arial"/>
                <w:lang w:val="de-DE" w:eastAsia="zh-CN"/>
              </w:rPr>
              <w:t>17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left" w:pos="200"/>
              </w:tabs>
              <w:autoSpaceDE w:val="0"/>
              <w:snapToGrid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cs="Arial"/>
                <w:lang w:eastAsia="zh-CN"/>
              </w:rPr>
              <w:t>卖数量单位</w:t>
            </w:r>
          </w:p>
        </w:tc>
        <w:tc>
          <w:tcPr>
            <w:tcW w:w="1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3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tabs>
                <w:tab w:val="left" w:pos="662"/>
              </w:tabs>
              <w:autoSpaceDE w:val="0"/>
              <w:snapToGrid w:val="0"/>
              <w:spacing w:line="270" w:lineRule="exact"/>
              <w:rPr>
                <w:rFonts w:hint="eastAsia" w:cs="Arial"/>
                <w:lang w:val="de-DE" w:eastAsia="zh-CN"/>
              </w:rPr>
            </w:pPr>
            <w:r>
              <w:rPr>
                <w:rFonts w:hint="eastAsia" w:cs="Arial"/>
                <w:lang w:val="de-DE" w:eastAsia="zh-CN"/>
              </w:rPr>
              <w:t>18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left" w:pos="200"/>
              </w:tabs>
              <w:autoSpaceDE w:val="0"/>
              <w:snapToGrid w:val="0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限价</w:t>
            </w:r>
            <w:r>
              <w:rPr>
                <w:rFonts w:cs="Arial"/>
                <w:lang w:eastAsia="zh-CN"/>
              </w:rPr>
              <w:t>申报数量下限</w:t>
            </w:r>
          </w:p>
        </w:tc>
        <w:tc>
          <w:tcPr>
            <w:tcW w:w="1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3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tabs>
                <w:tab w:val="left" w:pos="662"/>
              </w:tabs>
              <w:autoSpaceDE w:val="0"/>
              <w:snapToGrid w:val="0"/>
              <w:spacing w:line="270" w:lineRule="exact"/>
              <w:rPr>
                <w:rFonts w:hint="eastAsia" w:cs="Arial"/>
                <w:lang w:val="de-DE" w:eastAsia="zh-CN"/>
              </w:rPr>
            </w:pPr>
            <w:r>
              <w:rPr>
                <w:rFonts w:hint="eastAsia" w:cs="Arial"/>
                <w:lang w:val="de-DE" w:eastAsia="zh-CN"/>
              </w:rPr>
              <w:t>19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left" w:pos="200"/>
              </w:tabs>
              <w:autoSpaceDE w:val="0"/>
              <w:snapToGrid w:val="0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限价</w:t>
            </w:r>
            <w:r>
              <w:rPr>
                <w:rFonts w:cs="Arial"/>
                <w:lang w:eastAsia="zh-CN"/>
              </w:rPr>
              <w:t>申报数量上限</w:t>
            </w:r>
          </w:p>
        </w:tc>
        <w:tc>
          <w:tcPr>
            <w:tcW w:w="1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3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tabs>
                <w:tab w:val="left" w:pos="662"/>
              </w:tabs>
              <w:autoSpaceDE w:val="0"/>
              <w:snapToGrid w:val="0"/>
              <w:spacing w:line="270" w:lineRule="exact"/>
              <w:rPr>
                <w:rFonts w:hint="eastAsia" w:cs="Arial"/>
                <w:lang w:val="de-DE" w:eastAsia="zh-CN"/>
              </w:rPr>
            </w:pPr>
            <w:r>
              <w:rPr>
                <w:rFonts w:hint="eastAsia" w:cs="Arial"/>
                <w:lang w:val="de-DE" w:eastAsia="zh-CN"/>
              </w:rPr>
              <w:t>21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left" w:pos="200"/>
              </w:tabs>
              <w:autoSpaceDE w:val="0"/>
              <w:snapToGrid w:val="0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价格档位</w:t>
            </w:r>
          </w:p>
        </w:tc>
        <w:tc>
          <w:tcPr>
            <w:tcW w:w="1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3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tabs>
                <w:tab w:val="left" w:pos="662"/>
              </w:tabs>
              <w:autoSpaceDE w:val="0"/>
              <w:snapToGrid w:val="0"/>
              <w:spacing w:line="270" w:lineRule="exact"/>
              <w:rPr>
                <w:rFonts w:hint="eastAsia" w:cs="Arial"/>
                <w:lang w:val="de-DE" w:eastAsia="zh-CN"/>
              </w:rPr>
            </w:pPr>
            <w:r>
              <w:rPr>
                <w:rFonts w:hint="eastAsia" w:cs="Arial"/>
                <w:lang w:val="de-DE" w:eastAsia="zh-CN"/>
              </w:rPr>
              <w:t>22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left" w:pos="200"/>
              </w:tabs>
              <w:autoSpaceDE w:val="0"/>
              <w:snapToGrid w:val="0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涨跌幅限制类型</w:t>
            </w:r>
          </w:p>
        </w:tc>
        <w:tc>
          <w:tcPr>
            <w:tcW w:w="1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tabs>
                <w:tab w:val="left" w:pos="662"/>
              </w:tabs>
              <w:autoSpaceDE w:val="0"/>
              <w:snapToGrid w:val="0"/>
              <w:spacing w:line="270" w:lineRule="exact"/>
              <w:rPr>
                <w:rFonts w:hint="eastAsia" w:cs="Arial"/>
                <w:lang w:val="de-DE" w:eastAsia="zh-CN"/>
              </w:rPr>
            </w:pPr>
            <w:r>
              <w:rPr>
                <w:rFonts w:hint="eastAsia" w:cs="Arial"/>
                <w:lang w:val="de-DE" w:eastAsia="zh-CN"/>
              </w:rPr>
              <w:t>23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left" w:pos="200"/>
              </w:tabs>
              <w:autoSpaceDE w:val="0"/>
              <w:snapToGrid w:val="0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 xml:space="preserve">涨幅上限价格 </w:t>
            </w:r>
          </w:p>
        </w:tc>
        <w:tc>
          <w:tcPr>
            <w:tcW w:w="1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3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tabs>
                <w:tab w:val="left" w:pos="662"/>
              </w:tabs>
              <w:autoSpaceDE w:val="0"/>
              <w:snapToGrid w:val="0"/>
              <w:spacing w:line="270" w:lineRule="exact"/>
              <w:rPr>
                <w:rFonts w:hint="eastAsia" w:cs="Arial"/>
                <w:lang w:val="de-DE" w:eastAsia="zh-CN"/>
              </w:rPr>
            </w:pPr>
            <w:r>
              <w:rPr>
                <w:rFonts w:hint="eastAsia" w:cs="Arial"/>
                <w:lang w:val="de-DE" w:eastAsia="zh-CN"/>
              </w:rPr>
              <w:t>24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left" w:pos="200"/>
              </w:tabs>
              <w:autoSpaceDE w:val="0"/>
              <w:snapToGrid w:val="0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 xml:space="preserve">跌幅下限价格 </w:t>
            </w:r>
          </w:p>
        </w:tc>
        <w:tc>
          <w:tcPr>
            <w:tcW w:w="1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3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tabs>
                <w:tab w:val="left" w:pos="662"/>
              </w:tabs>
              <w:autoSpaceDE w:val="0"/>
              <w:snapToGrid w:val="0"/>
              <w:spacing w:line="270" w:lineRule="exact"/>
              <w:rPr>
                <w:rFonts w:hint="eastAsia" w:cs="Arial"/>
                <w:lang w:val="de-DE" w:eastAsia="zh-CN"/>
              </w:rPr>
            </w:pPr>
            <w:r>
              <w:rPr>
                <w:rFonts w:hint="eastAsia" w:cs="Arial"/>
                <w:lang w:val="de-DE" w:eastAsia="zh-CN"/>
              </w:rPr>
              <w:t>29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left" w:pos="200"/>
              </w:tabs>
              <w:autoSpaceDE w:val="0"/>
              <w:snapToGrid w:val="0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产品状态标志</w:t>
            </w:r>
          </w:p>
        </w:tc>
        <w:tc>
          <w:tcPr>
            <w:tcW w:w="1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262" w:type="dxa"/>
          </w:tcPr>
          <w:p>
            <w:pPr>
              <w:tabs>
                <w:tab w:val="left" w:pos="200"/>
              </w:tabs>
              <w:autoSpaceDE w:val="0"/>
              <w:snapToGrid w:val="0"/>
              <w:ind w:left="1260" w:leftChars="50" w:hanging="1155" w:hangingChars="550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第</w:t>
            </w:r>
            <w:r>
              <w:rPr>
                <w:rFonts w:hint="eastAsia" w:cs="Arial"/>
                <w:lang w:eastAsia="zh-CN"/>
              </w:rPr>
              <w:t>1</w:t>
            </w:r>
            <w:r>
              <w:rPr>
                <w:rFonts w:cs="Arial"/>
                <w:lang w:eastAsia="zh-CN"/>
              </w:rPr>
              <w:t>位对应：</w:t>
            </w:r>
            <w:r>
              <w:rPr>
                <w:rFonts w:hint="eastAsia" w:cs="Arial"/>
                <w:lang w:eastAsia="zh-CN"/>
              </w:rPr>
              <w:t>‘N’</w:t>
            </w:r>
            <w:r>
              <w:rPr>
                <w:rFonts w:cs="Arial"/>
                <w:lang w:eastAsia="zh-CN"/>
              </w:rPr>
              <w:t>表示</w:t>
            </w:r>
            <w:r>
              <w:rPr>
                <w:rFonts w:hint="eastAsia" w:cs="Arial"/>
                <w:lang w:eastAsia="zh-CN"/>
              </w:rPr>
              <w:t>首日上市</w:t>
            </w:r>
            <w:r>
              <w:rPr>
                <w:rFonts w:cs="Arial"/>
                <w:lang w:eastAsia="zh-CN"/>
              </w:rPr>
              <w:t>。</w:t>
            </w:r>
          </w:p>
          <w:p>
            <w:pPr>
              <w:tabs>
                <w:tab w:val="left" w:pos="200"/>
              </w:tabs>
              <w:autoSpaceDE w:val="0"/>
              <w:snapToGrid w:val="0"/>
              <w:ind w:left="1260" w:leftChars="50" w:hanging="1155" w:hangingChars="550"/>
              <w:rPr>
                <w:rFonts w:hint="eastAsia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第4位对应：’D’表示国内正常交易产品，’S’表示股票风险警示产品，’P’表示退市整理产品，’T’表示退市转让产品，’U’表示优先股产品。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tabs>
                <w:tab w:val="left" w:pos="662"/>
              </w:tabs>
              <w:autoSpaceDE w:val="0"/>
              <w:snapToGrid w:val="0"/>
              <w:spacing w:line="270" w:lineRule="exact"/>
              <w:rPr>
                <w:rFonts w:hint="eastAsia" w:cs="Arial"/>
                <w:lang w:val="de-DE" w:eastAsia="zh-CN"/>
              </w:rPr>
            </w:pPr>
            <w:r>
              <w:rPr>
                <w:rFonts w:hint="eastAsia" w:cs="Arial"/>
                <w:lang w:val="de-DE" w:eastAsia="zh-CN"/>
              </w:rPr>
              <w:t>31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left" w:pos="200"/>
              </w:tabs>
              <w:autoSpaceDE w:val="0"/>
              <w:snapToGrid w:val="0"/>
              <w:rPr>
                <w:rFonts w:hint="eastAsia"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市价</w:t>
            </w:r>
            <w:r>
              <w:rPr>
                <w:rFonts w:cs="Arial"/>
                <w:lang w:eastAsia="zh-CN"/>
              </w:rPr>
              <w:t>申报数量上限</w:t>
            </w:r>
          </w:p>
        </w:tc>
        <w:tc>
          <w:tcPr>
            <w:tcW w:w="1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3262" w:type="dxa"/>
          </w:tcPr>
          <w:p>
            <w:pPr>
              <w:tabs>
                <w:tab w:val="left" w:pos="200"/>
              </w:tabs>
              <w:autoSpaceDE w:val="0"/>
              <w:snapToGrid w:val="0"/>
              <w:ind w:left="1260" w:leftChars="50" w:hanging="1155" w:hangingChars="550"/>
              <w:rPr>
                <w:rFonts w:hint="eastAsia" w:cs="Arial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cpxx0201读取规则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同cpxxMMDD.txt读取规则</w:t>
      </w:r>
    </w:p>
    <w:p>
      <w:pPr>
        <w:pStyle w:val="4"/>
        <w:ind w:left="720" w:hanging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oms设计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证券子类型添加科创板子类型“STI_STOCK”。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rd_exchange_tick_size保存科创板股票价格变动单位。</w:t>
      </w:r>
    </w:p>
    <w:tbl>
      <w:tblPr>
        <w:tblStyle w:val="13"/>
        <w:tblW w:w="8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975"/>
        <w:gridCol w:w="2285"/>
        <w:gridCol w:w="2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交易所序号</w:t>
            </w:r>
          </w:p>
        </w:tc>
        <w:tc>
          <w:tcPr>
            <w:tcW w:w="1975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交易所字段</w:t>
            </w:r>
          </w:p>
        </w:tc>
        <w:tc>
          <w:tcPr>
            <w:tcW w:w="2285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cims字段</w:t>
            </w:r>
          </w:p>
        </w:tc>
        <w:tc>
          <w:tcPr>
            <w:tcW w:w="2350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cims字段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21</w:t>
            </w:r>
          </w:p>
        </w:tc>
        <w:tc>
          <w:tcPr>
            <w:tcW w:w="19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cs="Arial"/>
                <w:lang w:eastAsia="zh-CN"/>
              </w:rPr>
              <w:t>价格档位</w:t>
            </w:r>
          </w:p>
        </w:tc>
        <w:tc>
          <w:tcPr>
            <w:tcW w:w="22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价格最小变动单位</w:t>
            </w:r>
          </w:p>
        </w:tc>
        <w:tc>
          <w:tcPr>
            <w:tcW w:w="2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PRICE_ACCURACY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????">
    <w:altName w:val="Arial Unicode MS"/>
    <w:panose1 w:val="00000000000000000000"/>
    <w:charset w:val="00"/>
    <w:family w:val="roman"/>
    <w:pitch w:val="default"/>
    <w:sig w:usb0="00000000" w:usb1="00000000" w:usb2="00000010" w:usb3="00000000" w:csb0="001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NewsGoth BT">
    <w:altName w:val="Trebuchet MS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NewsGoth Dm BT">
    <w:altName w:val="Trebuchet MS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NewsGoth Lt BT">
    <w:altName w:val="Arial Unicode MS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DF7A0"/>
    <w:multiLevelType w:val="multilevel"/>
    <w:tmpl w:val="5CEDF7A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CEE3833"/>
    <w:multiLevelType w:val="singleLevel"/>
    <w:tmpl w:val="5CEE38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CEE480A"/>
    <w:multiLevelType w:val="singleLevel"/>
    <w:tmpl w:val="5CEE48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CEE54FC"/>
    <w:multiLevelType w:val="singleLevel"/>
    <w:tmpl w:val="5CEE54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CF63293"/>
    <w:multiLevelType w:val="singleLevel"/>
    <w:tmpl w:val="5CF632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CF632A4"/>
    <w:multiLevelType w:val="singleLevel"/>
    <w:tmpl w:val="5CF632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7705"/>
    <w:rsid w:val="00461788"/>
    <w:rsid w:val="007722DE"/>
    <w:rsid w:val="008559A5"/>
    <w:rsid w:val="00A34CF8"/>
    <w:rsid w:val="00EC0AA5"/>
    <w:rsid w:val="01405913"/>
    <w:rsid w:val="015409CE"/>
    <w:rsid w:val="019226C8"/>
    <w:rsid w:val="01A93072"/>
    <w:rsid w:val="02565DBA"/>
    <w:rsid w:val="0257537F"/>
    <w:rsid w:val="02A51930"/>
    <w:rsid w:val="02CE192A"/>
    <w:rsid w:val="02FF0D15"/>
    <w:rsid w:val="03431679"/>
    <w:rsid w:val="0390263C"/>
    <w:rsid w:val="039F36DE"/>
    <w:rsid w:val="03AF6398"/>
    <w:rsid w:val="0507148A"/>
    <w:rsid w:val="052C4B09"/>
    <w:rsid w:val="058954DE"/>
    <w:rsid w:val="05D17375"/>
    <w:rsid w:val="05E702B7"/>
    <w:rsid w:val="06254810"/>
    <w:rsid w:val="065E1A62"/>
    <w:rsid w:val="06873556"/>
    <w:rsid w:val="06BF12D2"/>
    <w:rsid w:val="07035F29"/>
    <w:rsid w:val="07963296"/>
    <w:rsid w:val="07C3700C"/>
    <w:rsid w:val="07FE2627"/>
    <w:rsid w:val="080B29CA"/>
    <w:rsid w:val="085B5D1B"/>
    <w:rsid w:val="09084C4C"/>
    <w:rsid w:val="09A455EC"/>
    <w:rsid w:val="09C35533"/>
    <w:rsid w:val="09DF11F5"/>
    <w:rsid w:val="0A0F1379"/>
    <w:rsid w:val="0A831956"/>
    <w:rsid w:val="0A852251"/>
    <w:rsid w:val="0AAA2C34"/>
    <w:rsid w:val="0BA81C67"/>
    <w:rsid w:val="0BB42A39"/>
    <w:rsid w:val="0CEB6361"/>
    <w:rsid w:val="0CFC3DB2"/>
    <w:rsid w:val="0DF17F6A"/>
    <w:rsid w:val="0E627DA2"/>
    <w:rsid w:val="0E782190"/>
    <w:rsid w:val="0EC30F84"/>
    <w:rsid w:val="0FAA629B"/>
    <w:rsid w:val="1031033C"/>
    <w:rsid w:val="103D14BC"/>
    <w:rsid w:val="105B500B"/>
    <w:rsid w:val="10B54BAF"/>
    <w:rsid w:val="10DE3310"/>
    <w:rsid w:val="11427BBF"/>
    <w:rsid w:val="11E04144"/>
    <w:rsid w:val="124B7E84"/>
    <w:rsid w:val="12640412"/>
    <w:rsid w:val="128A7B92"/>
    <w:rsid w:val="12952B5E"/>
    <w:rsid w:val="12BD16A0"/>
    <w:rsid w:val="134306D6"/>
    <w:rsid w:val="13616A7B"/>
    <w:rsid w:val="136179E3"/>
    <w:rsid w:val="136478A7"/>
    <w:rsid w:val="138450CB"/>
    <w:rsid w:val="13A50E71"/>
    <w:rsid w:val="13A72FE8"/>
    <w:rsid w:val="13D73F12"/>
    <w:rsid w:val="149E1D7A"/>
    <w:rsid w:val="156637F3"/>
    <w:rsid w:val="15697527"/>
    <w:rsid w:val="161562AC"/>
    <w:rsid w:val="163A70A9"/>
    <w:rsid w:val="166D5AAF"/>
    <w:rsid w:val="16992D74"/>
    <w:rsid w:val="16A016B7"/>
    <w:rsid w:val="174204C9"/>
    <w:rsid w:val="174B1B31"/>
    <w:rsid w:val="177D3A69"/>
    <w:rsid w:val="17E52E99"/>
    <w:rsid w:val="182028A1"/>
    <w:rsid w:val="184A58A8"/>
    <w:rsid w:val="18A15FA7"/>
    <w:rsid w:val="19B10AA8"/>
    <w:rsid w:val="1A1577C9"/>
    <w:rsid w:val="1A8A5F21"/>
    <w:rsid w:val="1AC0503A"/>
    <w:rsid w:val="1AF530DF"/>
    <w:rsid w:val="1B040A32"/>
    <w:rsid w:val="1B0713B2"/>
    <w:rsid w:val="1B50603F"/>
    <w:rsid w:val="1B882A70"/>
    <w:rsid w:val="1B890E1A"/>
    <w:rsid w:val="1C014B0D"/>
    <w:rsid w:val="1C3F405E"/>
    <w:rsid w:val="1CAB4B27"/>
    <w:rsid w:val="1CB16F00"/>
    <w:rsid w:val="1CE340A9"/>
    <w:rsid w:val="1CEC7AC6"/>
    <w:rsid w:val="1D39292E"/>
    <w:rsid w:val="1D5514C8"/>
    <w:rsid w:val="1D5B4B2A"/>
    <w:rsid w:val="1D5D7CDA"/>
    <w:rsid w:val="1DDA577A"/>
    <w:rsid w:val="1E1B16EE"/>
    <w:rsid w:val="1E877773"/>
    <w:rsid w:val="1E957D7D"/>
    <w:rsid w:val="1F334F68"/>
    <w:rsid w:val="1F3A0D61"/>
    <w:rsid w:val="201B7183"/>
    <w:rsid w:val="2098645A"/>
    <w:rsid w:val="211B6223"/>
    <w:rsid w:val="21495C8E"/>
    <w:rsid w:val="218A0558"/>
    <w:rsid w:val="21B85F9F"/>
    <w:rsid w:val="22C04E93"/>
    <w:rsid w:val="22EA3852"/>
    <w:rsid w:val="232F611C"/>
    <w:rsid w:val="23ED7D19"/>
    <w:rsid w:val="23FE14C6"/>
    <w:rsid w:val="241512F1"/>
    <w:rsid w:val="245E496F"/>
    <w:rsid w:val="250F7320"/>
    <w:rsid w:val="25707C99"/>
    <w:rsid w:val="26034232"/>
    <w:rsid w:val="26401EC7"/>
    <w:rsid w:val="2656327E"/>
    <w:rsid w:val="267D0C37"/>
    <w:rsid w:val="26E31EFB"/>
    <w:rsid w:val="273841B7"/>
    <w:rsid w:val="278657FD"/>
    <w:rsid w:val="27B6243A"/>
    <w:rsid w:val="288B5277"/>
    <w:rsid w:val="28961322"/>
    <w:rsid w:val="28CE4867"/>
    <w:rsid w:val="290B7C0E"/>
    <w:rsid w:val="291F6624"/>
    <w:rsid w:val="29451AE3"/>
    <w:rsid w:val="2A1051D1"/>
    <w:rsid w:val="2A586255"/>
    <w:rsid w:val="2A8600A9"/>
    <w:rsid w:val="2A8A7252"/>
    <w:rsid w:val="2A8F7D06"/>
    <w:rsid w:val="2AE42191"/>
    <w:rsid w:val="2AE9683E"/>
    <w:rsid w:val="2B8644DB"/>
    <w:rsid w:val="2BF50C10"/>
    <w:rsid w:val="2C084904"/>
    <w:rsid w:val="2C3375F3"/>
    <w:rsid w:val="2C702FD0"/>
    <w:rsid w:val="2CA628A9"/>
    <w:rsid w:val="2CC64D6B"/>
    <w:rsid w:val="2D032CEE"/>
    <w:rsid w:val="2D4701A3"/>
    <w:rsid w:val="2D5343F4"/>
    <w:rsid w:val="2D6B0553"/>
    <w:rsid w:val="2DBC7DBD"/>
    <w:rsid w:val="2E7376CE"/>
    <w:rsid w:val="2E755220"/>
    <w:rsid w:val="2EC32491"/>
    <w:rsid w:val="2F643C88"/>
    <w:rsid w:val="2F8204CB"/>
    <w:rsid w:val="2F99717A"/>
    <w:rsid w:val="2FA9134E"/>
    <w:rsid w:val="2FC91025"/>
    <w:rsid w:val="2FD901A2"/>
    <w:rsid w:val="2FFF7E82"/>
    <w:rsid w:val="30203D84"/>
    <w:rsid w:val="303C23D1"/>
    <w:rsid w:val="30465ED3"/>
    <w:rsid w:val="30CC5D36"/>
    <w:rsid w:val="30DB6B38"/>
    <w:rsid w:val="30EF44EA"/>
    <w:rsid w:val="31055188"/>
    <w:rsid w:val="314A12AA"/>
    <w:rsid w:val="31CB0DBE"/>
    <w:rsid w:val="31E84971"/>
    <w:rsid w:val="31F66E81"/>
    <w:rsid w:val="32083B1A"/>
    <w:rsid w:val="321F6C49"/>
    <w:rsid w:val="322833D5"/>
    <w:rsid w:val="32AE12A2"/>
    <w:rsid w:val="32E2344A"/>
    <w:rsid w:val="32E620E1"/>
    <w:rsid w:val="33DD26AD"/>
    <w:rsid w:val="343F51A0"/>
    <w:rsid w:val="34497FA2"/>
    <w:rsid w:val="34750BFB"/>
    <w:rsid w:val="348B33F9"/>
    <w:rsid w:val="34AF3AE3"/>
    <w:rsid w:val="34B00E7B"/>
    <w:rsid w:val="3501722C"/>
    <w:rsid w:val="353E6C33"/>
    <w:rsid w:val="35E0639A"/>
    <w:rsid w:val="35F41076"/>
    <w:rsid w:val="364C3DCF"/>
    <w:rsid w:val="366F3364"/>
    <w:rsid w:val="36AA07DA"/>
    <w:rsid w:val="36C86458"/>
    <w:rsid w:val="36FA3910"/>
    <w:rsid w:val="37373B96"/>
    <w:rsid w:val="37771853"/>
    <w:rsid w:val="377F7164"/>
    <w:rsid w:val="37BD49F6"/>
    <w:rsid w:val="37CF253A"/>
    <w:rsid w:val="382F6615"/>
    <w:rsid w:val="38342F4D"/>
    <w:rsid w:val="388C4AD2"/>
    <w:rsid w:val="38EF7BDD"/>
    <w:rsid w:val="39201DD8"/>
    <w:rsid w:val="3974530B"/>
    <w:rsid w:val="398D678B"/>
    <w:rsid w:val="39942DF6"/>
    <w:rsid w:val="3A2A43E0"/>
    <w:rsid w:val="3A320235"/>
    <w:rsid w:val="3AAF22E3"/>
    <w:rsid w:val="3B4B7116"/>
    <w:rsid w:val="3B6E2535"/>
    <w:rsid w:val="3B774073"/>
    <w:rsid w:val="3BD626E3"/>
    <w:rsid w:val="3C31762B"/>
    <w:rsid w:val="3C8D7B6C"/>
    <w:rsid w:val="3CC90D8D"/>
    <w:rsid w:val="3D157BDD"/>
    <w:rsid w:val="3DBD5763"/>
    <w:rsid w:val="3E7C192A"/>
    <w:rsid w:val="3EB2259D"/>
    <w:rsid w:val="3EFA7C8A"/>
    <w:rsid w:val="3F997CEB"/>
    <w:rsid w:val="3FBC43BD"/>
    <w:rsid w:val="3FCE24E8"/>
    <w:rsid w:val="3FCF7889"/>
    <w:rsid w:val="401A4B3B"/>
    <w:rsid w:val="40296A80"/>
    <w:rsid w:val="40957A29"/>
    <w:rsid w:val="424A7002"/>
    <w:rsid w:val="42805280"/>
    <w:rsid w:val="4281526E"/>
    <w:rsid w:val="4295231E"/>
    <w:rsid w:val="42D954A6"/>
    <w:rsid w:val="43282530"/>
    <w:rsid w:val="43381836"/>
    <w:rsid w:val="433C5872"/>
    <w:rsid w:val="435B31DD"/>
    <w:rsid w:val="43B05EDF"/>
    <w:rsid w:val="43E7534A"/>
    <w:rsid w:val="443F4AAD"/>
    <w:rsid w:val="45512259"/>
    <w:rsid w:val="457F41EB"/>
    <w:rsid w:val="463B44BF"/>
    <w:rsid w:val="46A329B3"/>
    <w:rsid w:val="472167F1"/>
    <w:rsid w:val="473F7151"/>
    <w:rsid w:val="478D4C71"/>
    <w:rsid w:val="47FC182F"/>
    <w:rsid w:val="484D3629"/>
    <w:rsid w:val="48960CB0"/>
    <w:rsid w:val="49A354D8"/>
    <w:rsid w:val="49AA450E"/>
    <w:rsid w:val="49ED5DC6"/>
    <w:rsid w:val="49F6180D"/>
    <w:rsid w:val="4A1E2E01"/>
    <w:rsid w:val="4A5A722F"/>
    <w:rsid w:val="4AB70CF4"/>
    <w:rsid w:val="4AD369BF"/>
    <w:rsid w:val="4AD420CC"/>
    <w:rsid w:val="4B0A125D"/>
    <w:rsid w:val="4B1E33EF"/>
    <w:rsid w:val="4BCD09FD"/>
    <w:rsid w:val="4C2C0B49"/>
    <w:rsid w:val="4C5C3523"/>
    <w:rsid w:val="4CB1328E"/>
    <w:rsid w:val="4CB34B38"/>
    <w:rsid w:val="4D951AF9"/>
    <w:rsid w:val="4EA16C46"/>
    <w:rsid w:val="4EF613CE"/>
    <w:rsid w:val="4F082B34"/>
    <w:rsid w:val="4FAB4148"/>
    <w:rsid w:val="4FB6506C"/>
    <w:rsid w:val="4FC34D0C"/>
    <w:rsid w:val="4FD13182"/>
    <w:rsid w:val="4FDF3297"/>
    <w:rsid w:val="50017D9D"/>
    <w:rsid w:val="502B7BA8"/>
    <w:rsid w:val="503651EE"/>
    <w:rsid w:val="50874719"/>
    <w:rsid w:val="508D779D"/>
    <w:rsid w:val="50B756C0"/>
    <w:rsid w:val="50F83879"/>
    <w:rsid w:val="511B6A52"/>
    <w:rsid w:val="511C651C"/>
    <w:rsid w:val="515D21F4"/>
    <w:rsid w:val="51D25129"/>
    <w:rsid w:val="52047807"/>
    <w:rsid w:val="52287220"/>
    <w:rsid w:val="52D47888"/>
    <w:rsid w:val="52FB4F69"/>
    <w:rsid w:val="53093371"/>
    <w:rsid w:val="531C631B"/>
    <w:rsid w:val="53FE370D"/>
    <w:rsid w:val="54945060"/>
    <w:rsid w:val="54AD5244"/>
    <w:rsid w:val="54E65023"/>
    <w:rsid w:val="551107DA"/>
    <w:rsid w:val="55481AA0"/>
    <w:rsid w:val="55D053F8"/>
    <w:rsid w:val="55D517A4"/>
    <w:rsid w:val="55E81EF2"/>
    <w:rsid w:val="564B22DB"/>
    <w:rsid w:val="56C72537"/>
    <w:rsid w:val="56D23CEA"/>
    <w:rsid w:val="58FF0F63"/>
    <w:rsid w:val="59273FD3"/>
    <w:rsid w:val="59846849"/>
    <w:rsid w:val="59C3466C"/>
    <w:rsid w:val="5AAD18EF"/>
    <w:rsid w:val="5B0A22EF"/>
    <w:rsid w:val="5B257ED1"/>
    <w:rsid w:val="5B804936"/>
    <w:rsid w:val="5CD814AB"/>
    <w:rsid w:val="5CDF6C00"/>
    <w:rsid w:val="5D07668E"/>
    <w:rsid w:val="5DBD37DA"/>
    <w:rsid w:val="5DF1342A"/>
    <w:rsid w:val="5DF2163C"/>
    <w:rsid w:val="5E482B9A"/>
    <w:rsid w:val="5E6009A4"/>
    <w:rsid w:val="5E6D7A8E"/>
    <w:rsid w:val="5EBD0A38"/>
    <w:rsid w:val="5EEB2E39"/>
    <w:rsid w:val="5F231109"/>
    <w:rsid w:val="5F87371E"/>
    <w:rsid w:val="5FD613D0"/>
    <w:rsid w:val="60683B86"/>
    <w:rsid w:val="608A4AD0"/>
    <w:rsid w:val="60FE5693"/>
    <w:rsid w:val="60FF5962"/>
    <w:rsid w:val="610E3F3F"/>
    <w:rsid w:val="61297CB6"/>
    <w:rsid w:val="614E7DDA"/>
    <w:rsid w:val="61821D8E"/>
    <w:rsid w:val="61C45F96"/>
    <w:rsid w:val="624E2DD2"/>
    <w:rsid w:val="62A6027F"/>
    <w:rsid w:val="63500C0E"/>
    <w:rsid w:val="639359CA"/>
    <w:rsid w:val="63C31568"/>
    <w:rsid w:val="63CA26B0"/>
    <w:rsid w:val="641520CC"/>
    <w:rsid w:val="646A5B7C"/>
    <w:rsid w:val="6484378E"/>
    <w:rsid w:val="649D6436"/>
    <w:rsid w:val="64F41385"/>
    <w:rsid w:val="652A7349"/>
    <w:rsid w:val="65333C56"/>
    <w:rsid w:val="65B467FF"/>
    <w:rsid w:val="65F6178E"/>
    <w:rsid w:val="66354A38"/>
    <w:rsid w:val="668E63D5"/>
    <w:rsid w:val="67FB4BB9"/>
    <w:rsid w:val="684265A7"/>
    <w:rsid w:val="688C23DB"/>
    <w:rsid w:val="68DF4A69"/>
    <w:rsid w:val="68E9781D"/>
    <w:rsid w:val="691E60C6"/>
    <w:rsid w:val="698E6D6B"/>
    <w:rsid w:val="6A071CCA"/>
    <w:rsid w:val="6A2C2F78"/>
    <w:rsid w:val="6A686B4B"/>
    <w:rsid w:val="6A7B7778"/>
    <w:rsid w:val="6AD164AA"/>
    <w:rsid w:val="6ADA19B1"/>
    <w:rsid w:val="6AF24415"/>
    <w:rsid w:val="6AF832DE"/>
    <w:rsid w:val="6B19673C"/>
    <w:rsid w:val="6B2E134B"/>
    <w:rsid w:val="6B404CAC"/>
    <w:rsid w:val="6B46070F"/>
    <w:rsid w:val="6B4D4D64"/>
    <w:rsid w:val="6B7C7302"/>
    <w:rsid w:val="6B9106BA"/>
    <w:rsid w:val="6BA57FA1"/>
    <w:rsid w:val="6BC816AA"/>
    <w:rsid w:val="6C8F5AC8"/>
    <w:rsid w:val="6CA27BAC"/>
    <w:rsid w:val="6D67588D"/>
    <w:rsid w:val="6D6A2793"/>
    <w:rsid w:val="6D945581"/>
    <w:rsid w:val="6DA03D99"/>
    <w:rsid w:val="6DB4776C"/>
    <w:rsid w:val="6E3D041E"/>
    <w:rsid w:val="6E562AFB"/>
    <w:rsid w:val="6E846527"/>
    <w:rsid w:val="6ED364F3"/>
    <w:rsid w:val="6F0F64BF"/>
    <w:rsid w:val="6F396010"/>
    <w:rsid w:val="6F8A7CFC"/>
    <w:rsid w:val="6F933549"/>
    <w:rsid w:val="6FC747F7"/>
    <w:rsid w:val="6FD76E4A"/>
    <w:rsid w:val="70441DF8"/>
    <w:rsid w:val="704B38AB"/>
    <w:rsid w:val="7060616D"/>
    <w:rsid w:val="70674449"/>
    <w:rsid w:val="707A3A09"/>
    <w:rsid w:val="70BA31BF"/>
    <w:rsid w:val="7169369D"/>
    <w:rsid w:val="71977EA6"/>
    <w:rsid w:val="719B513B"/>
    <w:rsid w:val="71DB1459"/>
    <w:rsid w:val="724D70DC"/>
    <w:rsid w:val="72CB75E9"/>
    <w:rsid w:val="73437930"/>
    <w:rsid w:val="737A49CD"/>
    <w:rsid w:val="73804BFB"/>
    <w:rsid w:val="73C37DAB"/>
    <w:rsid w:val="73C84C88"/>
    <w:rsid w:val="73CD6768"/>
    <w:rsid w:val="73E8259C"/>
    <w:rsid w:val="745B35DF"/>
    <w:rsid w:val="745D1C65"/>
    <w:rsid w:val="74FE25B9"/>
    <w:rsid w:val="750E6F44"/>
    <w:rsid w:val="75A0012E"/>
    <w:rsid w:val="75E46682"/>
    <w:rsid w:val="75F543D8"/>
    <w:rsid w:val="763108C7"/>
    <w:rsid w:val="764E6CB1"/>
    <w:rsid w:val="768E3007"/>
    <w:rsid w:val="76A60BCA"/>
    <w:rsid w:val="77A27D1C"/>
    <w:rsid w:val="77EF5FE5"/>
    <w:rsid w:val="783F7C68"/>
    <w:rsid w:val="785C5227"/>
    <w:rsid w:val="788C6AD0"/>
    <w:rsid w:val="79165353"/>
    <w:rsid w:val="79A6613B"/>
    <w:rsid w:val="79F710D6"/>
    <w:rsid w:val="7AEC6192"/>
    <w:rsid w:val="7B965A56"/>
    <w:rsid w:val="7CBD21B2"/>
    <w:rsid w:val="7D1279A4"/>
    <w:rsid w:val="7D1D2E2B"/>
    <w:rsid w:val="7DD67A49"/>
    <w:rsid w:val="7E021B7B"/>
    <w:rsid w:val="7E2C6641"/>
    <w:rsid w:val="7E601EDB"/>
    <w:rsid w:val="7E950901"/>
    <w:rsid w:val="7EAB2A37"/>
    <w:rsid w:val="7EF231B5"/>
    <w:rsid w:val="7F1900A9"/>
    <w:rsid w:val="7F1E3AB9"/>
    <w:rsid w:val="7FAE7F46"/>
    <w:rsid w:val="7FC05706"/>
    <w:rsid w:val="7FF841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2019-06-04T08:39:02Z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