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FCC" w:rsidRPr="009603B5" w:rsidRDefault="00000000">
      <w:pPr>
        <w:pStyle w:val="a3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两层保障机制说明</w:t>
      </w:r>
    </w:p>
    <w:p w:rsidR="00A36FCC" w:rsidRPr="009603B5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一、两层保障机制概览</w:t>
      </w:r>
    </w:p>
    <w:p w:rsidR="00A36FCC" w:rsidRPr="009603B5" w:rsidRDefault="00000000">
      <w:pPr>
        <w:pStyle w:val="2"/>
        <w:rPr>
          <w:rFonts w:ascii="京东朗正体 玲珑" w:eastAsia="京东朗正体 玲珑" w:hAnsi="京东朗正体 玲珑" w:hint="eastAsia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第一层：内部管控制度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核心理念: 主动防控 + 技术保障 + 过程管理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三维度保障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64"/>
        <w:gridCol w:w="6760"/>
      </w:tblGrid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维度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保障措施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制度层面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SOP、红线、处罚标准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流程层面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审批、质检、审计、应急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技术层面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设备管控、登录监控、数据隔离</w:t>
            </w:r>
          </w:p>
        </w:tc>
      </w:tr>
    </w:tbl>
    <w:p w:rsidR="00A36FCC" w:rsidRPr="009603B5" w:rsidRDefault="00000000">
      <w:pPr>
        <w:pStyle w:val="2"/>
        <w:rPr>
          <w:rFonts w:ascii="京东朗正体 玲珑" w:eastAsia="京东朗正体 玲珑" w:hAnsi="京东朗正体 玲珑" w:hint="eastAsia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第二层：供应商管理手段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核心理念: 合同约束 + 过程监督 + 违规必究 + 优胜劣汰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四维度约束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67"/>
        <w:gridCol w:w="6757"/>
      </w:tblGrid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维度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约束措施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合同约束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违约金、连带责任、赔偿条款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过程监督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月度审计、数据分析、突击检查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违规处罚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警告→罚款→解约（梯度设计）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评级淘汰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月度评分、分级管理、末位淘汰</w:t>
            </w:r>
          </w:p>
        </w:tc>
      </w:tr>
    </w:tbl>
    <w:p w:rsidR="00A36FCC" w:rsidRPr="009603B5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二、针对三个核心问题的回应</w:t>
      </w:r>
    </w:p>
    <w:p w:rsidR="00A36FCC" w:rsidRPr="009603B5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2.1 安全&amp;风险问题 → 有机制保障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62"/>
        <w:gridCol w:w="3381"/>
        <w:gridCol w:w="3381"/>
      </w:tblGrid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问题点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第一层保障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第二层保障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账号安全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实名+设备+监控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审计+处罚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数据安全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禁导出+脱敏+留痕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重罚+追责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合规风险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话术规范+行为红线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违规必究</w:t>
            </w:r>
          </w:p>
        </w:tc>
      </w:tr>
    </w:tbl>
    <w:p w:rsidR="00A36FCC" w:rsidRPr="009603B5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2.2 服务问题 → 有标准管理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62"/>
        <w:gridCol w:w="3381"/>
        <w:gridCol w:w="3381"/>
      </w:tblGrid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服务维度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管理标准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监督机制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lastRenderedPageBreak/>
              <w:t>响应时效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5分钟-2小时分级标准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实时监控+月度考核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服务质量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话术规范+态度要求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三级质检+满意度调查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问题解决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限时解决+升级机制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客诉跟踪+闭环管理</w:t>
            </w:r>
          </w:p>
        </w:tc>
      </w:tr>
    </w:tbl>
    <w:p w:rsidR="00A36FCC" w:rsidRPr="009603B5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三、风险控制总结</w:t>
      </w:r>
    </w:p>
    <w:p w:rsidR="00A36FCC" w:rsidRPr="009603B5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3.1 控制机制完整度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46"/>
        <w:gridCol w:w="1807"/>
        <w:gridCol w:w="1807"/>
        <w:gridCol w:w="1807"/>
        <w:gridCol w:w="1357"/>
      </w:tblGrid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风险类别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预防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监控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响应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闭环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账号安全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数据安全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服务品质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</w:tr>
      <w:tr w:rsidR="00A36FCC" w:rsidRPr="009603B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京东朗正体 玲珑" w:eastAsia="京东朗正体 玲珑" w:hAnsi="京东朗正体 玲珑"/>
              </w:rPr>
              <w:t>合规风险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36FCC" w:rsidRPr="009603B5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9603B5">
              <w:rPr>
                <w:rFonts w:ascii="Apple Color Emoji" w:eastAsia="京东朗正体 玲珑" w:hAnsi="Apple Color Emoji" w:cs="Apple Color Emoji"/>
              </w:rPr>
              <w:t>✅</w:t>
            </w:r>
          </w:p>
        </w:tc>
      </w:tr>
    </w:tbl>
    <w:p w:rsidR="00A36FCC" w:rsidRPr="009603B5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3.2 管控强度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事前预防: 制度、培训、备案、审批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事中监控: 登录监控、操作留痕、实时预警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事后追责: 快速响应、调查处理、违规必究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持续优化: 月度审计、数据分析、制度迭代</w:t>
      </w:r>
    </w:p>
    <w:p w:rsidR="00A36FCC" w:rsidRPr="009603B5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9603B5">
        <w:rPr>
          <w:rFonts w:ascii="京东朗正体 玲珑" w:eastAsia="京东朗正体 玲珑" w:hAnsi="京东朗正体 玲珑"/>
          <w:b w:val="0"/>
          <w:bCs w:val="0"/>
        </w:rPr>
        <w:t>3.3 最终结论</w:t>
      </w:r>
    </w:p>
    <w:p w:rsidR="00A36FCC" w:rsidRPr="009603B5" w:rsidRDefault="00000000">
      <w:pPr>
        <w:spacing w:after="120"/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通过两层保障机制，BPO服务商运营企业微信的风险完全可控：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1. 风险有预防 — 制度+技术双重预防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2. 过程可监控 — 全程留痕+实时预警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3. 违规必追究 — 梯度处罚+法律追责</w:t>
      </w:r>
    </w:p>
    <w:p w:rsidR="00A36FCC" w:rsidRPr="009603B5" w:rsidRDefault="00000000">
      <w:pPr>
        <w:rPr>
          <w:rFonts w:ascii="京东朗正体 玲珑" w:eastAsia="京东朗正体 玲珑" w:hAnsi="京东朗正体 玲珑"/>
        </w:rPr>
      </w:pPr>
      <w:r w:rsidRPr="009603B5">
        <w:rPr>
          <w:rFonts w:ascii="京东朗正体 玲珑" w:eastAsia="京东朗正体 玲珑" w:hAnsi="京东朗正体 玲珑"/>
        </w:rPr>
        <w:t>4. 持续在优化 — 月度审计+制度迭代</w:t>
      </w:r>
    </w:p>
    <w:sectPr w:rsidR="00A36FCC" w:rsidRPr="009603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E4B6F"/>
    <w:multiLevelType w:val="hybridMultilevel"/>
    <w:tmpl w:val="270C82DC"/>
    <w:lvl w:ilvl="0" w:tplc="9D3811A2">
      <w:start w:val="1"/>
      <w:numFmt w:val="bullet"/>
      <w:lvlText w:val="●"/>
      <w:lvlJc w:val="left"/>
      <w:pPr>
        <w:ind w:left="720" w:hanging="360"/>
      </w:pPr>
    </w:lvl>
    <w:lvl w:ilvl="1" w:tplc="E9C6EFAE">
      <w:start w:val="1"/>
      <w:numFmt w:val="bullet"/>
      <w:lvlText w:val="○"/>
      <w:lvlJc w:val="left"/>
      <w:pPr>
        <w:ind w:left="1440" w:hanging="360"/>
      </w:pPr>
    </w:lvl>
    <w:lvl w:ilvl="2" w:tplc="841A581A">
      <w:start w:val="1"/>
      <w:numFmt w:val="bullet"/>
      <w:lvlText w:val="■"/>
      <w:lvlJc w:val="left"/>
      <w:pPr>
        <w:ind w:left="2160" w:hanging="360"/>
      </w:pPr>
    </w:lvl>
    <w:lvl w:ilvl="3" w:tplc="441EC52E">
      <w:start w:val="1"/>
      <w:numFmt w:val="bullet"/>
      <w:lvlText w:val="●"/>
      <w:lvlJc w:val="left"/>
      <w:pPr>
        <w:ind w:left="2880" w:hanging="360"/>
      </w:pPr>
    </w:lvl>
    <w:lvl w:ilvl="4" w:tplc="2A7E7FCC">
      <w:start w:val="1"/>
      <w:numFmt w:val="bullet"/>
      <w:lvlText w:val="○"/>
      <w:lvlJc w:val="left"/>
      <w:pPr>
        <w:ind w:left="3600" w:hanging="360"/>
      </w:pPr>
    </w:lvl>
    <w:lvl w:ilvl="5" w:tplc="412E13B0">
      <w:start w:val="1"/>
      <w:numFmt w:val="bullet"/>
      <w:lvlText w:val="■"/>
      <w:lvlJc w:val="left"/>
      <w:pPr>
        <w:ind w:left="4320" w:hanging="360"/>
      </w:pPr>
    </w:lvl>
    <w:lvl w:ilvl="6" w:tplc="BBD67004">
      <w:start w:val="1"/>
      <w:numFmt w:val="bullet"/>
      <w:lvlText w:val="●"/>
      <w:lvlJc w:val="left"/>
      <w:pPr>
        <w:ind w:left="5040" w:hanging="360"/>
      </w:pPr>
    </w:lvl>
    <w:lvl w:ilvl="7" w:tplc="B184CA06">
      <w:start w:val="1"/>
      <w:numFmt w:val="bullet"/>
      <w:lvlText w:val="●"/>
      <w:lvlJc w:val="left"/>
      <w:pPr>
        <w:ind w:left="5760" w:hanging="360"/>
      </w:pPr>
    </w:lvl>
    <w:lvl w:ilvl="8" w:tplc="FC340BE6">
      <w:start w:val="1"/>
      <w:numFmt w:val="bullet"/>
      <w:lvlText w:val="●"/>
      <w:lvlJc w:val="left"/>
      <w:pPr>
        <w:ind w:left="6480" w:hanging="360"/>
      </w:pPr>
    </w:lvl>
  </w:abstractNum>
  <w:num w:numId="1" w16cid:durableId="655885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FCC"/>
    <w:rsid w:val="00210E5B"/>
    <w:rsid w:val="009603B5"/>
    <w:rsid w:val="00A36FCC"/>
    <w:rsid w:val="00DD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4E10D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Arial"/>
      <w:b/>
      <w:bCs/>
      <w:color w:val="000000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3</cp:revision>
  <dcterms:created xsi:type="dcterms:W3CDTF">2026-03-17T06:00:00Z</dcterms:created>
  <dcterms:modified xsi:type="dcterms:W3CDTF">2026-03-17T06:05:00Z</dcterms:modified>
</cp:coreProperties>
</file>