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40"/>
      </w:pPr>
    </w:p>
    <w:p>
      <w:pPr>
        <w:spacing w:after="240"/>
        <w:jc w:val="center"/>
      </w:pPr>
      <w:r>
        <w:rPr>
          <w:rFonts w:ascii="SimHei" w:hAnsi="SimHei" w:eastAsia="黑体"/>
          <w:b/>
          <w:color w:val="1A1A2E"/>
          <w:sz w:val="56"/>
        </w:rPr>
        <w:t>供应商分层分级管理办法</w:t>
      </w:r>
    </w:p>
    <w:p>
      <w:pPr>
        <w:spacing w:before="120" w:after="120"/>
        <w:jc w:val="center"/>
      </w:pPr>
      <w:r>
        <w:rPr>
          <w:rFonts w:ascii="SimSun" w:hAnsi="SimSun" w:eastAsia="宋体"/>
          <w:color w:val="555555"/>
          <w:sz w:val="32"/>
        </w:rPr>
        <w:t>京东金融电销业务供应商管理 V2.0</w:t>
      </w:r>
    </w:p>
    <w:p>
      <w:pPr>
        <w:spacing w:before="480"/>
        <w:jc w:val="center"/>
      </w:pPr>
      <w:r>
        <w:rPr>
          <w:rFonts w:ascii="SimSun" w:hAnsi="SimSun" w:eastAsia="宋体"/>
          <w:color w:val="888888"/>
          <w:sz w:val="28"/>
        </w:rPr>
        <w:t>2026年4月</w:t>
      </w:r>
    </w:p>
    <w:p>
      <w:pPr>
        <w:spacing w:before="0" w:after="480"/>
      </w:pPr>
    </w:p>
    <w:p>
      <w:pPr>
        <w:jc w:val="center"/>
      </w:pPr>
      <w:r>
        <w:rPr>
          <w:color w:val="CCCCCC"/>
          <w:sz w:val="20"/>
        </w:rPr>
        <w:t>────────────────────────────────────────</w:t>
      </w:r>
    </w:p>
    <w:p>
      <w:r>
        <w:br w:type="page"/>
      </w:r>
    </w:p>
    <w:p>
      <w:pPr>
        <w:pStyle w:val="Heading1"/>
      </w:pPr>
      <w:r>
        <w:t>第一章 总则</w:t>
      </w:r>
    </w:p>
    <w:p>
      <w:pPr>
        <w:pStyle w:val="Heading2"/>
      </w:pPr>
      <w:r>
        <w:t>1.1 目的</w:t>
      </w:r>
    </w:p>
    <w:p>
      <w:pPr>
        <w:spacing w:before="60" w:after="60" w:line="360" w:lineRule="auto"/>
        <w:jc w:val="both"/>
      </w:pPr>
      <w:r>
        <w:rPr>
          <w:rFonts w:ascii="SimSun" w:hAnsi="SimSun" w:eastAsia="宋体"/>
          <w:b w:val="0"/>
          <w:sz w:val="24"/>
        </w:rPr>
        <w:t>为建立科学的供应商管理体系，实现供应商的分类分级管理，提升供应商整体效能，特制定本办法。</w:t>
      </w:r>
    </w:p>
    <w:p>
      <w:pPr>
        <w:pStyle w:val="Heading2"/>
      </w:pPr>
      <w:r>
        <w:t>1.2 适用范围</w:t>
      </w:r>
    </w:p>
    <w:p>
      <w:pPr>
        <w:spacing w:before="60" w:after="60" w:line="360" w:lineRule="auto"/>
        <w:jc w:val="both"/>
      </w:pPr>
      <w:r>
        <w:rPr>
          <w:rFonts w:ascii="SimSun" w:hAnsi="SimSun" w:eastAsia="宋体"/>
          <w:b w:val="0"/>
          <w:sz w:val="24"/>
        </w:rPr>
        <w:t>本办法适用于京东金融电销业务（金条、企金、信用卡、财富等产线）所有合作供应商。</w:t>
      </w:r>
    </w:p>
    <w:p>
      <w:pPr>
        <w:pStyle w:val="Heading2"/>
      </w:pPr>
      <w:r>
        <w:t>1.3 管理原则</w:t>
      </w:r>
    </w:p>
    <w:p>
      <w:pPr>
        <w:spacing w:before="60" w:after="60" w:line="360" w:lineRule="auto"/>
        <w:jc w:val="both"/>
      </w:pPr>
      <w:r>
        <w:rPr>
          <w:rFonts w:ascii="SimSun" w:hAnsi="SimSun" w:eastAsia="黑体"/>
          <w:b/>
          <w:sz w:val="24"/>
        </w:rPr>
        <w:t>客观公正：</w:t>
      </w:r>
      <w:r>
        <w:rPr>
          <w:rFonts w:ascii="SimSun" w:hAnsi="SimSun" w:eastAsia="宋体"/>
          <w:b w:val="0"/>
          <w:sz w:val="24"/>
        </w:rPr>
        <w:t>以数据为依据，定量为主、定性为辅</w:t>
      </w:r>
    </w:p>
    <w:p>
      <w:pPr>
        <w:spacing w:before="60" w:after="60" w:line="360" w:lineRule="auto"/>
        <w:jc w:val="both"/>
      </w:pPr>
      <w:r>
        <w:rPr>
          <w:rFonts w:ascii="SimSun" w:hAnsi="SimSun" w:eastAsia="黑体"/>
          <w:b/>
          <w:sz w:val="24"/>
        </w:rPr>
        <w:t>动态管理：</w:t>
      </w:r>
      <w:r>
        <w:rPr>
          <w:rFonts w:ascii="SimSun" w:hAnsi="SimSun" w:eastAsia="宋体"/>
          <w:b w:val="0"/>
          <w:sz w:val="24"/>
        </w:rPr>
        <w:t>季度评估、动态升降级</w:t>
      </w:r>
    </w:p>
    <w:p>
      <w:pPr>
        <w:spacing w:before="60" w:after="60" w:line="360" w:lineRule="auto"/>
        <w:jc w:val="both"/>
      </w:pPr>
      <w:r>
        <w:rPr>
          <w:rFonts w:ascii="SimSun" w:hAnsi="SimSun" w:eastAsia="黑体"/>
          <w:b/>
          <w:sz w:val="24"/>
        </w:rPr>
        <w:t>分类施策：</w:t>
      </w:r>
      <w:r>
        <w:rPr>
          <w:rFonts w:ascii="SimSun" w:hAnsi="SimSun" w:eastAsia="宋体"/>
          <w:b w:val="0"/>
          <w:sz w:val="24"/>
        </w:rPr>
        <w:t>不同级别差异化管理，资源向优质供应商倾斜</w:t>
      </w:r>
    </w:p>
    <w:p>
      <w:pPr>
        <w:spacing w:before="60" w:after="60" w:line="360" w:lineRule="auto"/>
        <w:jc w:val="both"/>
      </w:pPr>
      <w:r>
        <w:rPr>
          <w:rFonts w:ascii="SimSun" w:hAnsi="SimSun" w:eastAsia="黑体"/>
          <w:b/>
          <w:sz w:val="24"/>
        </w:rPr>
        <w:t>限期改善：</w:t>
      </w:r>
      <w:r>
        <w:rPr>
          <w:rFonts w:ascii="SimSun" w:hAnsi="SimSun" w:eastAsia="宋体"/>
          <w:b w:val="0"/>
          <w:sz w:val="24"/>
        </w:rPr>
        <w:t>C级供应商强制进入PIP，改善不合格启动退出</w:t>
      </w:r>
    </w:p>
    <w:p>
      <w:r>
        <w:br w:type="page"/>
      </w:r>
    </w:p>
    <w:p>
      <w:pPr>
        <w:pStyle w:val="Heading1"/>
      </w:pPr>
      <w:r>
        <w:t>第二章 评估体系设计</w:t>
      </w:r>
    </w:p>
    <w:p>
      <w:pPr>
        <w:pStyle w:val="Heading2"/>
      </w:pPr>
      <w:r>
        <w:t>2.1 评估维度与权重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660"/>
        <w:gridCol w:w="1660"/>
        <w:gridCol w:w="1660"/>
        <w:gridCol w:w="1660"/>
        <w:gridCol w:w="1660"/>
      </w:tblGrid>
      <w:tr>
        <w:tc>
          <w:tcPr>
            <w:tcW w:type="dxa" w:w="1660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评估维度</w:t>
            </w:r>
          </w:p>
        </w:tc>
        <w:tc>
          <w:tcPr>
            <w:tcW w:type="dxa" w:w="1660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权重</w:t>
            </w:r>
          </w:p>
        </w:tc>
        <w:tc>
          <w:tcPr>
            <w:tcW w:type="dxa" w:w="1660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性质</w:t>
            </w:r>
          </w:p>
        </w:tc>
        <w:tc>
          <w:tcPr>
            <w:tcW w:type="dxa" w:w="1660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评估主体</w:t>
            </w:r>
          </w:p>
        </w:tc>
        <w:tc>
          <w:tcPr>
            <w:tcW w:type="dxa" w:w="1660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细项数量</w:t>
            </w:r>
          </w:p>
        </w:tc>
      </w:tr>
      <w:tr>
        <w:tc>
          <w:tcPr>
            <w:tcW w:type="dxa" w:w="166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b w:val="0"/>
                <w:sz w:val="18"/>
              </w:rPr>
              <w:t>业务督导</w:t>
            </w:r>
          </w:p>
        </w:tc>
        <w:tc>
          <w:tcPr>
            <w:tcW w:type="dxa" w:w="166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b w:val="0"/>
                <w:sz w:val="18"/>
              </w:rPr>
              <w:t>60分</w:t>
            </w:r>
          </w:p>
        </w:tc>
        <w:tc>
          <w:tcPr>
            <w:tcW w:type="dxa" w:w="166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b w:val="0"/>
                <w:sz w:val="18"/>
              </w:rPr>
              <w:t>定量</w:t>
            </w:r>
          </w:p>
        </w:tc>
        <w:tc>
          <w:tcPr>
            <w:tcW w:type="dxa" w:w="166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b w:val="0"/>
                <w:sz w:val="18"/>
              </w:rPr>
              <w:t>业务督导岗</w:t>
            </w:r>
          </w:p>
        </w:tc>
        <w:tc>
          <w:tcPr>
            <w:tcW w:type="dxa" w:w="166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b w:val="0"/>
                <w:sz w:val="18"/>
              </w:rPr>
              <w:t>6项</w:t>
            </w:r>
          </w:p>
        </w:tc>
      </w:tr>
      <w:tr>
        <w:tc>
          <w:tcPr>
            <w:tcW w:type="dxa" w:w="166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b w:val="0"/>
                <w:sz w:val="18"/>
              </w:rPr>
              <w:t>供应商管理</w:t>
            </w:r>
          </w:p>
        </w:tc>
        <w:tc>
          <w:tcPr>
            <w:tcW w:type="dxa" w:w="166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b w:val="0"/>
                <w:sz w:val="18"/>
              </w:rPr>
              <w:t>30分</w:t>
            </w:r>
          </w:p>
        </w:tc>
        <w:tc>
          <w:tcPr>
            <w:tcW w:type="dxa" w:w="166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b w:val="0"/>
                <w:sz w:val="18"/>
              </w:rPr>
              <w:t>定性</w:t>
            </w:r>
          </w:p>
        </w:tc>
        <w:tc>
          <w:tcPr>
            <w:tcW w:type="dxa" w:w="166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b w:val="0"/>
                <w:sz w:val="18"/>
              </w:rPr>
              <w:t>供应商管理岗</w:t>
            </w:r>
          </w:p>
        </w:tc>
        <w:tc>
          <w:tcPr>
            <w:tcW w:type="dxa" w:w="166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b w:val="0"/>
                <w:sz w:val="18"/>
              </w:rPr>
              <w:t>6项</w:t>
            </w:r>
          </w:p>
        </w:tc>
      </w:tr>
      <w:tr>
        <w:tc>
          <w:tcPr>
            <w:tcW w:type="dxa" w:w="166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b w:val="0"/>
                <w:sz w:val="18"/>
              </w:rPr>
              <w:t>质检</w:t>
            </w:r>
          </w:p>
        </w:tc>
        <w:tc>
          <w:tcPr>
            <w:tcW w:type="dxa" w:w="166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b w:val="0"/>
                <w:sz w:val="18"/>
              </w:rPr>
              <w:t>10分</w:t>
            </w:r>
          </w:p>
        </w:tc>
        <w:tc>
          <w:tcPr>
            <w:tcW w:type="dxa" w:w="166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b w:val="0"/>
                <w:sz w:val="18"/>
              </w:rPr>
              <w:t>定量</w:t>
            </w:r>
          </w:p>
        </w:tc>
        <w:tc>
          <w:tcPr>
            <w:tcW w:type="dxa" w:w="166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b w:val="0"/>
                <w:sz w:val="18"/>
              </w:rPr>
              <w:t>质检培训运营岗</w:t>
            </w:r>
          </w:p>
        </w:tc>
        <w:tc>
          <w:tcPr>
            <w:tcW w:type="dxa" w:w="166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b w:val="0"/>
                <w:sz w:val="18"/>
              </w:rPr>
              <w:t>4项</w:t>
            </w:r>
          </w:p>
        </w:tc>
      </w:tr>
      <w:tr>
        <w:tc>
          <w:tcPr>
            <w:tcW w:type="dxa" w:w="166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Hei" w:hAnsi="SimHei" w:eastAsia="宋体"/>
                <w:b/>
                <w:sz w:val="18"/>
              </w:rPr>
              <w:t>合计</w:t>
            </w:r>
          </w:p>
        </w:tc>
        <w:tc>
          <w:tcPr>
            <w:tcW w:type="dxa" w:w="166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Hei" w:hAnsi="SimHei" w:eastAsia="宋体"/>
                <w:b/>
                <w:sz w:val="18"/>
              </w:rPr>
              <w:t>100分</w:t>
            </w:r>
          </w:p>
        </w:tc>
        <w:tc>
          <w:tcPr>
            <w:tcW w:type="dxa" w:w="166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Hei" w:hAnsi="SimHei" w:eastAsia="宋体"/>
                <w:b/>
                <w:sz w:val="18"/>
              </w:rPr>
              <w:t>—</w:t>
            </w:r>
          </w:p>
        </w:tc>
        <w:tc>
          <w:tcPr>
            <w:tcW w:type="dxa" w:w="166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Hei" w:hAnsi="SimHei" w:eastAsia="宋体"/>
                <w:b/>
                <w:sz w:val="18"/>
              </w:rPr>
              <w:t>—</w:t>
            </w:r>
          </w:p>
        </w:tc>
        <w:tc>
          <w:tcPr>
            <w:tcW w:type="dxa" w:w="166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Hei" w:hAnsi="SimHei" w:eastAsia="宋体"/>
                <w:b/>
                <w:sz w:val="18"/>
              </w:rPr>
              <w:t>16项</w:t>
            </w:r>
          </w:p>
        </w:tc>
      </w:tr>
    </w:tbl>
    <w:p>
      <w:pPr>
        <w:spacing w:before="0" w:after="120"/>
      </w:pPr>
    </w:p>
    <w:p>
      <w:pPr>
        <w:pStyle w:val="Heading2"/>
      </w:pPr>
      <w:r>
        <w:t>2.2 业务督导细项（60分，定量）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186"/>
        <w:gridCol w:w="1186"/>
        <w:gridCol w:w="1186"/>
        <w:gridCol w:w="1186"/>
        <w:gridCol w:w="1186"/>
        <w:gridCol w:w="1186"/>
        <w:gridCol w:w="1186"/>
      </w:tblGrid>
      <w:tr>
        <w:tc>
          <w:tcPr>
            <w:tcW w:type="dxa" w:w="1186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序号</w:t>
            </w:r>
          </w:p>
        </w:tc>
        <w:tc>
          <w:tcPr>
            <w:tcW w:type="dxa" w:w="1186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细项名称</w:t>
            </w:r>
          </w:p>
        </w:tc>
        <w:tc>
          <w:tcPr>
            <w:tcW w:type="dxa" w:w="1186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权重</w:t>
            </w:r>
          </w:p>
        </w:tc>
        <w:tc>
          <w:tcPr>
            <w:tcW w:type="dxa" w:w="1186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维度</w:t>
            </w:r>
          </w:p>
        </w:tc>
        <w:tc>
          <w:tcPr>
            <w:tcW w:type="dxa" w:w="1186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满分条件</w:t>
            </w:r>
          </w:p>
        </w:tc>
        <w:tc>
          <w:tcPr>
            <w:tcW w:type="dxa" w:w="1186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及格条件</w:t>
            </w:r>
          </w:p>
        </w:tc>
        <w:tc>
          <w:tcPr>
            <w:tcW w:type="dxa" w:w="1186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不及格条件</w:t>
            </w:r>
          </w:p>
        </w:tc>
      </w:tr>
      <w:tr>
        <w:tc>
          <w:tcPr>
            <w:tcW w:type="dxa" w:w="1186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1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季度目标达成率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15分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目标达成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达成率≥100%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85%≤达成率&lt;100%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达成率&lt;85%</w:t>
            </w:r>
          </w:p>
        </w:tc>
      </w:tr>
      <w:tr>
        <w:tc>
          <w:tcPr>
            <w:tcW w:type="dxa" w:w="1186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2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季度业绩贡献占比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10分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业绩产出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人均产出≥均值110%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90%≤人均产出&lt;110%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人均产出&lt;90%</w:t>
            </w:r>
          </w:p>
        </w:tc>
      </w:tr>
      <w:tr>
        <w:tc>
          <w:tcPr>
            <w:tcW w:type="dxa" w:w="1186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3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转化效率指数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10分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转化效率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≥均值110%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95%≤指数&lt;110%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指数&lt;95%</w:t>
            </w:r>
          </w:p>
        </w:tc>
      </w:tr>
      <w:tr>
        <w:tc>
          <w:tcPr>
            <w:tcW w:type="dxa" w:w="1186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4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月度业绩增长趋势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10分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趋势变化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月均增长≥5%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-2%≤增长&lt;5%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月均增长&lt;-2%</w:t>
            </w:r>
          </w:p>
        </w:tc>
      </w:tr>
      <w:tr>
        <w:tc>
          <w:tcPr>
            <w:tcW w:type="dxa" w:w="1186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5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季度人力稳定贡献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8分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人力贡献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稳定留存率≥90%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75%≤留存率&lt;90%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留存率&lt;75%</w:t>
            </w:r>
          </w:p>
        </w:tc>
      </w:tr>
      <w:tr>
        <w:tc>
          <w:tcPr>
            <w:tcW w:type="dxa" w:w="1186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6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有效人力占比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7分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人力贡献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有效占比≥95%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85%≤有效占比&lt;95%</w:t>
            </w:r>
          </w:p>
        </w:tc>
        <w:tc>
          <w:tcPr>
            <w:tcW w:type="dxa" w:w="1186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有效占比&lt;85%</w:t>
            </w:r>
          </w:p>
        </w:tc>
      </w:tr>
    </w:tbl>
    <w:p>
      <w:pPr>
        <w:spacing w:before="0" w:after="120"/>
      </w:pPr>
    </w:p>
    <w:p>
      <w:pPr>
        <w:spacing w:before="60" w:after="40" w:line="360" w:lineRule="auto"/>
        <w:jc w:val="both"/>
      </w:pPr>
      <w:r>
        <w:rPr>
          <w:rFonts w:ascii="SimSun" w:hAnsi="SimSun" w:eastAsia="黑体"/>
          <w:b/>
          <w:sz w:val="24"/>
        </w:rPr>
        <w:t>评分规则：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满分与及格之间、及格与不及格之间按线性插值计算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季度结束后第3个工作日锁定数据，第5个工作日出分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出分后2个工作日内可发起数据异议，逾期视为认可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新准入供应商季度运营不足1个月不参与当季排名</w:t>
      </w:r>
    </w:p>
    <w:p>
      <w:pPr>
        <w:spacing w:before="0" w:after="120"/>
      </w:pPr>
    </w:p>
    <w:p>
      <w:pPr>
        <w:pStyle w:val="Heading2"/>
      </w:pPr>
      <w:r>
        <w:t>2.3 供应商管理细项（30分，定性）</w:t>
      </w:r>
    </w:p>
    <w:p>
      <w:pPr>
        <w:spacing w:before="60" w:after="120" w:line="360" w:lineRule="auto"/>
        <w:jc w:val="both"/>
      </w:pPr>
      <w:r>
        <w:rPr>
          <w:rFonts w:ascii="SimSun" w:hAnsi="SimSun" w:eastAsia="宋体"/>
          <w:b w:val="0"/>
          <w:sz w:val="24"/>
        </w:rPr>
        <w:t>采用5分制评估（优秀5分/良好4分/合格3分/需改进2分/差1分），每项权重乘得分系数。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序号</w:t>
            </w:r>
          </w:p>
        </w:tc>
        <w:tc>
          <w:tcPr>
            <w:tcW w:type="dxa" w:w="2075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细项名称</w:t>
            </w:r>
          </w:p>
        </w:tc>
        <w:tc>
          <w:tcPr>
            <w:tcW w:type="dxa" w:w="2075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权重</w:t>
            </w:r>
          </w:p>
        </w:tc>
        <w:tc>
          <w:tcPr>
            <w:tcW w:type="dxa" w:w="2075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评估标准（5分=优秀）</w:t>
            </w:r>
          </w:p>
        </w:tc>
      </w:tr>
      <w:tr>
        <w:tc>
          <w:tcPr>
            <w:tcW w:type="dxa" w:w="2075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1</w:t>
            </w:r>
          </w:p>
        </w:tc>
        <w:tc>
          <w:tcPr>
            <w:tcW w:type="dxa" w:w="2075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配合意愿与响应速度</w:t>
            </w:r>
          </w:p>
        </w:tc>
        <w:tc>
          <w:tcPr>
            <w:tcW w:type="dxa" w:w="2075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6分</w:t>
            </w:r>
          </w:p>
        </w:tc>
        <w:tc>
          <w:tcPr>
            <w:tcW w:type="dxa" w:w="2075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需求2小时内响应，24小时内出方案，主动跟进，零推诿</w:t>
            </w:r>
          </w:p>
        </w:tc>
      </w:tr>
      <w:tr>
        <w:tc>
          <w:tcPr>
            <w:tcW w:type="dxa" w:w="2075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2</w:t>
            </w:r>
          </w:p>
        </w:tc>
        <w:tc>
          <w:tcPr>
            <w:tcW w:type="dxa" w:w="2075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管理团队能力</w:t>
            </w:r>
          </w:p>
        </w:tc>
        <w:tc>
          <w:tcPr>
            <w:tcW w:type="dxa" w:w="2075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5分</w:t>
            </w:r>
          </w:p>
        </w:tc>
        <w:tc>
          <w:tcPr>
            <w:tcW w:type="dxa" w:w="2075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驻场经理经验丰富，能独立解决现场问题，管理例会高质量</w:t>
            </w:r>
          </w:p>
        </w:tc>
      </w:tr>
      <w:tr>
        <w:tc>
          <w:tcPr>
            <w:tcW w:type="dxa" w:w="2075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3</w:t>
            </w:r>
          </w:p>
        </w:tc>
        <w:tc>
          <w:tcPr>
            <w:tcW w:type="dxa" w:w="2075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招聘与培训体系</w:t>
            </w:r>
          </w:p>
        </w:tc>
        <w:tc>
          <w:tcPr>
            <w:tcW w:type="dxa" w:w="2075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5分</w:t>
            </w:r>
          </w:p>
        </w:tc>
        <w:tc>
          <w:tcPr>
            <w:tcW w:type="dxa" w:w="2075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招聘渠道多元，月度满编率≥95%，新人7天达标率≥85%</w:t>
            </w:r>
          </w:p>
        </w:tc>
      </w:tr>
      <w:tr>
        <w:tc>
          <w:tcPr>
            <w:tcW w:type="dxa" w:w="2075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4</w:t>
            </w:r>
          </w:p>
        </w:tc>
        <w:tc>
          <w:tcPr>
            <w:tcW w:type="dxa" w:w="2075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合规与风险管理</w:t>
            </w:r>
          </w:p>
        </w:tc>
        <w:tc>
          <w:tcPr>
            <w:tcW w:type="dxa" w:w="2075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5分</w:t>
            </w:r>
          </w:p>
        </w:tc>
        <w:tc>
          <w:tcPr>
            <w:tcW w:type="dxa" w:w="2075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季度零合规事故，主动识别上报风险，合规承诺书100%</w:t>
            </w:r>
          </w:p>
        </w:tc>
      </w:tr>
      <w:tr>
        <w:tc>
          <w:tcPr>
            <w:tcW w:type="dxa" w:w="2075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5</w:t>
            </w:r>
          </w:p>
        </w:tc>
        <w:tc>
          <w:tcPr>
            <w:tcW w:type="dxa" w:w="2075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资源投入与稳定性</w:t>
            </w:r>
          </w:p>
        </w:tc>
        <w:tc>
          <w:tcPr>
            <w:tcW w:type="dxa" w:w="2075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5分</w:t>
            </w:r>
          </w:p>
        </w:tc>
        <w:tc>
          <w:tcPr>
            <w:tcW w:type="dxa" w:w="2075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资源充足，核心团队年度流失率&lt;10%，产能波动&lt;5%</w:t>
            </w:r>
          </w:p>
        </w:tc>
      </w:tr>
      <w:tr>
        <w:tc>
          <w:tcPr>
            <w:tcW w:type="dxa" w:w="2075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6</w:t>
            </w:r>
          </w:p>
        </w:tc>
        <w:tc>
          <w:tcPr>
            <w:tcW w:type="dxa" w:w="2075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创新与改进意愿</w:t>
            </w:r>
          </w:p>
        </w:tc>
        <w:tc>
          <w:tcPr>
            <w:tcW w:type="dxa" w:w="2075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4分</w:t>
            </w:r>
          </w:p>
        </w:tc>
        <w:tc>
          <w:tcPr>
            <w:tcW w:type="dxa" w:w="2075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季度主动提出≥3条优化建议并被采纳，积极参与试点</w:t>
            </w:r>
          </w:p>
        </w:tc>
      </w:tr>
    </w:tbl>
    <w:p>
      <w:pPr>
        <w:spacing w:before="0" w:after="120"/>
      </w:pPr>
    </w:p>
    <w:p>
      <w:pPr>
        <w:pStyle w:val="Heading2"/>
      </w:pPr>
      <w:r>
        <w:t>2.4 质检细项（10分，定量）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660"/>
        <w:gridCol w:w="1660"/>
        <w:gridCol w:w="1660"/>
        <w:gridCol w:w="1660"/>
        <w:gridCol w:w="1660"/>
      </w:tblGrid>
      <w:tr>
        <w:tc>
          <w:tcPr>
            <w:tcW w:type="dxa" w:w="1660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序号</w:t>
            </w:r>
          </w:p>
        </w:tc>
        <w:tc>
          <w:tcPr>
            <w:tcW w:type="dxa" w:w="1660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细项名称</w:t>
            </w:r>
          </w:p>
        </w:tc>
        <w:tc>
          <w:tcPr>
            <w:tcW w:type="dxa" w:w="1660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权重</w:t>
            </w:r>
          </w:p>
        </w:tc>
        <w:tc>
          <w:tcPr>
            <w:tcW w:type="dxa" w:w="1660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满分条件</w:t>
            </w:r>
          </w:p>
        </w:tc>
        <w:tc>
          <w:tcPr>
            <w:tcW w:type="dxa" w:w="1660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零分条件</w:t>
            </w:r>
          </w:p>
        </w:tc>
      </w:tr>
      <w:tr>
        <w:tc>
          <w:tcPr>
            <w:tcW w:type="dxa" w:w="166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1</w:t>
            </w:r>
          </w:p>
        </w:tc>
        <w:tc>
          <w:tcPr>
            <w:tcW w:type="dxa" w:w="166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质检合格率</w:t>
            </w:r>
          </w:p>
        </w:tc>
        <w:tc>
          <w:tcPr>
            <w:tcW w:type="dxa" w:w="166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4分</w:t>
            </w:r>
          </w:p>
        </w:tc>
        <w:tc>
          <w:tcPr>
            <w:tcW w:type="dxa" w:w="1660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合格率≥95%</w:t>
            </w:r>
          </w:p>
        </w:tc>
        <w:tc>
          <w:tcPr>
            <w:tcW w:type="dxa" w:w="1660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合格率&lt;85%</w:t>
            </w:r>
          </w:p>
        </w:tc>
      </w:tr>
      <w:tr>
        <w:tc>
          <w:tcPr>
            <w:tcW w:type="dxa" w:w="166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2</w:t>
            </w:r>
          </w:p>
        </w:tc>
        <w:tc>
          <w:tcPr>
            <w:tcW w:type="dxa" w:w="166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合规违规次数</w:t>
            </w:r>
          </w:p>
        </w:tc>
        <w:tc>
          <w:tcPr>
            <w:tcW w:type="dxa" w:w="166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3分</w:t>
            </w:r>
          </w:p>
        </w:tc>
        <w:tc>
          <w:tcPr>
            <w:tcW w:type="dxa" w:w="1660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零A类违规且B类≤2次</w:t>
            </w:r>
          </w:p>
        </w:tc>
        <w:tc>
          <w:tcPr>
            <w:tcW w:type="dxa" w:w="1660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出现A类违规（红线）</w:t>
            </w:r>
          </w:p>
        </w:tc>
      </w:tr>
      <w:tr>
        <w:tc>
          <w:tcPr>
            <w:tcW w:type="dxa" w:w="166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3</w:t>
            </w:r>
          </w:p>
        </w:tc>
        <w:tc>
          <w:tcPr>
            <w:tcW w:type="dxa" w:w="166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客户投诉率</w:t>
            </w:r>
          </w:p>
        </w:tc>
        <w:tc>
          <w:tcPr>
            <w:tcW w:type="dxa" w:w="166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2分</w:t>
            </w:r>
          </w:p>
        </w:tc>
        <w:tc>
          <w:tcPr>
            <w:tcW w:type="dxa" w:w="1660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投诉率≤3/万</w:t>
            </w:r>
          </w:p>
        </w:tc>
        <w:tc>
          <w:tcPr>
            <w:tcW w:type="dxa" w:w="1660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投诉率&gt;8/万</w:t>
            </w:r>
          </w:p>
        </w:tc>
      </w:tr>
      <w:tr>
        <w:tc>
          <w:tcPr>
            <w:tcW w:type="dxa" w:w="166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4</w:t>
            </w:r>
          </w:p>
        </w:tc>
        <w:tc>
          <w:tcPr>
            <w:tcW w:type="dxa" w:w="166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话术规范执行率</w:t>
            </w:r>
          </w:p>
        </w:tc>
        <w:tc>
          <w:tcPr>
            <w:tcW w:type="dxa" w:w="166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1分</w:t>
            </w:r>
          </w:p>
        </w:tc>
        <w:tc>
          <w:tcPr>
            <w:tcW w:type="dxa" w:w="1660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执行率≥95%</w:t>
            </w:r>
          </w:p>
        </w:tc>
        <w:tc>
          <w:tcPr>
            <w:tcW w:type="dxa" w:w="1660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执行率&lt;85%</w:t>
            </w:r>
          </w:p>
        </w:tc>
      </w:tr>
    </w:tbl>
    <w:p>
      <w:r>
        <w:br w:type="page"/>
      </w:r>
    </w:p>
    <w:p>
      <w:pPr>
        <w:pStyle w:val="Heading1"/>
      </w:pPr>
      <w:r>
        <w:t>第三章 ABC分级体系</w:t>
      </w:r>
    </w:p>
    <w:p>
      <w:pPr>
        <w:pStyle w:val="Heading2"/>
      </w:pPr>
      <w:r>
        <w:t>3.1 分级规则（相对排名法）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级别</w:t>
            </w:r>
          </w:p>
        </w:tc>
        <w:tc>
          <w:tcPr>
            <w:tcW w:type="dxa" w:w="2075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排名范围</w:t>
            </w:r>
          </w:p>
        </w:tc>
        <w:tc>
          <w:tcPr>
            <w:tcW w:type="dxa" w:w="2075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占比</w:t>
            </w:r>
          </w:p>
        </w:tc>
        <w:tc>
          <w:tcPr>
            <w:tcW w:type="dxa" w:w="2075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管理定位</w:t>
            </w:r>
          </w:p>
        </w:tc>
      </w:tr>
      <w:tr>
        <w:tc>
          <w:tcPr>
            <w:tcW w:type="dxa" w:w="2075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A级</w:t>
            </w:r>
          </w:p>
        </w:tc>
        <w:tc>
          <w:tcPr>
            <w:tcW w:type="dxa" w:w="2075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排名前30%</w:t>
            </w:r>
          </w:p>
        </w:tc>
        <w:tc>
          <w:tcPr>
            <w:tcW w:type="dxa" w:w="2075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约30%</w:t>
            </w:r>
          </w:p>
        </w:tc>
        <w:tc>
          <w:tcPr>
            <w:tcW w:type="dxa" w:w="2075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战略合作伙伴</w:t>
            </w:r>
          </w:p>
        </w:tc>
      </w:tr>
      <w:tr>
        <w:tc>
          <w:tcPr>
            <w:tcW w:type="dxa" w:w="2075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B级</w:t>
            </w:r>
          </w:p>
        </w:tc>
        <w:tc>
          <w:tcPr>
            <w:tcW w:type="dxa" w:w="2075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排名30%-70%</w:t>
            </w:r>
          </w:p>
        </w:tc>
        <w:tc>
          <w:tcPr>
            <w:tcW w:type="dxa" w:w="2075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约40%</w:t>
            </w:r>
          </w:p>
        </w:tc>
        <w:tc>
          <w:tcPr>
            <w:tcW w:type="dxa" w:w="2075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稳定合作方</w:t>
            </w:r>
          </w:p>
        </w:tc>
      </w:tr>
      <w:tr>
        <w:tc>
          <w:tcPr>
            <w:tcW w:type="dxa" w:w="2075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C级</w:t>
            </w:r>
          </w:p>
        </w:tc>
        <w:tc>
          <w:tcPr>
            <w:tcW w:type="dxa" w:w="2075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排名后30%</w:t>
            </w:r>
          </w:p>
        </w:tc>
        <w:tc>
          <w:tcPr>
            <w:tcW w:type="dxa" w:w="2075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约30%</w:t>
            </w:r>
          </w:p>
        </w:tc>
        <w:tc>
          <w:tcPr>
            <w:tcW w:type="dxa" w:w="2075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重点管控对象</w:t>
            </w:r>
          </w:p>
        </w:tc>
      </w:tr>
    </w:tbl>
    <w:p>
      <w:pPr>
        <w:spacing w:before="0" w:after="120"/>
      </w:pPr>
    </w:p>
    <w:p>
      <w:pPr>
        <w:spacing w:before="60" w:after="60" w:line="360" w:lineRule="auto"/>
        <w:jc w:val="both"/>
      </w:pPr>
      <w:r>
        <w:rPr>
          <w:rFonts w:ascii="SimSun" w:hAnsi="SimSun" w:eastAsia="黑体"/>
          <w:b/>
          <w:sz w:val="24"/>
        </w:rPr>
        <w:t>为什么用相对排名而非绝对分数：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自动适应供应商总数变化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与现有赛马排名逻辑一致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避免绝对分数导致的级别固化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保持适度的内部竞争张力</w:t>
      </w:r>
    </w:p>
    <w:p>
      <w:pPr>
        <w:spacing w:before="0" w:after="120"/>
      </w:pPr>
    </w:p>
    <w:p>
      <w:pPr>
        <w:pStyle w:val="Heading2"/>
      </w:pPr>
      <w:r>
        <w:t>3.2 分级公布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每季度结束后第7个工作日公布分级结果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分级结果以书面形式通知各供应商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分级结果同步抄送服务组负责人（王易人）</w:t>
      </w:r>
    </w:p>
    <w:p>
      <w:r>
        <w:br w:type="page"/>
      </w:r>
    </w:p>
    <w:p>
      <w:pPr>
        <w:pStyle w:val="Heading1"/>
      </w:pPr>
      <w:r>
        <w:t>第四章 分级管理策略</w:t>
      </w:r>
    </w:p>
    <w:p>
      <w:pPr>
        <w:pStyle w:val="Heading2"/>
      </w:pPr>
      <w:r>
        <w:t>4.1 A级供应商管理策略</w:t>
      </w:r>
    </w:p>
    <w:p>
      <w:pPr>
        <w:spacing w:before="60" w:after="120" w:line="360" w:lineRule="auto"/>
        <w:jc w:val="both"/>
      </w:pPr>
      <w:r>
        <w:rPr>
          <w:rFonts w:ascii="SimSun" w:hAnsi="SimSun" w:eastAsia="黑体"/>
          <w:b/>
          <w:sz w:val="24"/>
        </w:rPr>
        <w:t>管理定位：</w:t>
      </w:r>
      <w:r>
        <w:rPr>
          <w:rFonts w:ascii="SimSun" w:hAnsi="SimSun" w:eastAsia="宋体"/>
          <w:b w:val="0"/>
          <w:sz w:val="24"/>
        </w:rPr>
        <w:t>战略合作伙伴 — 少管多给，用信任和机会绑定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150"/>
        <w:gridCol w:w="4150"/>
      </w:tblGrid>
      <w:tr>
        <w:tc>
          <w:tcPr>
            <w:tcW w:type="dxa" w:w="4150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管理维度</w:t>
            </w:r>
          </w:p>
        </w:tc>
        <w:tc>
          <w:tcPr>
            <w:tcW w:type="dxa" w:w="4150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具体措施</w:t>
            </w:r>
          </w:p>
        </w:tc>
      </w:tr>
      <w:tr>
        <w:tc>
          <w:tcPr>
            <w:tcW w:type="dxa" w:w="415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Hei" w:hAnsi="SimHei" w:eastAsia="宋体"/>
                <w:b/>
                <w:sz w:val="18"/>
              </w:rPr>
              <w:t>分量策略</w:t>
            </w:r>
          </w:p>
        </w:tc>
        <w:tc>
          <w:tcPr>
            <w:tcW w:type="dxa" w:w="4150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b w:val="0"/>
                <w:sz w:val="18"/>
              </w:rPr>
              <w:t>分量优先倾斜，新项目优先准入，单项目配额可放宽至40%上限</w:t>
            </w:r>
          </w:p>
        </w:tc>
      </w:tr>
      <w:tr>
        <w:tc>
          <w:tcPr>
            <w:tcW w:type="dxa" w:w="415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Hei" w:hAnsi="SimHei" w:eastAsia="宋体"/>
                <w:b/>
                <w:sz w:val="18"/>
              </w:rPr>
              <w:t>沟通频率</w:t>
            </w:r>
          </w:p>
        </w:tc>
        <w:tc>
          <w:tcPr>
            <w:tcW w:type="dxa" w:w="4150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b w:val="0"/>
                <w:sz w:val="18"/>
              </w:rPr>
              <w:t>月度正式沟通 + 季度战略对话</w:t>
            </w:r>
          </w:p>
        </w:tc>
      </w:tr>
      <w:tr>
        <w:tc>
          <w:tcPr>
            <w:tcW w:type="dxa" w:w="415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Hei" w:hAnsi="SimHei" w:eastAsia="宋体"/>
                <w:b/>
                <w:sz w:val="18"/>
              </w:rPr>
              <w:t>质检频次</w:t>
            </w:r>
          </w:p>
        </w:tc>
        <w:tc>
          <w:tcPr>
            <w:tcW w:type="dxa" w:w="4150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b w:val="0"/>
                <w:sz w:val="18"/>
              </w:rPr>
              <w:t>下调至50%（信任替代检查）</w:t>
            </w:r>
          </w:p>
        </w:tc>
      </w:tr>
      <w:tr>
        <w:tc>
          <w:tcPr>
            <w:tcW w:type="dxa" w:w="415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Hei" w:hAnsi="SimHei" w:eastAsia="宋体"/>
                <w:b/>
                <w:sz w:val="18"/>
              </w:rPr>
              <w:t>结算政策</w:t>
            </w:r>
          </w:p>
        </w:tc>
        <w:tc>
          <w:tcPr>
            <w:tcW w:type="dxa" w:w="4150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b w:val="0"/>
                <w:sz w:val="18"/>
              </w:rPr>
              <w:t>结算账期优惠</w:t>
            </w:r>
          </w:p>
        </w:tc>
      </w:tr>
      <w:tr>
        <w:tc>
          <w:tcPr>
            <w:tcW w:type="dxa" w:w="415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Hei" w:hAnsi="SimHei" w:eastAsia="宋体"/>
                <w:b/>
                <w:sz w:val="18"/>
              </w:rPr>
              <w:t>激励措施</w:t>
            </w:r>
          </w:p>
        </w:tc>
        <w:tc>
          <w:tcPr>
            <w:tcW w:type="dxa" w:w="4150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b w:val="0"/>
                <w:sz w:val="18"/>
              </w:rPr>
              <w:t>年度优秀供应商优先推荐、联合创新试点资格</w:t>
            </w:r>
          </w:p>
        </w:tc>
      </w:tr>
      <w:tr>
        <w:tc>
          <w:tcPr>
            <w:tcW w:type="dxa" w:w="415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Hei" w:hAnsi="SimHei" w:eastAsia="宋体"/>
                <w:b/>
                <w:sz w:val="18"/>
              </w:rPr>
              <w:t>豁免政策</w:t>
            </w:r>
          </w:p>
        </w:tc>
        <w:tc>
          <w:tcPr>
            <w:tcW w:type="dxa" w:w="4150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b w:val="0"/>
                <w:sz w:val="18"/>
              </w:rPr>
              <w:t>豁免常规整改通知（问题直接沟通，不发正式文书）</w:t>
            </w:r>
          </w:p>
        </w:tc>
      </w:tr>
    </w:tbl>
    <w:p>
      <w:pPr>
        <w:spacing w:before="0" w:after="120"/>
      </w:pPr>
    </w:p>
    <w:p>
      <w:pPr>
        <w:spacing w:before="60" w:after="60" w:line="360" w:lineRule="auto"/>
        <w:jc w:val="both"/>
      </w:pPr>
      <w:r>
        <w:rPr>
          <w:rFonts w:ascii="SimSun" w:hAnsi="SimSun" w:eastAsia="黑体"/>
          <w:b/>
          <w:sz w:val="24"/>
        </w:rPr>
        <w:t>管理动作清单：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1. 月度经营回顾会议（30分钟，聚焦数据和机会）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2. 季度战略合作对话（对齐半年目标、探讨新合作模式）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3. 季度评分结果一对一反馈（肯定成绩，指出潜在风险）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4. 年度联合规划（次年的目标、投入、预期收益）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5. 异常事件快速响应通道（专属对接人，2小时内响应）</w:t>
      </w:r>
    </w:p>
    <w:p>
      <w:pPr>
        <w:spacing w:before="0" w:after="120"/>
      </w:pPr>
    </w:p>
    <w:p>
      <w:pPr>
        <w:pStyle w:val="Heading2"/>
      </w:pPr>
      <w:r>
        <w:t>4.2 B级供应商管理策略</w:t>
      </w:r>
    </w:p>
    <w:p>
      <w:pPr>
        <w:spacing w:before="60" w:after="120" w:line="360" w:lineRule="auto"/>
        <w:jc w:val="both"/>
      </w:pPr>
      <w:r>
        <w:rPr>
          <w:rFonts w:ascii="SimSun" w:hAnsi="SimSun" w:eastAsia="黑体"/>
          <w:b/>
          <w:sz w:val="24"/>
        </w:rPr>
        <w:t>管理定位：</w:t>
      </w:r>
      <w:r>
        <w:rPr>
          <w:rFonts w:ascii="SimSun" w:hAnsi="SimSun" w:eastAsia="宋体"/>
          <w:b w:val="0"/>
          <w:sz w:val="24"/>
        </w:rPr>
        <w:t>稳定合作方 — 常规管理 + 定向辅导，促其向上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150"/>
        <w:gridCol w:w="4150"/>
      </w:tblGrid>
      <w:tr>
        <w:tc>
          <w:tcPr>
            <w:tcW w:type="dxa" w:w="4150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管理维度</w:t>
            </w:r>
          </w:p>
        </w:tc>
        <w:tc>
          <w:tcPr>
            <w:tcW w:type="dxa" w:w="4150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具体措施</w:t>
            </w:r>
          </w:p>
        </w:tc>
      </w:tr>
      <w:tr>
        <w:tc>
          <w:tcPr>
            <w:tcW w:type="dxa" w:w="415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Hei" w:hAnsi="SimHei" w:eastAsia="宋体"/>
                <w:b/>
                <w:sz w:val="18"/>
              </w:rPr>
              <w:t>分量策略</w:t>
            </w:r>
          </w:p>
        </w:tc>
        <w:tc>
          <w:tcPr>
            <w:tcW w:type="dxa" w:w="4150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b w:val="0"/>
                <w:sz w:val="18"/>
              </w:rPr>
              <w:t>分量维持稳定，单项目配额20%-30%</w:t>
            </w:r>
          </w:p>
        </w:tc>
      </w:tr>
      <w:tr>
        <w:tc>
          <w:tcPr>
            <w:tcW w:type="dxa" w:w="415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Hei" w:hAnsi="SimHei" w:eastAsia="宋体"/>
                <w:b/>
                <w:sz w:val="18"/>
              </w:rPr>
              <w:t>沟通频率</w:t>
            </w:r>
          </w:p>
        </w:tc>
        <w:tc>
          <w:tcPr>
            <w:tcW w:type="dxa" w:w="4150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b w:val="0"/>
                <w:sz w:val="18"/>
              </w:rPr>
              <w:t>双周正式沟通 + 月度评分反馈</w:t>
            </w:r>
          </w:p>
        </w:tc>
      </w:tr>
      <w:tr>
        <w:tc>
          <w:tcPr>
            <w:tcW w:type="dxa" w:w="415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Hei" w:hAnsi="SimHei" w:eastAsia="宋体"/>
                <w:b/>
                <w:sz w:val="18"/>
              </w:rPr>
              <w:t>质检频次</w:t>
            </w:r>
          </w:p>
        </w:tc>
        <w:tc>
          <w:tcPr>
            <w:tcW w:type="dxa" w:w="4150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b w:val="0"/>
                <w:sz w:val="18"/>
              </w:rPr>
              <w:t>正常（100%覆盖）</w:t>
            </w:r>
          </w:p>
        </w:tc>
      </w:tr>
      <w:tr>
        <w:tc>
          <w:tcPr>
            <w:tcW w:type="dxa" w:w="415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Hei" w:hAnsi="SimHei" w:eastAsia="宋体"/>
                <w:b/>
                <w:sz w:val="18"/>
              </w:rPr>
              <w:t>升级通道</w:t>
            </w:r>
          </w:p>
        </w:tc>
        <w:tc>
          <w:tcPr>
            <w:tcW w:type="dxa" w:w="4150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b w:val="0"/>
                <w:sz w:val="18"/>
              </w:rPr>
              <w:t>连续两期排名进入前30%自动升A级</w:t>
            </w:r>
          </w:p>
        </w:tc>
      </w:tr>
      <w:tr>
        <w:tc>
          <w:tcPr>
            <w:tcW w:type="dxa" w:w="415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Hei" w:hAnsi="SimHei" w:eastAsia="宋体"/>
                <w:b/>
                <w:sz w:val="18"/>
              </w:rPr>
              <w:t>预警机制</w:t>
            </w:r>
          </w:p>
        </w:tc>
        <w:tc>
          <w:tcPr>
            <w:tcW w:type="dxa" w:w="4150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b w:val="0"/>
                <w:sz w:val="18"/>
              </w:rPr>
              <w:t>连续两期跌入后30%触发预警谈话</w:t>
            </w:r>
          </w:p>
        </w:tc>
      </w:tr>
    </w:tbl>
    <w:p>
      <w:pPr>
        <w:spacing w:before="0" w:after="120"/>
      </w:pPr>
    </w:p>
    <w:p>
      <w:pPr>
        <w:spacing w:before="60" w:after="60" w:line="360" w:lineRule="auto"/>
        <w:jc w:val="both"/>
      </w:pPr>
      <w:r>
        <w:rPr>
          <w:rFonts w:ascii="SimSun" w:hAnsi="SimSun" w:eastAsia="黑体"/>
          <w:b/>
          <w:sz w:val="24"/>
        </w:rPr>
        <w:t>管理动作清单：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1. 双周运营回顾（检查关键指标、进度、问题）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2. 月度评分反馈（书面通知，标注各维度得分和排名变化）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3. 季度能力提升计划（针对弱项制定改进措施，跟踪执行）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4. 半年度综合评估（趋势分析：连续上升/下降/平稳）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5. 风险预警机制（排名连续下滑时提前介入）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6. 弱项专项辅导（质检差安排培训、配合度差约谈负责人）</w:t>
      </w:r>
    </w:p>
    <w:p>
      <w:pPr>
        <w:spacing w:before="0" w:after="120"/>
      </w:pPr>
    </w:p>
    <w:p>
      <w:pPr>
        <w:pStyle w:val="Heading2"/>
      </w:pPr>
      <w:r>
        <w:t>4.3 C级供应商管理策略</w:t>
      </w:r>
    </w:p>
    <w:p>
      <w:pPr>
        <w:spacing w:before="60" w:after="120" w:line="360" w:lineRule="auto"/>
        <w:jc w:val="both"/>
      </w:pPr>
      <w:r>
        <w:rPr>
          <w:rFonts w:ascii="SimSun" w:hAnsi="SimSun" w:eastAsia="黑体"/>
          <w:b/>
          <w:sz w:val="24"/>
        </w:rPr>
        <w:t>管理定位：</w:t>
      </w:r>
      <w:r>
        <w:rPr>
          <w:rFonts w:ascii="SimSun" w:hAnsi="SimSun" w:eastAsia="宋体"/>
          <w:b w:val="0"/>
          <w:sz w:val="24"/>
        </w:rPr>
        <w:t>重点管控对象 — 重管严控，限期改善，否则退出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150"/>
        <w:gridCol w:w="4150"/>
      </w:tblGrid>
      <w:tr>
        <w:tc>
          <w:tcPr>
            <w:tcW w:type="dxa" w:w="4150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管理维度</w:t>
            </w:r>
          </w:p>
        </w:tc>
        <w:tc>
          <w:tcPr>
            <w:tcW w:type="dxa" w:w="4150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具体措施</w:t>
            </w:r>
          </w:p>
        </w:tc>
      </w:tr>
      <w:tr>
        <w:tc>
          <w:tcPr>
            <w:tcW w:type="dxa" w:w="415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Hei" w:hAnsi="SimHei" w:eastAsia="宋体"/>
                <w:b/>
                <w:sz w:val="18"/>
              </w:rPr>
              <w:t>分量策略</w:t>
            </w:r>
          </w:p>
        </w:tc>
        <w:tc>
          <w:tcPr>
            <w:tcW w:type="dxa" w:w="4150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b w:val="0"/>
                <w:sz w:val="18"/>
              </w:rPr>
              <w:t>分量严格压缩，存量配额降至15%以下，核心业务逐步剥离</w:t>
            </w:r>
          </w:p>
        </w:tc>
      </w:tr>
      <w:tr>
        <w:tc>
          <w:tcPr>
            <w:tcW w:type="dxa" w:w="415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Hei" w:hAnsi="SimHei" w:eastAsia="宋体"/>
                <w:b/>
                <w:sz w:val="18"/>
              </w:rPr>
              <w:t>新项目</w:t>
            </w:r>
          </w:p>
        </w:tc>
        <w:tc>
          <w:tcPr>
            <w:tcW w:type="dxa" w:w="4150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b w:val="0"/>
                <w:sz w:val="18"/>
              </w:rPr>
              <w:t>全面暂停准入</w:t>
            </w:r>
          </w:p>
        </w:tc>
      </w:tr>
      <w:tr>
        <w:tc>
          <w:tcPr>
            <w:tcW w:type="dxa" w:w="415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Hei" w:hAnsi="SimHei" w:eastAsia="宋体"/>
                <w:b/>
                <w:sz w:val="18"/>
              </w:rPr>
              <w:t>沟通频率</w:t>
            </w:r>
          </w:p>
        </w:tc>
        <w:tc>
          <w:tcPr>
            <w:tcW w:type="dxa" w:w="4150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b w:val="0"/>
                <w:sz w:val="18"/>
              </w:rPr>
              <w:t>周度正式沟通 + 日度数据跟踪</w:t>
            </w:r>
          </w:p>
        </w:tc>
      </w:tr>
      <w:tr>
        <w:tc>
          <w:tcPr>
            <w:tcW w:type="dxa" w:w="415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Hei" w:hAnsi="SimHei" w:eastAsia="宋体"/>
                <w:b/>
                <w:sz w:val="18"/>
              </w:rPr>
              <w:t>质检频次</w:t>
            </w:r>
          </w:p>
        </w:tc>
        <w:tc>
          <w:tcPr>
            <w:tcW w:type="dxa" w:w="4150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b w:val="0"/>
                <w:sz w:val="18"/>
              </w:rPr>
              <w:t>翻倍（200%覆盖，重点抽查）</w:t>
            </w:r>
          </w:p>
        </w:tc>
      </w:tr>
      <w:tr>
        <w:tc>
          <w:tcPr>
            <w:tcW w:type="dxa" w:w="415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Hei" w:hAnsi="SimHei" w:eastAsia="宋体"/>
                <w:b/>
                <w:sz w:val="18"/>
              </w:rPr>
              <w:t>结算政策</w:t>
            </w:r>
          </w:p>
        </w:tc>
        <w:tc>
          <w:tcPr>
            <w:tcW w:type="dxa" w:w="4150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b w:val="0"/>
                <w:sz w:val="18"/>
              </w:rPr>
              <w:t>结算账期延长（改善后恢复）</w:t>
            </w:r>
          </w:p>
        </w:tc>
      </w:tr>
      <w:tr>
        <w:tc>
          <w:tcPr>
            <w:tcW w:type="dxa" w:w="415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Hei" w:hAnsi="SimHei" w:eastAsia="宋体"/>
                <w:b/>
                <w:sz w:val="18"/>
              </w:rPr>
              <w:t>强制措施</w:t>
            </w:r>
          </w:p>
        </w:tc>
        <w:tc>
          <w:tcPr>
            <w:tcW w:type="dxa" w:w="4150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b w:val="0"/>
                <w:sz w:val="18"/>
              </w:rPr>
              <w:t>强制进入PIP流程（1个月改善期）</w:t>
            </w:r>
          </w:p>
        </w:tc>
      </w:tr>
    </w:tbl>
    <w:p>
      <w:pPr>
        <w:spacing w:before="0" w:after="120"/>
      </w:pPr>
    </w:p>
    <w:p>
      <w:pPr>
        <w:spacing w:before="60" w:after="60" w:line="360" w:lineRule="auto"/>
        <w:jc w:val="both"/>
      </w:pPr>
      <w:r>
        <w:rPr>
          <w:rFonts w:ascii="SimSun" w:hAnsi="SimSun" w:eastAsia="黑体"/>
          <w:b/>
          <w:sz w:val="24"/>
        </w:rPr>
        <w:t>管理动作清单：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1. 周度改善进度会（对照PIP目标逐项检查，形成书面纪要）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2. 日度数据跟踪（业绩、质检、合规关键指标日报）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3. 供应商负责人约谈（C级确认后3个工作日内完成）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4. 根因分析报告（要求供应商5个工作日内提交）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5. 改善计划审核（审核供应商提交的改善方案是否可行）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6. 风险预案准备（同步准备替代供应商）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7. 存量项目风险评估（评估交接难度和风险点）</w:t>
      </w:r>
    </w:p>
    <w:p>
      <w:r>
        <w:br w:type="page"/>
      </w:r>
    </w:p>
    <w:p>
      <w:pPr>
        <w:pStyle w:val="Heading1"/>
      </w:pPr>
      <w:r>
        <w:t>第五章 PIP（绩效改进计划）</w:t>
      </w:r>
    </w:p>
    <w:p>
      <w:pPr>
        <w:pStyle w:val="Heading2"/>
      </w:pPr>
      <w:r>
        <w:t>5.1 触发条件</w:t>
      </w:r>
    </w:p>
    <w:p>
      <w:pPr>
        <w:spacing w:before="60" w:after="60" w:line="360" w:lineRule="auto"/>
        <w:jc w:val="both"/>
      </w:pPr>
      <w:r>
        <w:rPr>
          <w:rFonts w:ascii="SimSun" w:hAnsi="SimSun" w:eastAsia="宋体"/>
          <w:b w:val="0"/>
          <w:sz w:val="24"/>
        </w:rPr>
        <w:t>季度评分落入C级（排名后30%）即自动触发PIP，无需额外审批。</w:t>
      </w:r>
    </w:p>
    <w:p>
      <w:pPr>
        <w:pStyle w:val="Heading2"/>
      </w:pPr>
      <w:r>
        <w:t>5.2 PIP流程（30个自然日）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阶段</w:t>
            </w:r>
          </w:p>
        </w:tc>
        <w:tc>
          <w:tcPr>
            <w:tcW w:type="dxa" w:w="2767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时间</w:t>
            </w:r>
          </w:p>
        </w:tc>
        <w:tc>
          <w:tcPr>
            <w:tcW w:type="dxa" w:w="2767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核心动作</w:t>
            </w:r>
          </w:p>
        </w:tc>
      </w:tr>
      <w:tr>
        <w:tc>
          <w:tcPr>
            <w:tcW w:type="dxa" w:w="2767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启动与根因诊断</w:t>
            </w:r>
          </w:p>
        </w:tc>
        <w:tc>
          <w:tcPr>
            <w:tcW w:type="dxa" w:w="2767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第1-3天</w:t>
            </w:r>
          </w:p>
        </w:tc>
        <w:tc>
          <w:tcPr>
            <w:tcW w:type="dxa" w:w="2767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发出PIP通知书、召开启动会、根因诊断、确定改善目标、签署确认书</w:t>
            </w:r>
          </w:p>
        </w:tc>
      </w:tr>
      <w:tr>
        <w:tc>
          <w:tcPr>
            <w:tcW w:type="dxa" w:w="2767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改善计划制定</w:t>
            </w:r>
          </w:p>
        </w:tc>
        <w:tc>
          <w:tcPr>
            <w:tcW w:type="dxa" w:w="2767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第4-7天</w:t>
            </w:r>
          </w:p>
        </w:tc>
        <w:tc>
          <w:tcPr>
            <w:tcW w:type="dxa" w:w="2767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供应商提交改善计划、我方审核、确认最终版、分量压缩、建立日度跟踪</w:t>
            </w:r>
          </w:p>
        </w:tc>
      </w:tr>
      <w:tr>
        <w:tc>
          <w:tcPr>
            <w:tcW w:type="dxa" w:w="2767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密集执行跟踪</w:t>
            </w:r>
          </w:p>
        </w:tc>
        <w:tc>
          <w:tcPr>
            <w:tcW w:type="dxa" w:w="2767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第8-21天</w:t>
            </w:r>
          </w:p>
        </w:tc>
        <w:tc>
          <w:tcPr>
            <w:tcW w:type="dxa" w:w="2767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周度改善会、日度指标跟踪、过程纠偏、中期评估、保留改善证据</w:t>
            </w:r>
          </w:p>
        </w:tc>
      </w:tr>
      <w:tr>
        <w:tc>
          <w:tcPr>
            <w:tcW w:type="dxa" w:w="2767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终期评估</w:t>
            </w:r>
          </w:p>
        </w:tc>
        <w:tc>
          <w:tcPr>
            <w:tcW w:type="dxa" w:w="2767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第22-28天</w:t>
            </w:r>
          </w:p>
        </w:tc>
        <w:tc>
          <w:tcPr>
            <w:tcW w:type="dxa" w:w="2767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期末评分、改善效果对比、综合判断、编写评估报告</w:t>
            </w:r>
          </w:p>
        </w:tc>
      </w:tr>
      <w:tr>
        <w:tc>
          <w:tcPr>
            <w:tcW w:type="dxa" w:w="2767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结果判定执行</w:t>
            </w:r>
          </w:p>
        </w:tc>
        <w:tc>
          <w:tcPr>
            <w:tcW w:type="dxa" w:w="2767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Sun" w:hAnsi="SimSun" w:eastAsia="宋体"/>
                <w:sz w:val="18"/>
              </w:rPr>
              <w:t>第29-30天</w:t>
            </w:r>
          </w:p>
        </w:tc>
        <w:tc>
          <w:tcPr>
            <w:tcW w:type="dxa" w:w="2767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输出判定结果、正式通报、执行对应措施、归档全流程文档</w:t>
            </w:r>
          </w:p>
        </w:tc>
      </w:tr>
    </w:tbl>
    <w:p>
      <w:pPr>
        <w:spacing w:before="0" w:after="120"/>
      </w:pPr>
    </w:p>
    <w:p>
      <w:pPr>
        <w:pStyle w:val="Heading2"/>
      </w:pPr>
      <w:r>
        <w:t>5.3 改进目标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总分提升≥10分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核心失分项（导致C级的维度）改善≥50%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排名脱离后30% 或 评分绝对值≥70分</w:t>
      </w:r>
    </w:p>
    <w:p>
      <w:pPr>
        <w:spacing w:before="0" w:after="120"/>
      </w:pPr>
    </w:p>
    <w:p>
      <w:pPr>
        <w:pStyle w:val="Heading2"/>
      </w:pPr>
      <w:r>
        <w:t>5.4 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结果</w:t>
            </w:r>
          </w:p>
        </w:tc>
        <w:tc>
          <w:tcPr>
            <w:tcW w:type="dxa" w:w="2767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条件</w:t>
            </w:r>
          </w:p>
        </w:tc>
        <w:tc>
          <w:tcPr>
            <w:tcW w:type="dxa" w:w="2767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处理</w:t>
            </w:r>
          </w:p>
        </w:tc>
      </w:tr>
      <w:tr>
        <w:tc>
          <w:tcPr>
            <w:tcW w:type="dxa" w:w="2767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通过</w:t>
            </w:r>
          </w:p>
        </w:tc>
        <w:tc>
          <w:tcPr>
            <w:tcW w:type="dxa" w:w="2767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期末评分≥70分 且 排名脱离后30% 且 核心失分项改善≥50%</w:t>
            </w:r>
          </w:p>
        </w:tc>
        <w:tc>
          <w:tcPr>
            <w:tcW w:type="dxa" w:w="2767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解除PIP，升级为B级</w:t>
            </w:r>
          </w:p>
        </w:tc>
      </w:tr>
      <w:tr>
        <w:tc>
          <w:tcPr>
            <w:tcW w:type="dxa" w:w="2767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有条件通过</w:t>
            </w:r>
          </w:p>
        </w:tc>
        <w:tc>
          <w:tcPr>
            <w:tcW w:type="dxa" w:w="2767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期末评分60-69分 或 核心失分项改善未达50%</w:t>
            </w:r>
          </w:p>
        </w:tc>
        <w:tc>
          <w:tcPr>
            <w:tcW w:type="dxa" w:w="2767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延长1个月观察期</w:t>
            </w:r>
          </w:p>
        </w:tc>
      </w:tr>
      <w:tr>
        <w:tc>
          <w:tcPr>
            <w:tcW w:type="dxa" w:w="2767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不通过</w:t>
            </w:r>
          </w:p>
        </w:tc>
        <w:tc>
          <w:tcPr>
            <w:tcW w:type="dxa" w:w="2767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期末评分&lt;60分 或 评分提升&lt;5分 或 拒绝执行</w:t>
            </w:r>
          </w:p>
        </w:tc>
        <w:tc>
          <w:tcPr>
            <w:tcW w:type="dxa" w:w="2767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启动退出流程</w:t>
            </w:r>
          </w:p>
        </w:tc>
      </w:tr>
    </w:tbl>
    <w:p>
      <w:pPr>
        <w:spacing w:before="0" w:after="120"/>
      </w:pPr>
    </w:p>
    <w:p>
      <w:pPr>
        <w:pStyle w:val="Heading2"/>
      </w:pPr>
      <w:r>
        <w:t>5.5 PIP结果执行</w:t>
      </w:r>
    </w:p>
    <w:p>
      <w:pPr>
        <w:spacing w:before="60" w:after="60" w:line="360" w:lineRule="auto"/>
        <w:jc w:val="both"/>
      </w:pPr>
      <w:r>
        <w:rPr>
          <w:rFonts w:ascii="SimSun" w:hAnsi="SimSun" w:eastAsia="黑体"/>
          <w:b/>
          <w:sz w:val="24"/>
        </w:rPr>
        <w:t>通过：</w:t>
      </w:r>
      <w:r>
        <w:rPr>
          <w:rFonts w:ascii="SimSun" w:hAnsi="SimSun" w:eastAsia="宋体"/>
          <w:b w:val="0"/>
          <w:sz w:val="24"/>
        </w:rPr>
        <w:t>解除PIP，升级为B级管理策略，分量逐步恢复，次月恢复正常质检频次。</w:t>
      </w:r>
    </w:p>
    <w:p>
      <w:pPr>
        <w:spacing w:before="60" w:after="60" w:line="360" w:lineRule="auto"/>
        <w:jc w:val="both"/>
      </w:pPr>
      <w:r>
        <w:rPr>
          <w:rFonts w:ascii="SimSun" w:hAnsi="SimSun" w:eastAsia="黑体"/>
          <w:b/>
          <w:sz w:val="24"/>
        </w:rPr>
        <w:t>有条件通过：</w:t>
      </w:r>
      <w:r>
        <w:rPr>
          <w:rFonts w:ascii="SimSun" w:hAnsi="SimSun" w:eastAsia="宋体"/>
          <w:b w:val="0"/>
          <w:sz w:val="24"/>
        </w:rPr>
        <w:t>延长1个月观察期，观察期内按B-管理（分量恢复50%、双周沟通），观察期末达标则正式升B，不达标则降回C并启动清退评估。</w:t>
      </w:r>
    </w:p>
    <w:p>
      <w:pPr>
        <w:spacing w:before="60" w:after="40" w:line="360" w:lineRule="auto"/>
        <w:jc w:val="both"/>
      </w:pPr>
      <w:r>
        <w:rPr>
          <w:rFonts w:ascii="SimSun" w:hAnsi="SimSun" w:eastAsia="黑体"/>
          <w:b/>
          <w:sz w:val="24"/>
        </w:rPr>
        <w:t>不通过：</w:t>
      </w:r>
      <w:r>
        <w:rPr>
          <w:rFonts w:ascii="SimSun" w:hAnsi="SimSun" w:eastAsia="宋体"/>
          <w:b w:val="0"/>
          <w:sz w:val="24"/>
        </w:rPr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1. 约谈供应商高管，明确告知公司制度和行业影响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2. 给予7天考虑期，引导主动退出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3. 若7天内未主动退出，正式启动清退流程（30天内完成）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4. 该供应商6个月内不接受重新准入</w:t>
      </w:r>
    </w:p>
    <w:p>
      <w:r>
        <w:br w:type="page"/>
      </w:r>
    </w:p>
    <w:p>
      <w:pPr>
        <w:pStyle w:val="Heading1"/>
      </w:pPr>
      <w:r>
        <w:t>第六章 特殊场景处理</w:t>
      </w:r>
    </w:p>
    <w:p>
      <w:pPr>
        <w:pStyle w:val="Heading2"/>
      </w:pPr>
      <w:r>
        <w:t>6.1 新准入供应商</w:t>
      </w:r>
    </w:p>
    <w:p>
      <w:pPr>
        <w:spacing w:before="60" w:after="60" w:line="360" w:lineRule="auto"/>
        <w:jc w:val="both"/>
      </w:pPr>
      <w:r>
        <w:rPr>
          <w:rFonts w:ascii="SimSun" w:hAnsi="SimSun" w:eastAsia="宋体"/>
          <w:b w:val="0"/>
          <w:sz w:val="24"/>
        </w:rPr>
        <w:t>新准入不足一个季度的供应商：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不纳入ABC分级，设置"观察期"管理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首个季度独立排名，不与存量供应商混排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观察期内按B-级标准管理（双周沟通、正常质检、分量从10%起步）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观察期末给出首次正式评分，参与下一次ABC分级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若观察期表现极差（首次评分低于50分），可直接启动退出流程</w:t>
      </w:r>
    </w:p>
    <w:p>
      <w:pPr>
        <w:spacing w:before="0" w:after="120"/>
      </w:pPr>
    </w:p>
    <w:p>
      <w:pPr>
        <w:pStyle w:val="Heading2"/>
      </w:pPr>
      <w:r>
        <w:t>6.2 连续两个季度C级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不再进入标准PIP流程，直接进入加速退出程序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第二次数确认为C级后3个工作日内发出"加速退出通知书"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给予5个工作日考虑期，引导主动退出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若5个工作日内未主动退出，立即启动正式清退（15天内完成）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该供应商永久不得重新准入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同时启动替代供应商遴选</w:t>
      </w:r>
    </w:p>
    <w:p>
      <w:pPr>
        <w:spacing w:before="0" w:after="120"/>
      </w:pPr>
    </w:p>
    <w:p>
      <w:pPr>
        <w:pStyle w:val="Heading2"/>
      </w:pPr>
      <w:r>
        <w:t>6.3 A级骤降至C级</w:t>
      </w:r>
    </w:p>
    <w:p>
      <w:pPr>
        <w:spacing w:before="60" w:after="60" w:line="360" w:lineRule="auto"/>
        <w:jc w:val="both"/>
      </w:pPr>
      <w:r>
        <w:rPr>
          <w:rFonts w:ascii="SimSun" w:hAnsi="SimSun" w:eastAsia="宋体"/>
          <w:b w:val="0"/>
          <w:sz w:val="24"/>
        </w:rPr>
        <w:t>属于重大异常事件，处理方式与常规C级不同：</w:t>
      </w:r>
    </w:p>
    <w:p>
      <w:pPr>
        <w:spacing w:before="60" w:after="60" w:line="360" w:lineRule="auto"/>
        <w:jc w:val="both"/>
      </w:pPr>
      <w:r>
        <w:rPr>
          <w:rFonts w:ascii="SimSun" w:hAnsi="SimSun" w:eastAsia="黑体"/>
          <w:b/>
          <w:sz w:val="24"/>
        </w:rPr>
        <w:t xml:space="preserve">1. </w:t>
      </w:r>
      <w:r>
        <w:rPr>
          <w:rFonts w:ascii="SimSun" w:hAnsi="SimSun" w:eastAsia="黑体"/>
          <w:b/>
          <w:sz w:val="24"/>
        </w:rPr>
        <w:t>立即启动异常诊断</w:t>
      </w:r>
      <w:r>
        <w:rPr>
          <w:rFonts w:ascii="SimSun" w:hAnsi="SimSun" w:eastAsia="宋体"/>
          <w:b w:val="0"/>
          <w:sz w:val="24"/>
        </w:rPr>
        <w:t>（5个工作日内完成根因分析）</w:t>
      </w:r>
    </w:p>
    <w:p>
      <w:pPr>
        <w:spacing w:before="60" w:after="40" w:line="360" w:lineRule="auto"/>
        <w:jc w:val="both"/>
      </w:pPr>
      <w:r>
        <w:rPr>
          <w:rFonts w:ascii="SimSun" w:hAnsi="SimSun" w:eastAsia="黑体"/>
          <w:b/>
          <w:sz w:val="24"/>
        </w:rPr>
        <w:t xml:space="preserve">2. </w:t>
      </w:r>
      <w:r>
        <w:rPr>
          <w:rFonts w:ascii="SimSun" w:hAnsi="SimSun" w:eastAsia="黑体"/>
          <w:b/>
          <w:sz w:val="24"/>
        </w:rPr>
        <w:t>区分原因</w:t>
      </w:r>
      <w:r>
        <w:rPr>
          <w:rFonts w:ascii="SimSun" w:hAnsi="SimSun" w:eastAsia="宋体"/>
          <w:b w:val="0"/>
          <w:sz w:val="24"/>
        </w:rPr>
        <w:t>：</w:t>
      </w:r>
    </w:p>
    <w:p>
      <w:pPr>
        <w:spacing w:before="40" w:after="40" w:line="360" w:lineRule="auto"/>
        <w:ind w:left="992"/>
      </w:pPr>
      <w:r>
        <w:rPr>
          <w:rFonts w:ascii="SimSun" w:hAnsi="SimSun" w:eastAsia="宋体"/>
          <w:sz w:val="24"/>
        </w:rPr>
        <w:t>系统性原因（项目调整、政策变化、人员大规模流失）→ 给予"保护期"1个月，保护期内不压缩分量、不启动PIP</w:t>
      </w:r>
    </w:p>
    <w:p>
      <w:pPr>
        <w:spacing w:before="40" w:after="40" w:line="360" w:lineRule="auto"/>
        <w:ind w:left="992"/>
      </w:pPr>
      <w:r>
        <w:rPr>
          <w:rFonts w:ascii="SimSun" w:hAnsi="SimSun" w:eastAsia="宋体"/>
          <w:sz w:val="24"/>
        </w:rPr>
        <w:t>供应商自身原因（管理懈怠、配合度下降、战略转移）→ 给予"警告期"2周，高管层面约谈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3. 必须向上级（王易人）报备，部门内通报（不点名）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4. 恢复机制：恢复正常后不直接回A级，先降至B级观察1个季度</w:t>
      </w:r>
    </w:p>
    <w:p>
      <w:r>
        <w:br w:type="page"/>
      </w:r>
    </w:p>
    <w:p>
      <w:pPr>
        <w:pStyle w:val="Heading1"/>
      </w:pPr>
      <w:r>
        <w:t>第七章 与现有机制的衔接</w:t>
      </w:r>
    </w:p>
    <w:p>
      <w:pPr>
        <w:pStyle w:val="Heading2"/>
      </w:pPr>
      <w:r>
        <w:t>7.1 与赛马排名的对接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150"/>
        <w:gridCol w:w="4150"/>
      </w:tblGrid>
      <w:tr>
        <w:tc>
          <w:tcPr>
            <w:tcW w:type="dxa" w:w="4150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机制</w:t>
            </w:r>
          </w:p>
        </w:tc>
        <w:tc>
          <w:tcPr>
            <w:tcW w:type="dxa" w:w="4150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对接方式</w:t>
            </w:r>
          </w:p>
        </w:tc>
      </w:tr>
      <w:tr>
        <w:tc>
          <w:tcPr>
            <w:tcW w:type="dxa" w:w="415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Hei" w:hAnsi="SimHei" w:eastAsia="宋体"/>
                <w:b/>
                <w:sz w:val="18"/>
              </w:rPr>
              <w:t>数据共享</w:t>
            </w:r>
          </w:p>
        </w:tc>
        <w:tc>
          <w:tcPr>
            <w:tcW w:type="dxa" w:w="4150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b w:val="0"/>
                <w:sz w:val="18"/>
              </w:rPr>
              <w:t>赛马4维度数据直接映射到100分体系对应细项，避免重复打分</w:t>
            </w:r>
          </w:p>
        </w:tc>
      </w:tr>
      <w:tr>
        <w:tc>
          <w:tcPr>
            <w:tcW w:type="dxa" w:w="415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Hei" w:hAnsi="SimHei" w:eastAsia="宋体"/>
                <w:b/>
                <w:sz w:val="18"/>
              </w:rPr>
              <w:t>趋势联动</w:t>
            </w:r>
          </w:p>
        </w:tc>
        <w:tc>
          <w:tcPr>
            <w:tcW w:type="dxa" w:w="4150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b w:val="0"/>
                <w:sz w:val="18"/>
              </w:rPr>
              <w:t>赛马排名连续2期垫底，即使总分未到C级线，也触发预警谈话</w:t>
            </w:r>
          </w:p>
        </w:tc>
      </w:tr>
      <w:tr>
        <w:tc>
          <w:tcPr>
            <w:tcW w:type="dxa" w:w="415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Hei" w:hAnsi="SimHei" w:eastAsia="宋体"/>
                <w:b/>
                <w:sz w:val="18"/>
              </w:rPr>
              <w:t>快速通道</w:t>
            </w:r>
          </w:p>
        </w:tc>
        <w:tc>
          <w:tcPr>
            <w:tcW w:type="dxa" w:w="4150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b w:val="0"/>
                <w:sz w:val="18"/>
              </w:rPr>
              <w:t>赛马排名连续2期第一，总分在A级临界值附近（前35%），可破格升A</w:t>
            </w:r>
          </w:p>
        </w:tc>
      </w:tr>
    </w:tbl>
    <w:p>
      <w:pPr>
        <w:spacing w:before="0" w:after="120"/>
      </w:pPr>
    </w:p>
    <w:p>
      <w:pPr>
        <w:pStyle w:val="Heading2"/>
      </w:pPr>
      <w:r>
        <w:t>7.2 与集中度管控的对接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150"/>
        <w:gridCol w:w="4150"/>
      </w:tblGrid>
      <w:tr>
        <w:tc>
          <w:tcPr>
            <w:tcW w:type="dxa" w:w="4150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级别</w:t>
            </w:r>
          </w:p>
        </w:tc>
        <w:tc>
          <w:tcPr>
            <w:tcW w:type="dxa" w:w="4150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单项目配额上限</w:t>
            </w:r>
          </w:p>
        </w:tc>
      </w:tr>
      <w:tr>
        <w:tc>
          <w:tcPr>
            <w:tcW w:type="dxa" w:w="415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Hei" w:hAnsi="SimHei" w:eastAsia="宋体"/>
                <w:b/>
                <w:sz w:val="18"/>
              </w:rPr>
              <w:t>A级</w:t>
            </w:r>
          </w:p>
        </w:tc>
        <w:tc>
          <w:tcPr>
            <w:tcW w:type="dxa" w:w="4150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b w:val="0"/>
                <w:sz w:val="18"/>
              </w:rPr>
              <w:t>35%-40%（接近上限作为激励）</w:t>
            </w:r>
          </w:p>
        </w:tc>
      </w:tr>
      <w:tr>
        <w:tc>
          <w:tcPr>
            <w:tcW w:type="dxa" w:w="415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Hei" w:hAnsi="SimHei" w:eastAsia="宋体"/>
                <w:b/>
                <w:sz w:val="18"/>
              </w:rPr>
              <w:t>B级</w:t>
            </w:r>
          </w:p>
        </w:tc>
        <w:tc>
          <w:tcPr>
            <w:tcW w:type="dxa" w:w="4150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b w:val="0"/>
                <w:sz w:val="18"/>
              </w:rPr>
              <w:t>20%-30%</w:t>
            </w:r>
          </w:p>
        </w:tc>
      </w:tr>
      <w:tr>
        <w:tc>
          <w:tcPr>
            <w:tcW w:type="dxa" w:w="4150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SimHei" w:hAnsi="SimHei" w:eastAsia="宋体"/>
                <w:b/>
                <w:sz w:val="18"/>
              </w:rPr>
              <w:t>C级</w:t>
            </w:r>
          </w:p>
        </w:tc>
        <w:tc>
          <w:tcPr>
            <w:tcW w:type="dxa" w:w="4150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b w:val="0"/>
                <w:sz w:val="18"/>
              </w:rPr>
              <w:t>≤15%（强制压缩）</w:t>
            </w:r>
          </w:p>
        </w:tc>
      </w:tr>
    </w:tbl>
    <w:p>
      <w:pPr>
        <w:spacing w:before="0" w:after="120"/>
      </w:pPr>
    </w:p>
    <w:p>
      <w:pPr>
        <w:pStyle w:val="Heading2"/>
      </w:pPr>
      <w:r>
        <w:t>7.3 与清退流程的对接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触发条件</w:t>
            </w:r>
          </w:p>
        </w:tc>
        <w:tc>
          <w:tcPr>
            <w:tcW w:type="dxa" w:w="2767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清退周期</w:t>
            </w:r>
          </w:p>
        </w:tc>
        <w:tc>
          <w:tcPr>
            <w:tcW w:type="dxa" w:w="2767"/>
            <w:shd w:fill="1A1A2E" w:val="clear"/>
          </w:tcPr>
          <w:p>
            <w:pPr>
              <w:spacing w:before="40" w:after="40" w:line="312" w:lineRule="auto"/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 w:eastAsia="黑体"/>
                <w:b/>
                <w:sz w:val="18"/>
              </w:rPr>
              <w:t>备注</w:t>
            </w:r>
          </w:p>
        </w:tc>
      </w:tr>
      <w:tr>
        <w:tc>
          <w:tcPr>
            <w:tcW w:type="dxa" w:w="2767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PIP不通过+7天考虑期满</w:t>
            </w:r>
          </w:p>
        </w:tc>
        <w:tc>
          <w:tcPr>
            <w:tcW w:type="dxa" w:w="2767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30天</w:t>
            </w:r>
          </w:p>
        </w:tc>
        <w:tc>
          <w:tcPr>
            <w:tcW w:type="dxa" w:w="2767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标准清退</w:t>
            </w:r>
          </w:p>
        </w:tc>
      </w:tr>
      <w:tr>
        <w:tc>
          <w:tcPr>
            <w:tcW w:type="dxa" w:w="2767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连续两季度C级+5天考虑期满</w:t>
            </w:r>
          </w:p>
        </w:tc>
        <w:tc>
          <w:tcPr>
            <w:tcW w:type="dxa" w:w="2767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15天</w:t>
            </w:r>
          </w:p>
        </w:tc>
        <w:tc>
          <w:tcPr>
            <w:tcW w:type="dxa" w:w="2767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加速退出</w:t>
            </w:r>
          </w:p>
        </w:tc>
      </w:tr>
      <w:tr>
        <w:tc>
          <w:tcPr>
            <w:tcW w:type="dxa" w:w="2767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重大合规事故</w:t>
            </w:r>
          </w:p>
        </w:tc>
        <w:tc>
          <w:tcPr>
            <w:tcW w:type="dxa" w:w="2767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15天</w:t>
            </w:r>
          </w:p>
        </w:tc>
        <w:tc>
          <w:tcPr>
            <w:tcW w:type="dxa" w:w="2767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快速通道</w:t>
            </w:r>
          </w:p>
        </w:tc>
      </w:tr>
      <w:tr>
        <w:tc>
          <w:tcPr>
            <w:tcW w:type="dxa" w:w="2767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供应商主动申请</w:t>
            </w:r>
          </w:p>
        </w:tc>
        <w:tc>
          <w:tcPr>
            <w:tcW w:type="dxa" w:w="2767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30天</w:t>
            </w:r>
          </w:p>
        </w:tc>
        <w:tc>
          <w:tcPr>
            <w:tcW w:type="dxa" w:w="2767"/>
          </w:tcPr>
          <w:p>
            <w:pPr>
              <w:spacing w:before="40" w:after="40" w:line="312" w:lineRule="auto"/>
            </w:pPr>
            <w:r/>
            <w:r>
              <w:rPr>
                <w:rFonts w:ascii="SimSun" w:hAnsi="SimSun" w:eastAsia="宋体"/>
                <w:sz w:val="18"/>
              </w:rPr>
              <w:t>自愿退出</w:t>
            </w:r>
          </w:p>
        </w:tc>
      </w:tr>
    </w:tbl>
    <w:p>
      <w:r>
        <w:br w:type="page"/>
      </w:r>
    </w:p>
    <w:p>
      <w:pPr>
        <w:pStyle w:val="Heading1"/>
      </w:pPr>
      <w:r>
        <w:t>第八章 附则</w:t>
      </w:r>
    </w:p>
    <w:p>
      <w:pPr>
        <w:pStyle w:val="Heading2"/>
      </w:pPr>
      <w:r>
        <w:t>8.1 数据管理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所有评分数据由业务组统一收集、审核、归档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供应商对评分结果有异议的，可在出分后2个工作日内提出数据异议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异议由业务组在3个工作日内复核并答复</w:t>
      </w:r>
    </w:p>
    <w:p>
      <w:pPr>
        <w:spacing w:before="0" w:after="120"/>
      </w:pPr>
    </w:p>
    <w:p>
      <w:pPr>
        <w:pStyle w:val="Heading2"/>
      </w:pPr>
      <w:r>
        <w:t>8.2 制度修订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本办法由数据科技业务部服务组负责解释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根据实际执行情况，每季度评估修订一次</w:t>
      </w:r>
    </w:p>
    <w:p>
      <w:pPr>
        <w:spacing w:before="0" w:after="120"/>
      </w:pPr>
    </w:p>
    <w:p>
      <w:pPr>
        <w:pStyle w:val="Heading2"/>
      </w:pPr>
      <w:r>
        <w:t>8.3 生效时间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本办法自发布之日起生效</w:t>
      </w:r>
    </w:p>
    <w:p>
      <w:pPr>
        <w:spacing w:before="40" w:after="40" w:line="360" w:lineRule="auto"/>
        <w:ind w:left="567"/>
      </w:pPr>
      <w:r>
        <w:rPr>
          <w:rFonts w:ascii="SimSun" w:hAnsi="SimSun" w:eastAsia="宋体"/>
          <w:sz w:val="24"/>
        </w:rPr>
        <w:t>原有供应商评估规则与本办法不一致的，以本办法为准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360" w:lineRule="auto"/>
    </w:pPr>
    <w:rPr>
      <w:rFonts w:ascii="SimSun" w:hAnsi="SimSu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360" w:lineRule="auto"/>
      <w:outlineLvl w:val="0"/>
    </w:pPr>
    <w:rPr>
      <w:rFonts w:asciiTheme="majorHAnsi" w:eastAsiaTheme="majorEastAsia" w:hAnsiTheme="majorHAnsi" w:cstheme="majorBidi" w:ascii="SimHei" w:hAnsi="SimHei" w:eastAsia="黑体"/>
      <w:b/>
      <w:bCs/>
      <w:color w:val="1A1A2E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 w:line="360" w:lineRule="auto"/>
      <w:outlineLvl w:val="1"/>
    </w:pPr>
    <w:rPr>
      <w:rFonts w:asciiTheme="majorHAnsi" w:eastAsiaTheme="majorEastAsia" w:hAnsiTheme="majorHAnsi" w:cstheme="majorBidi" w:ascii="SimHei" w:hAnsi="SimHei" w:eastAsia="黑体"/>
      <w:b/>
      <w:bCs/>
      <w:color w:val="1A1A2E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 w:line="360" w:lineRule="auto"/>
      <w:outlineLvl w:val="2"/>
    </w:pPr>
    <w:rPr>
      <w:rFonts w:asciiTheme="majorHAnsi" w:eastAsiaTheme="majorEastAsia" w:hAnsiTheme="majorHAnsi" w:cstheme="majorBidi" w:ascii="SimHei" w:hAnsi="SimHei" w:eastAsia="黑体"/>
      <w:b/>
      <w:bCs/>
      <w:color w:val="1A1A2E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