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pBdr>
          <w:bottom w:val="single" w:sz="12" w:space="4" w:color="D71921"/>
        </w:pBdr>
      </w:pPr>
      <w:r>
        <w:rPr>
          <w:rFonts w:ascii="微软雅黑" w:hAnsi="微软雅黑" w:eastAsia="微软雅黑"/>
          <w:b/>
          <w:color w:val="1A1A1A"/>
          <w:sz w:val="36"/>
        </w:rPr>
        <w:t>物料 1：会议纪要（成品 · 已填充本次内容）</w:t>
      </w:r>
    </w:p>
    <w:p/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目的：把全天培训内容提炼成"没参加的人 3 分钟能看懂、参加了的人能回溯"的成品纪要。可直接归档 + 发群。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使用方式：运营官会后 3 天内复制此文件，发联盟群 + 归档到内容库。本文件已用汇讯武汉场内容填充，结构可复用于下场。</w:t>
      </w:r>
    </w:p>
    <w:p>
      <w:pPr>
        <w:ind w:left="283"/>
        <w:pBdr>
          <w:left w:val="single" w:sz="18" w:space="8" w:color="D71921"/>
        </w:pBdr>
      </w:pPr>
      <w:r>
        <w:rPr>
          <w:rFonts w:ascii="微软雅黑" w:hAnsi="微软雅黑" w:eastAsia="微软雅黑"/>
          <w:b w:val="0"/>
          <w:color w:val="666666"/>
          <w:sz w:val="20"/>
        </w:rPr>
        <w:t>格式：docx（打印/归档）+ md（群内发）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空白模板结构（下场复用时，替换 [ ] 内容）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[培训全称] · 纪要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日期：[YYYY-MM-DD]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地点：[地点]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主讲方：[公司-姓名]，[公司-姓名]...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参会：[X 家供应商、Y 人]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主办：[主办方]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核心摘要（500字内，3个关键点）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 [关键点1]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2. [关键点2]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3. [关键点3]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关键数据速览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指标 | 数值 | 来源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|------|------|------|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[指标] | [数字] | [谁说的]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讨论亮点（3-4个瞬间）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 [谁]提出 [什么] → [谁]回应 [什么]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待跟进事项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[事项] — 负责人：[谁] — 截止：[日期]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本次填充版（汇讯武汉场 · 2026-06-24）</w:t>
      </w:r>
    </w:p>
    <w:p/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企业主贷大额税票贷 · 供应商联盟精进培训 · 纪要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日期：2026-06-24（周三·全天，08:30-18:20+会后聚餐）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地点：武汉·光谷软件园 FI栋·11楼（汇讯武汉职场）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主讲方：汇讯（孙弦/章志鹏/郑畅/杨莹莹）+ 新动力（企微SOP）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参会：9 家供应商、32 人（速腾/中乾/伽玛/广达/德辰/岐力/小蜜蜂/新动力/河北锦瑞）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主办：京东金融·电销服务组 × 汇讯职场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跟踪机制：30天中期检查（~7/24）+ 90天复盘会（~9/24）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核心摘要（3个关键点）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 【经营飞轮】汇讯用 29.7% 的数据份额创造了大盘 42% 的 GMV，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目标是 30% 份额做到 50%。核心管理指标是"名产"（名单产能=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放款金额÷下发名单量），承上启下，既管过程又管结果。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2. 【可复制方法论】汇讯把"为什么同样资源结果不同"拆成了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"认知→动作→习惯→SOP→组织能力"的链条。落地执行是四套硬功夫：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①打开APP+名产的过程指标；②预测+轮转的名单管理；③新人"轻岗前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重衔接"的培训；④企微私域20天培育SOP（新动力贡献，已迭代到3.0）。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3. 【战略动作】广达现场向汇讯发起8月拉新第一挑战；京东明确联盟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"月度线上+季度线下"机制，推广企微定位为供应商长期收益基础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 （加微用户余额留存+10个百分点，Q3管护模式测试后授信用户全留供应商）。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关键数据速览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指标 | 数值 | 来源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|------|------|------|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汇讯数据份额 | 29.7% | 孙弦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汇讯GMV占比 | 42%（目标50%） | 孙弦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5月人均月授信成功 | 77个（日均3个） | 郑畅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授信成功率 | ≈46% | 郑畅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日均接通/通时/ATP | 260通/190分钟/38秒 | 郑畅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日均3个授信对应收入 | ≈1万元 | 郑畅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企微行业平均加V率 | 1.5%（成熟3%） | 新动力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企微占税务端业绩 | 30%-35% | 新动力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电销窗口外企微增量 | 40% | 新动力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加微用户余额留存 | +10个百分点 | 京东策略老师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大额业务成交周期 | ≥3天（vs金条70%当通） | 毅航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行业提前还款率 | ≈20%（部分高达40%） | 圆桌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| 广达6月总放款 | ≈6100万（促齐占53%） | 广达 |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讨论亮点（4个瞬间）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1.【认知锚点】孙弦用一句话回答"为什么同样资源结果不同"——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"数据是资源，经营是能力，结果是创造价值的。"被多方引用。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2.【公认最大差距】郑畅的指标倒推引发共鸣："日均260通≈1万元"。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多家供应商现场承认自己是"只压通时不讲逻辑"。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3.【认知纠正】新动力纠正"企微只给授信成功客户加"——接通即加微，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加微率低根因是管理者意识不是话术。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4.【竞合升级】广达发起8月挑战，联盟从单向学习走向双向竞合。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 京东项目老师："对完成四个亿业绩缺口更有信心。"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## 待跟进事项（双节点）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回收【事后30天行动回收表】 — 运营官 — ~7/1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30天中期检查：各供应商落地进度 — 运营官 — ~7/24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90天复盘会：效果复盘+经验再沉淀 — 全体 — ~9/24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广达8月拉新第一挑战追踪 — 广达+京东 — 8月底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朱晓明7月起接手大额业务对接 — 朱晓明 — 7月起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Q3大额管护模式测试（企微分润） — 京东策略 — Q3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- [ ] 联盟月度线上分享启动 — 运营官 — 7月首场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整理人：运营官（Mino）｜ 日期：2026-06-26</w:t>
      </w:r>
    </w:p>
    <w:p>
      <w:pPr>
        <w:spacing w:after="0" w:before="0"/>
        <w:ind w:left="170"/>
      </w:pPr>
      <w:r>
        <w:rPr>
          <w:rFonts w:ascii="Consolas" w:hAnsi="Consolas" w:eastAsia="Consolas"/>
          <w:b w:val="0"/>
          <w:color w:val="1A1A1A"/>
          <w:sz w:val="18"/>
        </w:rPr>
        <w:t>━━━━━━━━━━━━━━━━━━━━━━━━━━━━━━━━━━━━━━━━━━━━</w:t>
      </w: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给运营官的：纪要质量标准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合格标准</w:t>
            </w:r>
          </w:p>
        </w:tc>
        <w:tc>
          <w:tcPr>
            <w:tcW w:type="dxa" w:w="3249"/>
            <w:shd w:val="clear" w:color="auto" w:fill="D71921"/>
            <w:tcBorders>
              <w:top w:val="single" w:sz="6" w:color="B0B0B0"/>
              <w:left w:val="single" w:sz="4" w:color="B0B0B0"/>
              <w:bottom w:val="single" w:sz="6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不合格信号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完整性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所有模块都填了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有空白模块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可读性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没参加的人 3 分钟能看懂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只有 PPT 标题，没有实质内容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时效性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个工作日内发出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拖了超过一周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数据可溯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关键数据标注来源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  <w:shd w:val="clear" w:color="auto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数字没来源，无法核实</w:t>
            </w:r>
          </w:p>
        </w:tc>
      </w:tr>
      <w:tr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可检索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标题含主题关键词</w:t>
            </w:r>
          </w:p>
        </w:tc>
        <w:tc>
          <w:tcPr>
            <w:tcW w:type="dxa" w:w="324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"第X期纪要"，看不出内容</w:t>
            </w:r>
          </w:p>
        </w:tc>
      </w:tr>
    </w:tbl>
    <w:p>
      <w:pPr>
        <w:spacing w:after="80"/>
      </w:pPr>
    </w:p>
    <w:p/>
    <w:p>
      <w:pPr>
        <w:pBdr>
          <w:bottom w:val="single" w:sz="4" w:space="1" w:color="E0E0E0"/>
        </w:pBdr>
      </w:pP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1A1A"/>
          <w:sz w:val="26"/>
        </w:rPr>
        <w:t>常见问题处理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Q：数据对不上怎么办？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A：录音口述数据多为约数。对外正式引用前，向主讲方（汇讯）和京东侧二次确认。本纪要已在数据后标注"≈"或"约"。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Q：参会方名单怎么核实？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A：以报名表为准（本场9家32人）。录音里口述的"石家庄供应商"即河北锦瑞；毅航不在本场报名表（为二期合肥场主讲方，本场以提问形式参与）。</w:t>
      </w:r>
    </w:p>
    <w:p/>
    <w:p>
      <w:r>
        <w:rPr>
          <w:rFonts w:ascii="微软雅黑" w:hAnsi="微软雅黑" w:eastAsia="微软雅黑"/>
          <w:b w:val="0"/>
          <w:sz w:val="21"/>
        </w:rPr>
      </w:r>
      <w:r>
        <w:rPr>
          <w:rFonts w:ascii="微软雅黑" w:hAnsi="微软雅黑" w:eastAsia="微软雅黑"/>
          <w:b/>
          <w:sz w:val="21"/>
        </w:rPr>
        <w:t>Q：纪要太长没人看怎么办？</w:t>
      </w:r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A：发群时配一句引导："3分钟版看核心摘要+数据表，想抄动作的看要点卡。"要点卡是精简版，纪要是完整版。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