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供应商月度综合评估方案</w:t>
      </w:r>
    </w:p>
    <w:p>
      <w:pPr>
        <w:spacing w:after="120"/>
      </w:pPr>
      <w:r>
        <w:t>文件编号：SM-2026-004</w:t>
      </w:r>
    </w:p>
    <w:p>
      <w:pPr>
        <w:spacing w:after="120"/>
      </w:pPr>
      <w:r>
        <w:t>版本：V1.0</w:t>
      </w:r>
    </w:p>
    <w:p>
      <w:pPr>
        <w:spacing w:after="120"/>
      </w:pPr>
      <w:r>
        <w:t>生效日期：2026年XX月XX日</w:t>
      </w:r>
    </w:p>
    <w:p>
      <w:pPr>
        <w:spacing w:after="120"/>
      </w:pPr>
      <w:r>
        <w:t>发布单位：供应商管理部</w:t>
      </w:r>
    </w:p>
    <w:p>
      <w:pPr>
        <w:pStyle w:val="Heading1"/>
      </w:pPr>
      <w:r>
        <w:rPr>
          <w:b/>
          <w:sz w:val="28"/>
        </w:rPr>
        <w:t>第一章 总则</w:t>
      </w:r>
    </w:p>
    <w:p>
      <w:pPr>
        <w:pStyle w:val="Heading2"/>
      </w:pPr>
      <w:r>
        <w:rPr>
          <w:b/>
          <w:sz w:val="24"/>
        </w:rPr>
        <w:t>第一条 目的</w:t>
      </w:r>
    </w:p>
    <w:p>
      <w:pPr>
        <w:spacing w:after="120"/>
      </w:pPr>
      <w:r>
        <w:t>建立统一、公平、量化的供应商月度评估体系，为供应商分级管理、奖惩决策提供客观依据，促进供应商持续提升服务质量。</w:t>
      </w:r>
    </w:p>
    <w:p>
      <w:pPr>
        <w:pStyle w:val="Heading2"/>
      </w:pPr>
      <w:r>
        <w:rPr>
          <w:b/>
          <w:sz w:val="24"/>
        </w:rPr>
        <w:t>第二条 评估周期</w:t>
      </w:r>
    </w:p>
    <w:p>
      <w:pPr>
        <w:spacing w:after="120"/>
      </w:pPr>
      <w:r>
        <w:t>每月一次，评估周期为自然月。评估结果于次月第5个工作日前完成公示。</w:t>
      </w:r>
    </w:p>
    <w:p>
      <w:pPr>
        <w:pStyle w:val="Heading2"/>
      </w:pPr>
      <w:r>
        <w:rPr>
          <w:b/>
          <w:sz w:val="24"/>
        </w:rPr>
        <w:t>第三条 评估维度与分值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交付质量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引用质检数据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业务达成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业绩完成情况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合规表现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合规指标达标情况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管理配合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信息报送、异常响应等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**合计**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**100分**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b/>
          <w:sz w:val="28"/>
        </w:rPr>
        <w:t>第二章 交付质量评分规则（40分）</w:t>
      </w:r>
    </w:p>
    <w:p>
      <w:pPr>
        <w:pStyle w:val="Heading2"/>
      </w:pPr>
      <w:r>
        <w:rPr>
          <w:b/>
          <w:sz w:val="24"/>
        </w:rPr>
        <w:t>第四条 质检数据引用</w:t>
      </w:r>
    </w:p>
    <w:p>
      <w:pPr>
        <w:spacing w:after="120"/>
      </w:pPr>
      <w:r>
        <w:t>质检数据由质检团队提供，供应商管理岗引用后纳入评估。</w:t>
      </w:r>
    </w:p>
    <w:p>
      <w:pPr>
        <w:spacing w:after="120"/>
      </w:pPr>
      <w:r>
        <w:t>数据来源：</w:t>
      </w:r>
    </w:p>
    <w:p>
      <w:pPr>
        <w:pStyle w:val="ListNumber"/>
      </w:pPr>
      <w:r>
        <w:t>月度质检报告（主数据）</w:t>
      </w:r>
    </w:p>
    <w:p>
      <w:pPr>
        <w:pStyle w:val="ListNumber"/>
      </w:pPr>
      <w:r>
        <w:t>专项质检数据（补充数据）</w:t>
      </w:r>
    </w:p>
    <w:p>
      <w:pPr>
        <w:pStyle w:val="ListNumber"/>
      </w:pPr>
      <w:r>
        <w:t>客户投诉数据（参考数据）</w:t>
      </w:r>
    </w:p>
    <w:p>
      <w:pPr>
        <w:pStyle w:val="Heading2"/>
      </w:pPr>
      <w:r>
        <w:rPr>
          <w:b/>
          <w:sz w:val="24"/>
        </w:rPr>
        <w:t>第五条 交付质量评分细则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评分项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分值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评分规则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话术合规率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交付质量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达标线≥98%：15分；95%≤x&lt;98%：12分；90%≤x&lt;95%：8分；&lt;90%：0分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录音完整性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交付质量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达标线100%：10分；98%≤x&lt;100%：8分；95%≤x&lt;98%：5分；&lt;95%：0分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客户满意度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交付质量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达标线≥90%：8分；85%≤x&lt;90%：6分；80%≤x&lt;85%：3分；&lt;80%：0分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投诉率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交付质量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达标线≤1%：7分；1%&lt;x≤2%：5分；2%&lt;x≤3%：2分；&gt;3%：0分</w:t>
            </w:r>
          </w:p>
        </w:tc>
      </w:tr>
    </w:tbl>
    <w:p/>
    <w:p>
      <w:pPr>
        <w:spacing w:after="120"/>
      </w:pPr>
      <w:r>
        <w:t>数据获取要求：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提供方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提供时间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覆盖率要求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话术合规率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质检团队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每月第3个工作日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≥30%坐席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录音完整性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质检团队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每月第3个工作日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客户满意度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客服/业务方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每月第3个工作日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投诉率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客服/业务方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每月第3个工作日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第三章 业务达成评分规则（30分）</w:t>
      </w:r>
    </w:p>
    <w:p>
      <w:pPr>
        <w:pStyle w:val="Heading2"/>
      </w:pPr>
      <w:r>
        <w:rPr>
          <w:b/>
          <w:sz w:val="24"/>
        </w:rPr>
        <w:t>第六条 业绩数据评分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评分项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分值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评分规则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目标达成率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业务达成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≥100%：15分；95%≤x&lt;100%：12分；90%≤x&lt;95%：8分；80%≤x&lt;90%：4分；&lt;80%：0分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人均产能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业务达成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≥目标值110%：8分；100%≤x&lt;110%：6分；90%≤x&lt;100%：4分；&lt;90%：0分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产能稳定性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业务达成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周间波动≤10%：7分；10%&lt;x≤20%：5分；20%&lt;x≤30%：2分；&gt;30%：0分</w:t>
            </w:r>
          </w:p>
        </w:tc>
      </w:tr>
    </w:tbl>
    <w:p/>
    <w:p>
      <w:pPr>
        <w:spacing w:after="120"/>
      </w:pPr>
      <w:r>
        <w:t>数据来源：业务方提供的月度业绩数据</w:t>
      </w:r>
    </w:p>
    <w:p>
      <w:pPr>
        <w:pStyle w:val="Heading2"/>
      </w:pPr>
      <w:r>
        <w:rPr>
          <w:b/>
          <w:sz w:val="24"/>
        </w:rPr>
        <w:t>第七条 产能稳定性计算</w:t>
      </w:r>
    </w:p>
    <w:p>
      <w:pPr>
        <w:spacing w:after="120"/>
      </w:pPr>
      <w:r>
        <w:t>```</w:t>
      </w:r>
    </w:p>
    <w:p>
      <w:pPr>
        <w:spacing w:after="120"/>
      </w:pPr>
      <w:r>
        <w:t>周间波动率 = MAX(周转化量) / MIN(周转化量) - 1</w:t>
      </w:r>
    </w:p>
    <w:p>
      <w:pPr>
        <w:spacing w:after="120"/>
      </w:pPr>
      <w:r>
        <w:t>产能稳定性 = 1 - 周间波动率</w:t>
      </w:r>
    </w:p>
    <w:p>
      <w:pPr>
        <w:spacing w:after="120"/>
      </w:pPr>
      <w:r>
        <w:t>```</w:t>
      </w:r>
    </w:p>
    <w:p>
      <w:pPr>
        <w:pStyle w:val="Heading1"/>
      </w:pPr>
      <w:r>
        <w:rPr>
          <w:b/>
          <w:sz w:val="28"/>
        </w:rPr>
        <w:t>第四章 合规表现评分规则（20分）</w:t>
      </w:r>
    </w:p>
    <w:p>
      <w:pPr>
        <w:pStyle w:val="Heading2"/>
      </w:pPr>
      <w:r>
        <w:rPr>
          <w:b/>
          <w:sz w:val="24"/>
        </w:rPr>
        <w:t>第八条 合规指标评分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评分项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分值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评分规则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人员持证率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合规表现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100%：8分；98%≤x&lt;100%：6分；95%≤x&lt;98%：3分；&lt;95%：0分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数据准确率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合规表现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≥99%：6分；97%≤x&lt;99%：4分；95%≤x&lt;97%：2分；&lt;95%：0分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安全生产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合规表现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无安全事故：6分；一般事故：3分；较大事故：0分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第九条 合规加分项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加分项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主动发现并报告安全隐患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+2分/次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最高加4分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配合监管检查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+2分/次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最高加4分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合规培训覆盖率100%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须提供培训记录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第十条 合规扣分项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扣分项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触碰信息安全红线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-20分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直接清退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触碰数据造假红线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-20分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直接清退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触碰录音篡改红线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-20分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直接清退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无证人员上岗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-5分/人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最高扣10分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数据报送延迟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-2分/次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最高扣10分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异常未按时报备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-3分/次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最高扣10分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第五章 管理配合评分规则（10分）</w:t>
      </w:r>
    </w:p>
    <w:p>
      <w:pPr>
        <w:pStyle w:val="Heading2"/>
      </w:pPr>
      <w:r>
        <w:rPr>
          <w:b/>
          <w:sz w:val="24"/>
        </w:rPr>
        <w:t>第十一条 管理配合评分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评分项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分值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评分规则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信息报送及时性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管理配合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100%及时：4分；98%≤x&lt;100%：3分；95%≤x&lt;98%：2分；&lt;95%：0分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会议参与度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管理配合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全勤：3分；请假1次：2分；缺席1次：1分；缺席2次及以上：0分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整改完成率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管理配合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100%完成：3分；80%≤x&lt;100%：2分；60%≤x&lt;80%：1分；&lt;60%：0分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第六章 评级标准</w:t>
      </w:r>
    </w:p>
    <w:p>
      <w:pPr>
        <w:pStyle w:val="Heading2"/>
      </w:pPr>
      <w:r>
        <w:rPr>
          <w:b/>
          <w:sz w:val="24"/>
        </w:rPr>
        <w:t>第十二条 五级评级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评级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分值区间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90分≤x≤100分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优秀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80分≤x&lt;90分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良好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70分≤x&lt;80分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60分≤x&lt;70分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需改进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x&lt;60分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不合格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第十三条 一票否决规则</w:t>
      </w:r>
    </w:p>
    <w:p>
      <w:pPr>
        <w:spacing w:after="120"/>
      </w:pPr>
      <w:r>
        <w:t>以下情形直接判定为E级，并启动清退评估：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否决项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信息安全红线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发生信息泄露事件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数据造假红线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确认存在数据造假行为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录音篡改红线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存在录音篡改或删除行为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重大安全事故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发生人员伤亡或重大财产损失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违法经营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无证经营或超范围经营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拒绝整改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拒绝执行整改要求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第七章 评估结果应用</w:t>
      </w:r>
    </w:p>
    <w:p>
      <w:pPr>
        <w:pStyle w:val="Heading2"/>
      </w:pPr>
      <w:r>
        <w:rPr>
          <w:b/>
          <w:sz w:val="24"/>
        </w:rPr>
        <w:t>第十四条 评估结果公示</w:t>
      </w:r>
    </w:p>
    <w:p>
      <w:pPr>
        <w:spacing w:after="120"/>
      </w:pPr>
      <w:r>
        <w:t>公示内容：</w:t>
      </w:r>
    </w:p>
    <w:p>
      <w:pPr>
        <w:pStyle w:val="ListNumber"/>
      </w:pPr>
      <w:r>
        <w:t>各供应商综合得分及评级</w:t>
      </w:r>
    </w:p>
    <w:p>
      <w:pPr>
        <w:pStyle w:val="ListNumber"/>
      </w:pPr>
      <w:r>
        <w:t>各维度得分明细</w:t>
      </w:r>
    </w:p>
    <w:p>
      <w:pPr>
        <w:pStyle w:val="ListNumber"/>
      </w:pPr>
      <w:r>
        <w:t>排名情况</w:t>
      </w:r>
    </w:p>
    <w:p>
      <w:pPr>
        <w:pStyle w:val="ListNumber"/>
      </w:pPr>
      <w:r>
        <w:t>环比变化</w:t>
      </w:r>
    </w:p>
    <w:p>
      <w:pPr>
        <w:spacing w:after="120"/>
      </w:pPr>
      <w:r>
        <w:t>公示时间：每月第5个工作日</w:t>
      </w:r>
    </w:p>
    <w:p>
      <w:pPr>
        <w:spacing w:after="120"/>
      </w:pPr>
      <w:r>
        <w:t>公示方式：邮件发送 + 公告系统发布</w:t>
      </w:r>
    </w:p>
    <w:p>
      <w:pPr>
        <w:pStyle w:val="Heading2"/>
      </w:pPr>
      <w:r>
        <w:rPr>
          <w:b/>
          <w:sz w:val="24"/>
        </w:rPr>
        <w:t>第十五条 A级供应商激励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激励措施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优先分配新业务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在同等条件下优先获得新业务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产能增加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可申请增加坐席规模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续约优先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合同到期时优先续约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公开表彰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季度会议上公开表扬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第十六条 B/C级供应商管控</w:t>
      </w:r>
    </w:p>
    <w:p>
      <w:pPr>
        <w:spacing w:after="120"/>
      </w:pPr>
      <w:r>
        <w:t>B级供应商：</w:t>
      </w:r>
    </w:p>
    <w:p>
      <w:pPr>
        <w:pStyle w:val="ListNumber"/>
      </w:pPr>
      <w:r>
        <w:t>正常运营</w:t>
      </w:r>
    </w:p>
    <w:p>
      <w:pPr>
        <w:pStyle w:val="ListNumber"/>
      </w:pPr>
      <w:r>
        <w:t>鼓励向A级努力</w:t>
      </w:r>
    </w:p>
    <w:p>
      <w:pPr>
        <w:spacing w:after="120"/>
      </w:pPr>
      <w:r>
        <w:t>C级供应商：</w:t>
      </w:r>
    </w:p>
    <w:p>
      <w:pPr>
        <w:pStyle w:val="ListNumber"/>
      </w:pPr>
      <w:r>
        <w:t>要求提交改进计划</w:t>
      </w:r>
    </w:p>
    <w:p>
      <w:pPr>
        <w:pStyle w:val="ListNumber"/>
      </w:pPr>
      <w:r>
        <w:t>加大质检比例</w:t>
      </w:r>
    </w:p>
    <w:p>
      <w:pPr>
        <w:pStyle w:val="ListNumber"/>
      </w:pPr>
      <w:r>
        <w:t>逐步缩减不达标业务</w:t>
      </w:r>
    </w:p>
    <w:p>
      <w:pPr>
        <w:pStyle w:val="Heading2"/>
      </w:pPr>
      <w:r>
        <w:rPr>
          <w:b/>
          <w:sz w:val="24"/>
        </w:rPr>
        <w:t>第十七条 D级供应商整改</w:t>
      </w:r>
    </w:p>
    <w:p>
      <w:pPr>
        <w:spacing w:after="120"/>
      </w:pPr>
      <w:r>
        <w:t>触发条件：月度评估为D级</w:t>
      </w:r>
    </w:p>
    <w:p>
      <w:pPr>
        <w:spacing w:after="120"/>
      </w:pPr>
      <w:r>
        <w:t>整改要求：</w:t>
      </w:r>
    </w:p>
    <w:p>
      <w:pPr>
        <w:pStyle w:val="ListNumber"/>
      </w:pPr>
      <w:r>
        <w:t>5个工作日内提交整改计划</w:t>
      </w:r>
    </w:p>
    <w:p>
      <w:pPr>
        <w:pStyle w:val="ListNumber"/>
      </w:pPr>
      <w:r>
        <w:t>整改期限30天</w:t>
      </w:r>
    </w:p>
    <w:p>
      <w:pPr>
        <w:pStyle w:val="ListNumber"/>
      </w:pPr>
      <w:r>
        <w:t>每两周汇报整改进度</w:t>
      </w:r>
    </w:p>
    <w:p>
      <w:pPr>
        <w:pStyle w:val="ListNumber"/>
      </w:pPr>
      <w:r>
        <w:t>整改期间暂停新产能分配</w:t>
      </w:r>
    </w:p>
    <w:p>
      <w:pPr>
        <w:spacing w:after="120"/>
      </w:pPr>
      <w:r>
        <w:t>整改验收：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整改结果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后续措施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整改通过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恢复常态管理，下月评估若达C级则解除整改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整改未通过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继续整改或启动清退评估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第十八条 E级供应商处置</w:t>
      </w:r>
    </w:p>
    <w:p>
      <w:pPr>
        <w:spacing w:after="120"/>
      </w:pPr>
      <w:r>
        <w:t>触发条件：月度评估为E级</w:t>
      </w:r>
    </w:p>
    <w:p>
      <w:pPr>
        <w:spacing w:after="120"/>
      </w:pPr>
      <w:r>
        <w:t>立即措施：</w:t>
      </w:r>
    </w:p>
    <w:p>
      <w:pPr>
        <w:pStyle w:val="ListNumber"/>
      </w:pPr>
      <w:r>
        <w:t>暂停所有新产能分配</w:t>
      </w:r>
    </w:p>
    <w:p>
      <w:pPr>
        <w:pStyle w:val="ListNumber"/>
      </w:pPr>
      <w:r>
        <w:t>约谈供应商负责人</w:t>
      </w:r>
    </w:p>
    <w:p>
      <w:pPr>
        <w:pStyle w:val="ListNumber"/>
      </w:pPr>
      <w:r>
        <w:t>制定紧急整改计划</w:t>
      </w:r>
    </w:p>
    <w:p>
      <w:pPr>
        <w:spacing w:after="120"/>
      </w:pPr>
      <w:r>
        <w:t>整改期限：最长60天</w:t>
      </w:r>
    </w:p>
    <w:p>
      <w:pPr>
        <w:spacing w:after="120"/>
      </w:pPr>
      <w:r>
        <w:t>整改期间要求：</w:t>
      </w:r>
    </w:p>
    <w:p>
      <w:pPr>
        <w:pStyle w:val="ListNumber"/>
      </w:pPr>
      <w:r>
        <w:t>每周评估一次</w:t>
      </w:r>
    </w:p>
    <w:p>
      <w:pPr>
        <w:pStyle w:val="ListNumber"/>
      </w:pPr>
      <w:r>
        <w:t>产能逐步缩减</w:t>
      </w:r>
    </w:p>
    <w:p>
      <w:pPr>
        <w:pStyle w:val="ListNumber"/>
      </w:pPr>
      <w:r>
        <w:t>做好业务交接准备</w:t>
      </w:r>
    </w:p>
    <w:p>
      <w:pPr>
        <w:spacing w:after="120"/>
      </w:pPr>
      <w:r>
        <w:t>整改结果处置：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整改结果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后续措施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连续2个月E级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启动清退流程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触碰一票否决项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立即启动清退流程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第八章 申诉机制</w:t>
      </w:r>
    </w:p>
    <w:p>
      <w:pPr>
        <w:pStyle w:val="Heading2"/>
      </w:pPr>
      <w:r>
        <w:rPr>
          <w:b/>
          <w:sz w:val="24"/>
        </w:rPr>
        <w:t>第十九条 申诉条件</w:t>
      </w:r>
    </w:p>
    <w:p>
      <w:pPr>
        <w:spacing w:after="120"/>
      </w:pPr>
      <w:r>
        <w:t>供应商对评估结果有异议的，可在公示后5个工作日内提出申诉。</w:t>
      </w:r>
    </w:p>
    <w:p>
      <w:pPr>
        <w:spacing w:after="120"/>
      </w:pPr>
      <w:r>
        <w:t>申诉范围：</w:t>
      </w:r>
    </w:p>
    <w:p>
      <w:pPr>
        <w:pStyle w:val="ListNumber"/>
      </w:pPr>
      <w:r>
        <w:t>评估数据计算错误</w:t>
      </w:r>
    </w:p>
    <w:p>
      <w:pPr>
        <w:pStyle w:val="ListNumber"/>
      </w:pPr>
      <w:r>
        <w:t>评估依据不充分</w:t>
      </w:r>
    </w:p>
    <w:p>
      <w:pPr>
        <w:pStyle w:val="ListNumber"/>
      </w:pPr>
      <w:r>
        <w:t>评分标准执行有误</w:t>
      </w:r>
    </w:p>
    <w:p>
      <w:pPr>
        <w:spacing w:after="120"/>
      </w:pPr>
      <w:r>
        <w:t>不受理申诉：</w:t>
      </w:r>
    </w:p>
    <w:p>
      <w:pPr>
        <w:pStyle w:val="ListNumber"/>
      </w:pPr>
      <w:r>
        <w:t>评级结果符合一票否决条件</w:t>
      </w:r>
    </w:p>
    <w:p>
      <w:pPr>
        <w:pStyle w:val="ListNumber"/>
      </w:pPr>
      <w:r>
        <w:t>申诉超过规定时限</w:t>
      </w:r>
    </w:p>
    <w:p>
      <w:pPr>
        <w:pStyle w:val="ListNumber"/>
      </w:pPr>
      <w:r>
        <w:t>申诉理由不属于本规定范围</w:t>
      </w:r>
    </w:p>
    <w:p>
      <w:pPr>
        <w:pStyle w:val="Heading2"/>
      </w:pPr>
      <w:r>
        <w:rPr>
          <w:b/>
          <w:sz w:val="24"/>
        </w:rPr>
        <w:t>第二十条 申诉流程</w:t>
      </w:r>
    </w:p>
    <w:p>
      <w:pPr>
        <w:spacing w:after="120"/>
      </w:pPr>
      <w:r>
        <w:t>```</w:t>
      </w:r>
    </w:p>
    <w:p>
      <w:pPr>
        <w:spacing w:after="120"/>
      </w:pPr>
      <w:r>
        <w:t>提交申诉表 → 受理审核（3个工作日）→ 独立复核（5个工作日）→ 给出复核意见 → 执行复核结果</w:t>
      </w:r>
    </w:p>
    <w:p>
      <w:pPr>
        <w:spacing w:after="120"/>
      </w:pPr>
      <w:r>
        <w:t>```</w:t>
      </w:r>
    </w:p>
    <w:p>
      <w:pPr>
        <w:pStyle w:val="Heading2"/>
      </w:pPr>
      <w:r>
        <w:rPr>
          <w:b/>
          <w:sz w:val="24"/>
        </w:rPr>
        <w:t>第二十一条 独立复核人</w:t>
      </w:r>
    </w:p>
    <w:p>
      <w:pPr>
        <w:spacing w:after="120"/>
      </w:pPr>
      <w:r>
        <w:t>复核人员组成：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人数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供应商管理部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原始评分方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业管代表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业务方代表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质检代表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质检数据提供方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纪检/合规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独立第三方</w:t>
            </w:r>
          </w:p>
        </w:tc>
      </w:tr>
    </w:tbl>
    <w:p/>
    <w:p>
      <w:pPr>
        <w:spacing w:after="120"/>
      </w:pPr>
      <w:r>
        <w:t>复核原则：</w:t>
      </w:r>
    </w:p>
    <w:p>
      <w:pPr>
        <w:pStyle w:val="ListNumber"/>
      </w:pPr>
      <w:r>
        <w:t>独立、客观、公正</w:t>
      </w:r>
    </w:p>
    <w:p>
      <w:pPr>
        <w:pStyle w:val="ListNumber"/>
      </w:pPr>
      <w:r>
        <w:t>仅复核评估过程，不重新评估</w:t>
      </w:r>
    </w:p>
    <w:p>
      <w:pPr>
        <w:pStyle w:val="ListNumber"/>
      </w:pPr>
      <w:r>
        <w:t>复核结果为最终结果</w:t>
      </w:r>
    </w:p>
    <w:p>
      <w:pPr>
        <w:pStyle w:val="Heading2"/>
      </w:pPr>
      <w:r>
        <w:rPr>
          <w:b/>
          <w:sz w:val="24"/>
        </w:rPr>
        <w:t>第二十二条 申诉表格</w:t>
      </w:r>
    </w:p>
    <w:p>
      <w:pPr>
        <w:spacing w:after="120"/>
      </w:pPr>
      <w:r>
        <w:t>统一使用《申诉表》（模板SM-TPL-010）</w:t>
      </w:r>
    </w:p>
    <w:p>
      <w:pPr>
        <w:pStyle w:val="Heading1"/>
      </w:pPr>
      <w:r>
        <w:rPr>
          <w:b/>
          <w:sz w:val="28"/>
        </w:rPr>
        <w:t>第九章 长期应用</w:t>
      </w:r>
    </w:p>
    <w:p>
      <w:pPr>
        <w:pStyle w:val="Heading2"/>
      </w:pPr>
      <w:r>
        <w:rPr>
          <w:b/>
          <w:sz w:val="24"/>
        </w:rPr>
        <w:t>第二十三条 续约决策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评估结果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续约建议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年度平均评级A级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优先续约，可签长期合同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年度平均评级B级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正常续约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年度平均评级C级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谨慎续约，加强管控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年度有D级或E级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不续约或仅短期续约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第二十四条 淘汰决策</w:t>
      </w:r>
    </w:p>
    <w:p>
      <w:pPr>
        <w:spacing w:after="120"/>
      </w:pPr>
      <w:r>
        <w:t>淘汰条件：</w:t>
      </w:r>
    </w:p>
    <w:p>
      <w:pPr>
        <w:pStyle w:val="ListNumber"/>
      </w:pPr>
      <w:r>
        <w:t>连续2个月E级</w:t>
      </w:r>
    </w:p>
    <w:p>
      <w:pPr>
        <w:pStyle w:val="ListNumber"/>
      </w:pPr>
      <w:r>
        <w:t>触碰一票否决项</w:t>
      </w:r>
    </w:p>
    <w:p>
      <w:pPr>
        <w:pStyle w:val="ListNumber"/>
      </w:pPr>
      <w:r>
        <w:t>整改期满未达到整改目标</w:t>
      </w:r>
    </w:p>
    <w:p>
      <w:pPr>
        <w:pStyle w:val="ListNumber"/>
      </w:pPr>
      <w:r>
        <w:t>年度平均评级为E级</w:t>
      </w:r>
    </w:p>
    <w:p>
      <w:pPr>
        <w:spacing w:after="120"/>
      </w:pPr>
      <w:r>
        <w:t>淘汰流程：</w:t>
      </w:r>
    </w:p>
    <w:p>
      <w:pPr>
        <w:spacing w:after="120"/>
      </w:pPr>
      <w:r>
        <w:t>```</w:t>
      </w:r>
    </w:p>
    <w:p>
      <w:pPr>
        <w:spacing w:after="120"/>
      </w:pPr>
      <w:r>
        <w:t>淘汰决策 → 提前30天通知 → 业务交接 → 数据归档 → 关系终止 → 1年内禁止准入</w:t>
      </w:r>
    </w:p>
    <w:p>
      <w:pPr>
        <w:spacing w:after="120"/>
      </w:pPr>
      <w:r>
        <w:t>```</w:t>
      </w:r>
    </w:p>
    <w:p>
      <w:pPr>
        <w:pStyle w:val="Heading1"/>
      </w:pPr>
      <w:r>
        <w:rPr>
          <w:b/>
          <w:sz w:val="28"/>
        </w:rPr>
        <w:t>第十章 附则</w:t>
      </w:r>
    </w:p>
    <w:p>
      <w:pPr>
        <w:pStyle w:val="Heading2"/>
      </w:pPr>
      <w:r>
        <w:rPr>
          <w:b/>
          <w:sz w:val="24"/>
        </w:rPr>
        <w:t>第二十五条 生效与解释</w:t>
      </w:r>
    </w:p>
    <w:p>
      <w:pPr>
        <w:spacing w:after="120"/>
      </w:pPr>
      <w:r>
        <w:t>本方案自发布之日起生效，由供应商管理部负责解释。</w:t>
      </w:r>
    </w:p>
    <w:p>
      <w:pPr>
        <w:pStyle w:val="Heading2"/>
      </w:pPr>
      <w:r>
        <w:rPr>
          <w:b/>
          <w:sz w:val="24"/>
        </w:rPr>
        <w:t>第二十六条 配套文件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文件名称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编号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《供应商管理办法（总纲）》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《供应商管理日常手册》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《供应商管理SLA》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《质量管理规范》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SM-2026-005</w:t>
            </w:r>
          </w:p>
        </w:tc>
      </w:tr>
    </w:tbl>
    <w:p/>
    <w:p>
      <w:pPr>
        <w:spacing w:after="120"/>
      </w:pPr>
      <w:r>
        <w:t>*（本页无正文）*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