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质量管理规范</w:t>
      </w:r>
    </w:p>
    <w:p>
      <w:pPr>
        <w:spacing w:after="120"/>
      </w:pPr>
      <w:r>
        <w:t>文件编号：SM-2026-005</w:t>
      </w:r>
    </w:p>
    <w:p>
      <w:pPr>
        <w:spacing w:after="120"/>
      </w:pPr>
      <w:r>
        <w:t>版本：V1.0</w:t>
      </w:r>
    </w:p>
    <w:p>
      <w:pPr>
        <w:spacing w:after="120"/>
      </w:pPr>
      <w:r>
        <w:t>生效日期：2026年XX月XX日</w:t>
      </w:r>
    </w:p>
    <w:p>
      <w:pPr>
        <w:spacing w:after="120"/>
      </w:pPr>
      <w:r>
        <w:t>发布单位：供应商管理部</w:t>
      </w:r>
    </w:p>
    <w:p>
      <w:pPr>
        <w:pStyle w:val="Heading1"/>
      </w:pPr>
      <w:r>
        <w:rPr>
          <w:b/>
          <w:sz w:val="28"/>
        </w:rPr>
        <w:t>第一章 总则</w:t>
      </w:r>
    </w:p>
    <w:p>
      <w:pPr>
        <w:pStyle w:val="Heading2"/>
      </w:pPr>
      <w:r>
        <w:rPr>
          <w:b/>
          <w:sz w:val="24"/>
        </w:rPr>
        <w:t>第一条 目的</w:t>
      </w:r>
    </w:p>
    <w:p>
      <w:pPr>
        <w:spacing w:after="120"/>
      </w:pPr>
      <w:r>
        <w:t>明确供应商管理岗在质量管理中的角色定位，规范质检数据产出、传递、应用的全流程，确保质检数据客观、公正、有效，为供应商评估提供可靠依据。</w:t>
      </w:r>
    </w:p>
    <w:p>
      <w:pPr>
        <w:pStyle w:val="Heading2"/>
      </w:pPr>
      <w:r>
        <w:rPr>
          <w:b/>
          <w:sz w:val="24"/>
        </w:rPr>
        <w:t>第二条 角色定位原则</w:t>
      </w:r>
    </w:p>
    <w:p>
      <w:pPr>
        <w:spacing w:after="120"/>
      </w:pPr>
      <w:r>
        <w:t>核心原则：不替代质检、不绕过质检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职责边界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质检团队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独立执行质检，产出质检数据，对数据质量负责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管理质检数据产出和应用，不参与质检执行，不替代质检判断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接受质检，建立内部质量机制，配合质检工作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第三条 适用范围</w:t>
      </w:r>
    </w:p>
    <w:p>
      <w:pPr>
        <w:spacing w:after="120"/>
      </w:pPr>
      <w:r>
        <w:t>全体电销BPO供应商及供应商管理岗、质检团队。</w:t>
      </w:r>
    </w:p>
    <w:p>
      <w:pPr>
        <w:pStyle w:val="Heading1"/>
      </w:pPr>
      <w:r>
        <w:rPr>
          <w:b/>
          <w:sz w:val="28"/>
        </w:rPr>
        <w:t>第二章 对质检团队的要求</w:t>
      </w:r>
    </w:p>
    <w:p>
      <w:pPr>
        <w:pStyle w:val="Heading2"/>
      </w:pPr>
      <w:r>
        <w:rPr>
          <w:b/>
          <w:sz w:val="24"/>
        </w:rPr>
        <w:t>第四条 质检月报要求</w:t>
      </w:r>
    </w:p>
    <w:p>
      <w:pPr>
        <w:spacing w:after="120"/>
      </w:pPr>
      <w:r>
        <w:t>报告内容：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内容项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质检概况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质检坐席数、抽检录音数、抽检覆盖率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话术合规得分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各供应商话术合规率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录音完整性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各供应商录音留存情况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问题分类统计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问题类型分布、问题严重程度分布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典型问题案例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问题录音编号、脱敏后的问题描述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趋势分析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与上月对比、问题趋势预判</w:t>
            </w:r>
          </w:p>
        </w:tc>
      </w:tr>
    </w:tbl>
    <w:p/>
    <w:p>
      <w:pPr>
        <w:spacing w:after="120"/>
      </w:pPr>
      <w:r>
        <w:t>报告提交：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提交时间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每月第3个工作日18:00前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提交形式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 + Word双版本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报告命名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`质检月报_YYYYMM_版本号.xlsx`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确认签收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供应商管理岗回复确认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第五条 质检覆盖率要求</w:t>
      </w:r>
    </w:p>
    <w:p>
      <w:pPr>
        <w:spacing w:after="120"/>
      </w:pPr>
      <w:r>
        <w:t>覆盖率标准：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坐席规模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月度抽检覆盖率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≤50人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全员覆盖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51-100人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不少于50人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101-300人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≥30%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不少于30人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&gt;300人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不少于60人</w:t>
            </w:r>
          </w:p>
        </w:tc>
      </w:tr>
    </w:tbl>
    <w:p/>
    <w:p>
      <w:pPr>
        <w:spacing w:after="120"/>
      </w:pPr>
      <w:r>
        <w:t>抽检录音数量：</w:t>
      </w:r>
    </w:p>
    <w:p>
      <w:pPr>
        <w:spacing w:after="120"/>
      </w:pPr>
      <w:r>
        <w:t>```</w:t>
      </w:r>
    </w:p>
    <w:p>
      <w:pPr>
        <w:spacing w:after="120"/>
      </w:pPr>
      <w:r>
        <w:t>最低抽检数 = MIN(在岗坐席数 × 覆盖率, 月度有效录音总数)</w:t>
      </w:r>
    </w:p>
    <w:p>
      <w:pPr>
        <w:spacing w:after="120"/>
      </w:pPr>
      <w:r>
        <w:t>```</w:t>
      </w:r>
    </w:p>
    <w:p>
      <w:pPr>
        <w:pStyle w:val="Heading2"/>
      </w:pPr>
      <w:r>
        <w:rPr>
          <w:b/>
          <w:sz w:val="24"/>
        </w:rPr>
        <w:t>第六条 质检校准机制</w:t>
      </w:r>
    </w:p>
    <w:p>
      <w:pPr>
        <w:spacing w:after="120"/>
      </w:pPr>
      <w:r>
        <w:t>校准周期：每季度一次</w:t>
      </w:r>
    </w:p>
    <w:p>
      <w:pPr>
        <w:spacing w:after="120"/>
      </w:pPr>
      <w:r>
        <w:t>校准内容：</w:t>
      </w:r>
    </w:p>
    <w:p>
      <w:pPr>
        <w:pStyle w:val="ListNumber"/>
      </w:pPr>
      <w:r>
        <w:t>质检标准一致性校准（不同质检员对同一录音的评价一致性）</w:t>
      </w:r>
    </w:p>
    <w:p>
      <w:pPr>
        <w:pStyle w:val="ListNumber"/>
      </w:pPr>
      <w:r>
        <w:t>评分标准更新（如有话术更新，及时更新质检标准）</w:t>
      </w:r>
    </w:p>
    <w:p>
      <w:pPr>
        <w:pStyle w:val="ListNumber"/>
      </w:pPr>
      <w:r>
        <w:t>特殊场景处理方式统一</w:t>
      </w:r>
    </w:p>
    <w:p>
      <w:pPr>
        <w:spacing w:after="120"/>
      </w:pPr>
      <w:r>
        <w:t>校准流程：</w:t>
      </w:r>
    </w:p>
    <w:p>
      <w:pPr>
        <w:spacing w:after="120"/>
      </w:pPr>
      <w:r>
        <w:t>```</w:t>
      </w:r>
    </w:p>
    <w:p>
      <w:pPr>
        <w:spacing w:after="120"/>
      </w:pPr>
      <w:r>
        <w:t>校准会议 → 抽取样本录音 → 盲测评分 → 评分差异讨论 → 标准统一 → 形成校准纪要</w:t>
      </w:r>
    </w:p>
    <w:p>
      <w:pPr>
        <w:spacing w:after="120"/>
      </w:pPr>
      <w:r>
        <w:t>```</w:t>
      </w:r>
    </w:p>
    <w:p>
      <w:pPr>
        <w:spacing w:after="120"/>
      </w:pPr>
      <w:r>
        <w:t>校准记录：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记录项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校准日期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校准会议日期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参与人员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全体质检员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样本数量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抽取评分的录音数量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一致性指标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Kappa系数或类似指标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差异处理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评分差异的处理结果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第三章 对供应商的要求</w:t>
      </w:r>
    </w:p>
    <w:p>
      <w:pPr>
        <w:pStyle w:val="Heading2"/>
      </w:pPr>
      <w:r>
        <w:rPr>
          <w:b/>
          <w:sz w:val="24"/>
        </w:rPr>
        <w:t>第七条 接受质检义务</w:t>
      </w:r>
    </w:p>
    <w:p>
      <w:pPr>
        <w:spacing w:after="120"/>
      </w:pPr>
      <w:r>
        <w:t>配合义务：</w:t>
      </w:r>
    </w:p>
    <w:p>
      <w:pPr>
        <w:pStyle w:val="ListNumber"/>
      </w:pPr>
      <w:r>
        <w:t>不得拒绝、干扰、阻碍正常质检工作</w:t>
      </w:r>
    </w:p>
    <w:p>
      <w:pPr>
        <w:pStyle w:val="ListNumber"/>
      </w:pPr>
      <w:r>
        <w:t>不得对质检员进行威胁、贿赂、打击报复</w:t>
      </w:r>
    </w:p>
    <w:p>
      <w:pPr>
        <w:pStyle w:val="ListNumber"/>
      </w:pPr>
      <w:r>
        <w:t>不得伪造、篡改质检对象信息</w:t>
      </w:r>
    </w:p>
    <w:p>
      <w:pPr>
        <w:spacing w:after="120"/>
      </w:pPr>
      <w:r>
        <w:t>违规处理：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违规情形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处理措施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拒绝配合质检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扣10分/次，暂停新产能分配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干扰质检工作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扣15分/次，约谈负责人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威胁/报复质检员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直接清退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第八条 内部质量机制要求</w:t>
      </w:r>
    </w:p>
    <w:p>
      <w:pPr>
        <w:spacing w:after="120"/>
      </w:pPr>
      <w:r>
        <w:t>最低要求：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要求项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内部质检团队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50人以下供应商须有兼职质检员；50人以上须有专职质检团队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自检覆盖率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月度自检覆盖率≥20%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问题整改率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自检发现问题整改率≥95%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培训计划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每月至少2学时合规培训</w:t>
            </w:r>
          </w:p>
        </w:tc>
      </w:tr>
    </w:tbl>
    <w:p/>
    <w:p>
      <w:pPr>
        <w:spacing w:after="120"/>
      </w:pPr>
      <w:r>
        <w:t>机制建设：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机制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每日自检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每日抽取当天录音进行内部自检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周度复盘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每周汇总自检问题，分析改进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月度培训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每月至少2学时合规培训，覆盖全员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问题库更新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质检反馈问题24小时内更新至内部问题库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第九条 录音管理要求</w:t>
      </w:r>
    </w:p>
    <w:p>
      <w:pPr>
        <w:spacing w:after="120"/>
      </w:pPr>
      <w:r>
        <w:t>录音留存：</w:t>
      </w:r>
    </w:p>
    <w:p>
      <w:pPr>
        <w:pStyle w:val="ListNumber"/>
      </w:pPr>
      <w:r>
        <w:t>留存时长：不少于6个月</w:t>
      </w:r>
    </w:p>
    <w:p>
      <w:pPr>
        <w:pStyle w:val="ListNumber"/>
      </w:pPr>
      <w:r>
        <w:t>留存格式：标准WAV/MP3格式</w:t>
      </w:r>
    </w:p>
    <w:p>
      <w:pPr>
        <w:pStyle w:val="ListNumber"/>
      </w:pPr>
      <w:r>
        <w:t>存储位置：公司授权系统</w:t>
      </w:r>
    </w:p>
    <w:p>
      <w:pPr>
        <w:pStyle w:val="ListNumber"/>
      </w:pPr>
      <w:r>
        <w:t>备份要求：本地+云端双重备份</w:t>
      </w:r>
    </w:p>
    <w:p>
      <w:pPr>
        <w:spacing w:after="120"/>
      </w:pPr>
      <w:r>
        <w:t>录音调取：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提供时限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申请流程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常规质检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质检系统自动调取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专项检查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2小时内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书面申请 → 审批 → 提供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客户投诉核查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1小时内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电话/邮件通知 → 即时提供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第四章 质量数据在评估中的应用</w:t>
      </w:r>
    </w:p>
    <w:p>
      <w:pPr>
        <w:pStyle w:val="Heading2"/>
      </w:pPr>
      <w:r>
        <w:rPr>
          <w:b/>
          <w:sz w:val="24"/>
        </w:rPr>
        <w:t>第十条 数据引用原则</w:t>
      </w:r>
    </w:p>
    <w:p>
      <w:pPr>
        <w:spacing w:after="120"/>
      </w:pPr>
      <w:r>
        <w:t>数据流：</w:t>
      </w:r>
    </w:p>
    <w:p>
      <w:pPr>
        <w:spacing w:after="120"/>
      </w:pPr>
      <w:r>
        <w:t>```</w:t>
      </w:r>
    </w:p>
    <w:p>
      <w:pPr>
        <w:spacing w:after="120"/>
      </w:pPr>
      <w:r>
        <w:t>质检团队 → 质检月报 → 供应商管理岗 → 评估数据 → 月度评估</w:t>
      </w:r>
    </w:p>
    <w:p>
      <w:pPr>
        <w:spacing w:after="120"/>
      </w:pPr>
      <w:r>
        <w:t>```</w:t>
      </w:r>
    </w:p>
    <w:p>
      <w:pPr>
        <w:spacing w:after="120"/>
      </w:pPr>
      <w:r>
        <w:t>引用原则：</w:t>
      </w:r>
    </w:p>
    <w:p>
      <w:pPr>
        <w:pStyle w:val="ListNumber"/>
      </w:pPr>
      <w:r>
        <w:t>以质检月报数据为准</w:t>
      </w:r>
    </w:p>
    <w:p>
      <w:pPr>
        <w:pStyle w:val="ListNumber"/>
      </w:pPr>
      <w:r>
        <w:t>数据须完整、可追溯</w:t>
      </w:r>
    </w:p>
    <w:p>
      <w:pPr>
        <w:pStyle w:val="ListNumber"/>
      </w:pPr>
      <w:r>
        <w:t>数据争议时启动复核流程</w:t>
      </w:r>
    </w:p>
    <w:p>
      <w:pPr>
        <w:pStyle w:val="Heading2"/>
      </w:pPr>
      <w:r>
        <w:rPr>
          <w:b/>
          <w:sz w:val="24"/>
        </w:rPr>
        <w:t>第十一条 评估数据应用</w:t>
      </w:r>
    </w:p>
    <w:p>
      <w:pPr>
        <w:spacing w:after="120"/>
      </w:pPr>
      <w:r>
        <w:t>话术合规率应用：</w:t>
      </w:r>
    </w:p>
    <w:p>
      <w:pPr>
        <w:spacing w:after="120"/>
      </w:pPr>
      <w:r>
        <w:t>```</w:t>
      </w:r>
    </w:p>
    <w:p>
      <w:pPr>
        <w:spacing w:after="120"/>
      </w:pPr>
      <w:r>
        <w:t>话术合规率 = 合格录音数 / 抽检录音总数 × 100%</w:t>
      </w:r>
    </w:p>
    <w:p>
      <w:pPr>
        <w:spacing w:after="120"/>
      </w:pPr>
      <w:r>
        <w:t>得分 = 按SM-2026-004第二章第五条执行</w:t>
      </w:r>
    </w:p>
    <w:p>
      <w:pPr>
        <w:spacing w:after="120"/>
      </w:pPr>
      <w:r>
        <w:t>```</w:t>
      </w:r>
    </w:p>
    <w:p>
      <w:pPr>
        <w:spacing w:after="120"/>
      </w:pPr>
      <w:r>
        <w:t>录音完整性应用：</w:t>
      </w:r>
    </w:p>
    <w:p>
      <w:pPr>
        <w:spacing w:after="120"/>
      </w:pPr>
      <w:r>
        <w:t>```</w:t>
      </w:r>
    </w:p>
    <w:p>
      <w:pPr>
        <w:spacing w:after="120"/>
      </w:pPr>
      <w:r>
        <w:t>录音完整率 = 完整录音数 / 应留存录音总数 × 100%</w:t>
      </w:r>
    </w:p>
    <w:p>
      <w:pPr>
        <w:spacing w:after="120"/>
      </w:pPr>
      <w:r>
        <w:t>得分 = 按SM-2026-004第二章第五条执行</w:t>
      </w:r>
    </w:p>
    <w:p>
      <w:pPr>
        <w:spacing w:after="120"/>
      </w:pPr>
      <w:r>
        <w:t>```</w:t>
      </w:r>
    </w:p>
    <w:p>
      <w:pPr>
        <w:spacing w:after="120"/>
      </w:pPr>
      <w:r>
        <w:t>客户投诉率应用：</w:t>
      </w:r>
    </w:p>
    <w:p>
      <w:pPr>
        <w:spacing w:after="120"/>
      </w:pPr>
      <w:r>
        <w:t>```</w:t>
      </w:r>
    </w:p>
    <w:p>
      <w:pPr>
        <w:spacing w:after="120"/>
      </w:pPr>
      <w:r>
        <w:t>投诉率 = 投诉单数 / 总外呼量 × 100%</w:t>
      </w:r>
    </w:p>
    <w:p>
      <w:pPr>
        <w:spacing w:after="120"/>
      </w:pPr>
      <w:r>
        <w:t>得分 = 按SM-2026-004第二章第五条执行</w:t>
      </w:r>
    </w:p>
    <w:p>
      <w:pPr>
        <w:spacing w:after="120"/>
      </w:pPr>
      <w:r>
        <w:t>```</w:t>
      </w:r>
    </w:p>
    <w:p>
      <w:pPr>
        <w:pStyle w:val="Heading2"/>
      </w:pPr>
      <w:r>
        <w:rPr>
          <w:b/>
          <w:sz w:val="24"/>
        </w:rPr>
        <w:t>第十二条 数据争议处理</w:t>
      </w:r>
    </w:p>
    <w:p>
      <w:pPr>
        <w:spacing w:after="120"/>
      </w:pPr>
      <w:r>
        <w:t>争议触发：供应商对质检数据有异议</w:t>
      </w:r>
    </w:p>
    <w:p>
      <w:pPr>
        <w:spacing w:after="120"/>
      </w:pPr>
      <w:r>
        <w:t>争议时效：公示后3个工作日内提出</w:t>
      </w:r>
    </w:p>
    <w:p>
      <w:pPr>
        <w:spacing w:after="120"/>
      </w:pPr>
      <w:r>
        <w:t>争议流程：</w:t>
      </w:r>
    </w:p>
    <w:p>
      <w:pPr>
        <w:spacing w:after="120"/>
      </w:pPr>
      <w:r>
        <w:t>```</w:t>
      </w:r>
    </w:p>
    <w:p>
      <w:pPr>
        <w:spacing w:after="120"/>
      </w:pPr>
      <w:r>
        <w:t>提出争议（书面） → 质检团队核查 → 给出核查意见 → 供应商管理岗裁决 → 执行</w:t>
      </w:r>
    </w:p>
    <w:p>
      <w:pPr>
        <w:spacing w:after="120"/>
      </w:pPr>
      <w:r>
        <w:t>```</w:t>
      </w:r>
    </w:p>
    <w:p>
      <w:pPr>
        <w:spacing w:after="120"/>
      </w:pPr>
      <w:r>
        <w:t>争议处理原则：</w:t>
      </w:r>
    </w:p>
    <w:p>
      <w:pPr>
        <w:pStyle w:val="ListNumber"/>
      </w:pPr>
      <w:r>
        <w:t>以录音原始记录为准</w:t>
      </w:r>
    </w:p>
    <w:p>
      <w:pPr>
        <w:pStyle w:val="ListNumber"/>
      </w:pPr>
      <w:r>
        <w:t>评分差异由质检团队复核确认</w:t>
      </w:r>
    </w:p>
    <w:p>
      <w:pPr>
        <w:pStyle w:val="ListNumber"/>
      </w:pPr>
      <w:r>
        <w:t>供应商管理岗不替代质检判断</w:t>
      </w:r>
    </w:p>
    <w:p>
      <w:pPr>
        <w:pStyle w:val="Heading1"/>
      </w:pPr>
      <w:r>
        <w:rPr>
          <w:b/>
          <w:sz w:val="28"/>
        </w:rPr>
        <w:t>第五章 兜底机制</w:t>
      </w:r>
    </w:p>
    <w:p>
      <w:pPr>
        <w:pStyle w:val="Heading2"/>
      </w:pPr>
      <w:r>
        <w:rPr>
          <w:b/>
          <w:sz w:val="24"/>
        </w:rPr>
        <w:t>第十三条 质检数据缺位处理</w:t>
      </w:r>
    </w:p>
    <w:p>
      <w:pPr>
        <w:spacing w:after="120"/>
      </w:pPr>
      <w:r>
        <w:t>缺位情形：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情形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质检报告延迟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质检月报未在规定时间提交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覆盖率不足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实际抽检覆盖率低于规定标准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数据明显异常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数据与实际情况严重不符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供应商不配合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供应商拒绝/干扰质检</w:t>
            </w:r>
          </w:p>
        </w:tc>
      </w:tr>
    </w:tbl>
    <w:p/>
    <w:p>
      <w:pPr>
        <w:spacing w:after="120"/>
      </w:pPr>
      <w:r>
        <w:t>缺位时的处理原则：</w:t>
      </w:r>
    </w:p>
    <w:p>
      <w:pPr>
        <w:pStyle w:val="ListNumber"/>
      </w:pPr>
      <w:r>
        <w:t>不替代：供应商管理岗不自行开展质检</w:t>
      </w:r>
    </w:p>
    <w:p>
      <w:pPr>
        <w:pStyle w:val="ListNumber"/>
      </w:pPr>
      <w:r>
        <w:t>不搁置：不影响月度评估按时进行</w:t>
      </w:r>
    </w:p>
    <w:p>
      <w:pPr>
        <w:pStyle w:val="ListNumber"/>
      </w:pPr>
      <w:r>
        <w:t>预估分：缺位指标按预估分计算（取该项满分的80%）</w:t>
      </w:r>
    </w:p>
    <w:p>
      <w:pPr>
        <w:pStyle w:val="Heading2"/>
      </w:pPr>
      <w:r>
        <w:rPr>
          <w:b/>
          <w:sz w:val="24"/>
        </w:rPr>
        <w:t>第十四条 预估分机制</w:t>
      </w:r>
    </w:p>
    <w:p>
      <w:pPr>
        <w:spacing w:after="120"/>
      </w:pPr>
      <w:r>
        <w:t>预估分触发条件：质检报告延迟提交超过5个工作日，或覆盖率低于标准的50%</w:t>
      </w:r>
    </w:p>
    <w:p>
      <w:pPr>
        <w:spacing w:after="120"/>
      </w:pPr>
      <w:r>
        <w:t>预估分计算：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预估分计算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话术合规率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按该项满分×80%计算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录音完整性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按该项满分×80%计算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客户满意度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按该项满分×80%计算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投诉率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按该项满分×80%计算</w:t>
            </w:r>
          </w:p>
        </w:tc>
      </w:tr>
    </w:tbl>
    <w:p/>
    <w:p>
      <w:pPr>
        <w:spacing w:after="120"/>
      </w:pPr>
      <w:r>
        <w:t>预估分修正：</w:t>
      </w:r>
    </w:p>
    <w:p>
      <w:pPr>
        <w:pStyle w:val="ListNumber"/>
      </w:pPr>
      <w:r>
        <w:t>质检数据补齐后，按实际数据重新计算</w:t>
      </w:r>
    </w:p>
    <w:p>
      <w:pPr>
        <w:pStyle w:val="ListNumber"/>
      </w:pPr>
      <w:r>
        <w:t>重新计算结果覆盖预估分</w:t>
      </w:r>
    </w:p>
    <w:p>
      <w:pPr>
        <w:pStyle w:val="ListNumber"/>
      </w:pPr>
      <w:r>
        <w:t>重新计算的得分与预估分差异不追溯调整</w:t>
      </w:r>
    </w:p>
    <w:p>
      <w:pPr>
        <w:pStyle w:val="Heading2"/>
      </w:pPr>
      <w:r>
        <w:rPr>
          <w:b/>
          <w:sz w:val="24"/>
        </w:rPr>
        <w:t>第十五条 供应商不配合质检的处理</w:t>
      </w:r>
    </w:p>
    <w:p>
      <w:pPr>
        <w:spacing w:after="120"/>
      </w:pPr>
      <w:r>
        <w:t>处理措施：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不配合情形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第一次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第二次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第三次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拒绝抽检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扣10分，书面警告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扣20分，暂停新产能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清退评估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不提供录音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扣10分，限期提供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扣20分，暂停业务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清退评估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干扰质检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扣20分，约谈负责人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清退评估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第六章 质检与评估联动</w:t>
      </w:r>
    </w:p>
    <w:p>
      <w:pPr>
        <w:pStyle w:val="Heading2"/>
      </w:pPr>
      <w:r>
        <w:rPr>
          <w:b/>
          <w:sz w:val="24"/>
        </w:rPr>
        <w:t>第十六条 联动机制</w:t>
      </w:r>
    </w:p>
    <w:p>
      <w:pPr>
        <w:spacing w:after="120"/>
      </w:pPr>
      <w:r>
        <w:t>月度联动流程：</w:t>
      </w:r>
    </w:p>
    <w:p>
      <w:pPr>
        <w:spacing w:after="120"/>
      </w:pPr>
      <w:r>
        <w:t>```</w:t>
      </w:r>
    </w:p>
    <w:p>
      <w:pPr>
        <w:spacing w:after="120"/>
      </w:pPr>
      <w:r>
        <w:t>T+3日：质检提交月报</w:t>
      </w:r>
    </w:p>
    <w:p>
      <w:pPr>
        <w:spacing w:after="120"/>
      </w:pPr>
      <w:r>
        <w:t>↓</w:t>
      </w:r>
    </w:p>
    <w:p>
      <w:pPr>
        <w:spacing w:after="120"/>
      </w:pPr>
      <w:r>
        <w:t>T+4日：供应商管理岗核对数据</w:t>
      </w:r>
    </w:p>
    <w:p>
      <w:pPr>
        <w:spacing w:after="120"/>
      </w:pPr>
      <w:r>
        <w:t>↓</w:t>
      </w:r>
    </w:p>
    <w:p>
      <w:pPr>
        <w:spacing w:after="120"/>
      </w:pPr>
      <w:r>
        <w:t>T+5日：月度评估结果公示</w:t>
      </w:r>
    </w:p>
    <w:p>
      <w:pPr>
        <w:spacing w:after="120"/>
      </w:pPr>
      <w:r>
        <w:t>↓</w:t>
      </w:r>
    </w:p>
    <w:p>
      <w:pPr>
        <w:spacing w:after="120"/>
      </w:pPr>
      <w:r>
        <w:t>T+7日：评估结果生效应用</w:t>
      </w:r>
    </w:p>
    <w:p>
      <w:pPr>
        <w:spacing w:after="120"/>
      </w:pPr>
      <w:r>
        <w:t>```</w:t>
      </w:r>
    </w:p>
    <w:p>
      <w:pPr>
        <w:pStyle w:val="Heading2"/>
      </w:pPr>
      <w:r>
        <w:rPr>
          <w:b/>
          <w:sz w:val="24"/>
        </w:rPr>
        <w:t>第十七条 重大问题升级</w:t>
      </w:r>
    </w:p>
    <w:p>
      <w:pPr>
        <w:spacing w:after="120"/>
      </w:pPr>
      <w:r>
        <w:t>升级条件：</w:t>
      </w:r>
    </w:p>
    <w:p>
      <w:pPr>
        <w:pStyle w:val="ListNumber"/>
      </w:pPr>
      <w:r>
        <w:t>单月话术合规率低于80%</w:t>
      </w:r>
    </w:p>
    <w:p>
      <w:pPr>
        <w:pStyle w:val="ListNumber"/>
      </w:pPr>
      <w:r>
        <w:t>发现重大违规行为</w:t>
      </w:r>
    </w:p>
    <w:p>
      <w:pPr>
        <w:pStyle w:val="ListNumber"/>
      </w:pPr>
      <w:r>
        <w:t>同一问题重复出现3次以上</w:t>
      </w:r>
    </w:p>
    <w:p>
      <w:pPr>
        <w:spacing w:after="120"/>
      </w:pPr>
      <w:r>
        <w:t>升级处置：</w:t>
      </w:r>
    </w:p>
    <w:p>
      <w:pPr>
        <w:spacing w:after="120"/>
      </w:pPr>
      <w:r>
        <w:t>```</w:t>
      </w:r>
    </w:p>
    <w:p>
      <w:pPr>
        <w:spacing w:after="120"/>
      </w:pPr>
      <w:r>
        <w:t>升级报告 → 供应商管理部负责人确认 → 通知供应商 → 启动专项整改 → 整改验收</w:t>
      </w:r>
    </w:p>
    <w:p>
      <w:pPr>
        <w:spacing w:after="120"/>
      </w:pPr>
      <w:r>
        <w:t>```</w:t>
      </w:r>
    </w:p>
    <w:p>
      <w:pPr>
        <w:pStyle w:val="Heading1"/>
      </w:pPr>
      <w:r>
        <w:rPr>
          <w:b/>
          <w:sz w:val="28"/>
        </w:rPr>
        <w:t>第七章 附则</w:t>
      </w:r>
    </w:p>
    <w:p>
      <w:pPr>
        <w:pStyle w:val="Heading2"/>
      </w:pPr>
      <w:r>
        <w:rPr>
          <w:b/>
          <w:sz w:val="24"/>
        </w:rPr>
        <w:t>第十八条 生效与解释</w:t>
      </w:r>
    </w:p>
    <w:p>
      <w:pPr>
        <w:spacing w:after="120"/>
      </w:pPr>
      <w:r>
        <w:t>本规范自发布之日起生效，由供应商管理部负责解释。</w:t>
      </w:r>
    </w:p>
    <w:p>
      <w:pPr>
        <w:pStyle w:val="Heading2"/>
      </w:pPr>
      <w:r>
        <w:rPr>
          <w:b/>
          <w:sz w:val="24"/>
        </w:rPr>
        <w:t>第十九条 配套文件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文件名称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《供应商管理办法（总纲）》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《供应商管理日常手册》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《供应商管理SLA》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《供应商月度综合评估方案》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SM-2026-004</w:t>
            </w:r>
          </w:p>
        </w:tc>
      </w:tr>
    </w:tbl>
    <w:p/>
    <w:p>
      <w:pPr>
        <w:spacing w:after="120"/>
      </w:pPr>
      <w:r>
        <w:t>*（本页无正文）*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