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供应商管理办法（总纲）</w:t>
      </w:r>
    </w:p>
    <w:p>
      <w:pPr>
        <w:spacing w:after="120"/>
      </w:pPr>
      <w:r>
        <w:t>文件编号：SM-2026-001</w:t>
      </w:r>
    </w:p>
    <w:p>
      <w:pPr>
        <w:spacing w:after="120"/>
      </w:pPr>
      <w:r>
        <w:t>版本：V1.0</w:t>
      </w:r>
    </w:p>
    <w:p>
      <w:pPr>
        <w:spacing w:after="120"/>
      </w:pPr>
      <w:r>
        <w:t>生效日期：2026年XX月XX日</w:t>
      </w:r>
    </w:p>
    <w:p>
      <w:pPr>
        <w:spacing w:after="120"/>
      </w:pPr>
      <w:r>
        <w:t>发布单位：供应商管理部</w:t>
      </w:r>
    </w:p>
    <w:p>
      <w:pPr>
        <w:pStyle w:val="Heading1"/>
      </w:pPr>
      <w:r>
        <w:rPr>
          <w:b/>
          <w:sz w:val="28"/>
        </w:rPr>
        <w:t>第一章 总则</w:t>
      </w:r>
    </w:p>
    <w:p>
      <w:pPr>
        <w:pStyle w:val="Heading2"/>
      </w:pPr>
      <w:r>
        <w:rPr>
          <w:b/>
          <w:sz w:val="24"/>
        </w:rPr>
        <w:t>第一条 目的与依据</w:t>
      </w:r>
    </w:p>
    <w:p>
      <w:pPr>
        <w:spacing w:after="120"/>
      </w:pPr>
      <w:r>
        <w:t>为加强电销BPO供应商管理，规范供应商全生命周期管理流程，保障业务稳定运行，依据《电销业务合规管理办法》《供应商合作管理制度》等相关规定，特制定本办法。</w:t>
      </w:r>
    </w:p>
    <w:p>
      <w:pPr>
        <w:pStyle w:val="Heading2"/>
      </w:pPr>
      <w:r>
        <w:rPr>
          <w:b/>
          <w:sz w:val="24"/>
        </w:rPr>
        <w:t>第二条 适用范围</w:t>
      </w:r>
    </w:p>
    <w:p>
      <w:pPr>
        <w:spacing w:after="120"/>
      </w:pPr>
      <w:r>
        <w:t>本办法适用于金融产品电销外呼业务涉及的全体供应商（含人工外呼供应商和人机协同供应商），涵盖金条、信用卡、财富等全部业务产线。</w:t>
      </w:r>
    </w:p>
    <w:p>
      <w:pPr>
        <w:pStyle w:val="Heading2"/>
      </w:pPr>
      <w:r>
        <w:rPr>
          <w:b/>
          <w:sz w:val="24"/>
        </w:rPr>
        <w:t>第三条 管理原则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**合规底线**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信息安全、持证上岗、数据真实性为不可触碰的红线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**动态管理**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建立准入→运营→评估→清退的全周期管理机制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**量化评估**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所有评价基于客观数据，评分有据可查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**分级管控**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根据评估等级实施差异化管控措施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第二章 供应商全生命周期管理</w:t>
      </w:r>
    </w:p>
    <w:p>
      <w:pPr>
        <w:pStyle w:val="Heading2"/>
      </w:pPr>
      <w:r>
        <w:rPr>
          <w:b/>
          <w:sz w:val="24"/>
        </w:rPr>
        <w:t>第四条 准入阶段</w:t>
      </w:r>
    </w:p>
    <w:p>
      <w:pPr>
        <w:spacing w:after="120"/>
      </w:pPr>
      <w:r>
        <w:t>准入条件（须同时满足）：</w:t>
      </w:r>
    </w:p>
    <w:p>
      <w:pPr>
        <w:pStyle w:val="ListNumber"/>
      </w:pPr>
      <w:r>
        <w:t>具备有效营业执照及相关业务经营资质</w:t>
      </w:r>
    </w:p>
    <w:p>
      <w:pPr>
        <w:pStyle w:val="ListNumber"/>
      </w:pPr>
      <w:r>
        <w:t>坐席规模不低于50人</w:t>
      </w:r>
    </w:p>
    <w:p>
      <w:pPr>
        <w:pStyle w:val="ListNumber"/>
      </w:pPr>
      <w:r>
        <w:t>人员持证率（金融相关资质）达到100%</w:t>
      </w:r>
    </w:p>
    <w:p>
      <w:pPr>
        <w:pStyle w:val="ListNumber"/>
      </w:pPr>
      <w:r>
        <w:t>具备独立质检团队或第三方质检协议</w:t>
      </w:r>
    </w:p>
    <w:p>
      <w:pPr>
        <w:pStyle w:val="ListNumber"/>
      </w:pPr>
      <w:r>
        <w:t>数据安全防护能力通过我方评估</w:t>
      </w:r>
    </w:p>
    <w:p>
      <w:pPr>
        <w:pStyle w:val="ListNumber"/>
      </w:pPr>
      <w:r>
        <w:t>无重大商业违规或法律诉讼记录</w:t>
      </w:r>
    </w:p>
    <w:p>
      <w:pPr>
        <w:spacing w:after="120"/>
      </w:pPr>
      <w:r>
        <w:t>准入流程：</w:t>
      </w:r>
    </w:p>
    <w:p>
      <w:pPr>
        <w:spacing w:after="120"/>
      </w:pPr>
      <w:r>
        <w:t>```</w:t>
      </w:r>
    </w:p>
    <w:p>
      <w:pPr>
        <w:spacing w:after="120"/>
      </w:pPr>
      <w:r>
        <w:t>供应商申请 → 资质审核 → 现场考察 → 试运行评审 → 转正评估 → 正式签约</w:t>
      </w:r>
    </w:p>
    <w:p>
      <w:pPr>
        <w:spacing w:after="120"/>
      </w:pPr>
      <w: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评审主体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资质审核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10个工作日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现场考察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5个工作日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 + 业务方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试运行评审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 + 质检 + 业务方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转正评估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5个工作日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第五条 运营阶段</w:t>
      </w:r>
    </w:p>
    <w:p>
      <w:pPr>
        <w:spacing w:after="120"/>
      </w:pPr>
      <w:r>
        <w:t>日常管理：</w:t>
      </w:r>
    </w:p>
    <w:p>
      <w:pPr>
        <w:pStyle w:val="ListNumber"/>
      </w:pPr>
      <w:r>
        <w:t>信息报送：供应商须按要求报送每日出勤、业绩数据、花名册变动等信息</w:t>
      </w:r>
    </w:p>
    <w:p>
      <w:pPr>
        <w:pStyle w:val="ListNumber"/>
      </w:pPr>
      <w:r>
        <w:t>合规监控：持续监控信息安全、人员资质、话术规范等合规指标</w:t>
      </w:r>
    </w:p>
    <w:p>
      <w:pPr>
        <w:pStyle w:val="ListNumber"/>
      </w:pPr>
      <w:r>
        <w:t>异常处理：建立三级异常响应机制（一般/重要/紧急）</w:t>
      </w:r>
    </w:p>
    <w:p>
      <w:pPr>
        <w:pStyle w:val="ListNumber"/>
      </w:pPr>
      <w:r>
        <w:t>定期评估：每月进行一次综合评估，评估结果与分级挂钩</w:t>
      </w:r>
    </w:p>
    <w:p>
      <w:pPr>
        <w:spacing w:after="120"/>
      </w:pPr>
      <w:r>
        <w:t>运营准入门槛维持条件：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达标线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月度综合评估等级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不低于C级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数据报送及时率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数据准确率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人员持证率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第六条 评估阶段</w:t>
      </w:r>
    </w:p>
    <w:p>
      <w:pPr>
        <w:spacing w:after="120"/>
      </w:pPr>
      <w:r>
        <w:t>评估周期：每月一次综合评估，每季度一次深度评估</w:t>
      </w:r>
    </w:p>
    <w:p>
      <w:pPr>
        <w:spacing w:after="120"/>
      </w:pPr>
      <w:r>
        <w:t>评估维度：交付质量（40分）、业务达成（30分）、合规表现（20分）、管理配合（10分），满分100分</w:t>
      </w:r>
    </w:p>
    <w:p>
      <w:pPr>
        <w:spacing w:after="120"/>
      </w:pPr>
      <w:r>
        <w:t>评级等级：A/B/C/D/E五级，详见《供应商月度综合评估方案》</w:t>
      </w:r>
    </w:p>
    <w:p>
      <w:pPr>
        <w:pStyle w:val="Heading2"/>
      </w:pPr>
      <w:r>
        <w:rPr>
          <w:b/>
          <w:sz w:val="24"/>
        </w:rPr>
        <w:t>第七条 清退阶段</w:t>
      </w:r>
    </w:p>
    <w:p>
      <w:pPr>
        <w:spacing w:after="120"/>
      </w:pPr>
      <w:r>
        <w:t>清退条件：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清退类型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触发条件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即时清退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触碰合规红线（一票否决项）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预警清退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连续2个月评估等级为E级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整改清退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整改期满（最长60天）未达到整改目标</w:t>
            </w:r>
          </w:p>
        </w:tc>
      </w:tr>
    </w:tbl>
    <w:p/>
    <w:p>
      <w:pPr>
        <w:spacing w:after="120"/>
      </w:pPr>
      <w:r>
        <w:t>清退流程：</w:t>
      </w:r>
    </w:p>
    <w:p>
      <w:pPr>
        <w:spacing w:after="120"/>
      </w:pPr>
      <w:r>
        <w:t>```</w:t>
      </w:r>
    </w:p>
    <w:p>
      <w:pPr>
        <w:spacing w:after="120"/>
      </w:pPr>
      <w:r>
        <w:t>清退决策 → 提前30天通知 → 业务交接 → 数据归档 → 关系终止</w:t>
      </w:r>
    </w:p>
    <w:p>
      <w:pPr>
        <w:spacing w:after="120"/>
      </w:pPr>
      <w:r>
        <w:t>```</w:t>
      </w:r>
    </w:p>
    <w:p>
      <w:pPr>
        <w:spacing w:after="120"/>
      </w:pPr>
      <w:r>
        <w:t>清退后管理：</w:t>
      </w:r>
    </w:p>
    <w:p>
      <w:pPr>
        <w:pStyle w:val="ListNumber"/>
      </w:pPr>
      <w:r>
        <w:t>供应商须配合完成业务交接，确保交付连续性</w:t>
      </w:r>
    </w:p>
    <w:p>
      <w:pPr>
        <w:pStyle w:val="ListNumber"/>
      </w:pPr>
      <w:r>
        <w:t>所有业务数据、客户信息须在清退后15个工作日内完成移交</w:t>
      </w:r>
    </w:p>
    <w:p>
      <w:pPr>
        <w:pStyle w:val="ListNumber"/>
      </w:pPr>
      <w:r>
        <w:t>清退后1年内不得重新申请准入</w:t>
      </w:r>
    </w:p>
    <w:p>
      <w:pPr>
        <w:pStyle w:val="Heading1"/>
      </w:pPr>
      <w:r>
        <w:rPr>
          <w:b/>
          <w:sz w:val="28"/>
        </w:rPr>
        <w:t>第三章 权责划分</w:t>
      </w:r>
    </w:p>
    <w:p>
      <w:pPr>
        <w:pStyle w:val="Heading2"/>
      </w:pPr>
      <w:r>
        <w:rPr>
          <w:b/>
          <w:sz w:val="24"/>
        </w:rPr>
        <w:t>第八条 供应商管理岗职责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制度建设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制定并维护供应商管理制度、规范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准入管理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供应商准入审核、试运行跟踪、转正评估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日常运营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信息报送管理、异常处理、沟通协调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评估考核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月度评估实施、评级结果应用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清退执行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清退决策执行、交接监督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第九条 业务方职责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业务指导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业务培训、话术规范、作业流程指导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交付管理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日常业务交付、产能调度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数据提供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提供业务相关数据，配合评估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问题反馈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发现供应商问题及时通报业管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第十条 质检团队职责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质检执行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按计划实施质检，覆盖率达标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数据产出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提供质检报告、数据分析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问题通报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发现重大合规问题即时通报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校准维护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定期校准质检标准，确保一致性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第十一条 站点职责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现场管理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站点日常运营、现场环境管理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人员管理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坐席出勤、现场人员调度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应急响应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现场异常情况第一时间响应处置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信息传递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配合总部要求，传递执行指令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第四章 合规红线</w:t>
      </w:r>
    </w:p>
    <w:p>
      <w:pPr>
        <w:pStyle w:val="Heading2"/>
      </w:pPr>
      <w:r>
        <w:rPr>
          <w:b/>
          <w:sz w:val="24"/>
        </w:rPr>
        <w:t>第十二条 信息安全红线</w:t>
      </w:r>
    </w:p>
    <w:p>
      <w:pPr>
        <w:spacing w:after="120"/>
      </w:pPr>
      <w:r>
        <w:t>严禁行为：</w:t>
      </w:r>
    </w:p>
    <w:p>
      <w:pPr>
        <w:pStyle w:val="ListNumber"/>
      </w:pPr>
      <w:r>
        <w:t>泄露客户个人信息（含姓名、电话、地址、资产信息等）</w:t>
      </w:r>
    </w:p>
    <w:p>
      <w:pPr>
        <w:pStyle w:val="ListNumber"/>
      </w:pPr>
      <w:r>
        <w:t>未经授权的数据下载、复制、导出</w:t>
      </w:r>
    </w:p>
    <w:p>
      <w:pPr>
        <w:pStyle w:val="ListNumber"/>
      </w:pPr>
      <w:r>
        <w:t>将客户数据存储于非授权系统或外部设备</w:t>
      </w:r>
    </w:p>
    <w:p>
      <w:pPr>
        <w:pStyle w:val="ListNumber"/>
      </w:pPr>
      <w:r>
        <w:t>与竞争对手共享客户数据</w:t>
      </w:r>
    </w:p>
    <w:p>
      <w:pPr>
        <w:pStyle w:val="ListNumber"/>
      </w:pPr>
      <w:r>
        <w:t>数据传输未加密</w:t>
      </w:r>
    </w:p>
    <w:p>
      <w:pPr>
        <w:spacing w:after="120"/>
      </w:pPr>
      <w:r>
        <w:t>触发后果：立即启动清退流程，情节严重者追究法律责任</w:t>
      </w:r>
    </w:p>
    <w:p>
      <w:pPr>
        <w:pStyle w:val="Heading2"/>
      </w:pPr>
      <w:r>
        <w:rPr>
          <w:b/>
          <w:sz w:val="24"/>
        </w:rPr>
        <w:t>第十三条 持证上岗红线</w:t>
      </w:r>
    </w:p>
    <w:p>
      <w:pPr>
        <w:spacing w:after="120"/>
      </w:pPr>
      <w:r>
        <w:t>要求：全体坐席人员须在入职30日内取得金融相关资质证书</w:t>
      </w:r>
    </w:p>
    <w:p>
      <w:pPr>
        <w:spacing w:after="120"/>
      </w:pPr>
      <w:r>
        <w:t>严禁行为：</w:t>
      </w:r>
    </w:p>
    <w:p>
      <w:pPr>
        <w:pStyle w:val="ListNumber"/>
      </w:pPr>
      <w:r>
        <w:t>无证人员上岗作业</w:t>
      </w:r>
    </w:p>
    <w:p>
      <w:pPr>
        <w:pStyle w:val="ListNumber"/>
      </w:pPr>
      <w:r>
        <w:t>证书过期未续期继续上岗</w:t>
      </w:r>
    </w:p>
    <w:p>
      <w:pPr>
        <w:pStyle w:val="ListNumber"/>
      </w:pPr>
      <w:r>
        <w:t>持假证或借用他人证书</w:t>
      </w:r>
    </w:p>
    <w:p>
      <w:pPr>
        <w:pStyle w:val="ListNumber"/>
      </w:pPr>
      <w:r>
        <w:t>证书信息与实际作业人员不符</w:t>
      </w:r>
    </w:p>
    <w:p>
      <w:pPr>
        <w:spacing w:after="120"/>
      </w:pPr>
      <w:r>
        <w:t>触发后果：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违规情形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无证人员上岗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每发现1人扣5分，暂停新产能分配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证书过期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限5个工作日内完成续期，逾期视为无证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假证/借证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直接清退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第十四条 数据造假红线</w:t>
      </w:r>
    </w:p>
    <w:p>
      <w:pPr>
        <w:spacing w:after="120"/>
      </w:pPr>
      <w:r>
        <w:t>严禁行为：</w:t>
      </w:r>
    </w:p>
    <w:p>
      <w:pPr>
        <w:pStyle w:val="ListNumber"/>
      </w:pPr>
      <w:r>
        <w:t>篡改、伪造业绩数据</w:t>
      </w:r>
    </w:p>
    <w:p>
      <w:pPr>
        <w:pStyle w:val="ListNumber"/>
      </w:pPr>
      <w:r>
        <w:t>篡改、伪造出勤记录</w:t>
      </w:r>
    </w:p>
    <w:p>
      <w:pPr>
        <w:pStyle w:val="ListNumber"/>
      </w:pPr>
      <w:r>
        <w:t>伪造质检合格记录</w:t>
      </w:r>
    </w:p>
    <w:p>
      <w:pPr>
        <w:pStyle w:val="ListNumber"/>
      </w:pPr>
      <w:r>
        <w:t>篡改、删除通话录音</w:t>
      </w:r>
    </w:p>
    <w:p>
      <w:pPr>
        <w:pStyle w:val="ListNumber"/>
      </w:pPr>
      <w:r>
        <w:t>伪造培训记录</w:t>
      </w:r>
    </w:p>
    <w:p>
      <w:pPr>
        <w:spacing w:after="120"/>
      </w:pPr>
      <w:r>
        <w:t>触发后果：直接清退，扣除全部履约保证金，3年内不得重新准入</w:t>
      </w:r>
    </w:p>
    <w:p>
      <w:pPr>
        <w:pStyle w:val="Heading2"/>
      </w:pPr>
      <w:r>
        <w:rPr>
          <w:b/>
          <w:sz w:val="24"/>
        </w:rPr>
        <w:t>第十五条 录音篡改红线</w:t>
      </w:r>
    </w:p>
    <w:p>
      <w:pPr>
        <w:spacing w:after="120"/>
      </w:pPr>
      <w:r>
        <w:t>严禁行为：</w:t>
      </w:r>
    </w:p>
    <w:p>
      <w:pPr>
        <w:pStyle w:val="ListNumber"/>
      </w:pPr>
      <w:r>
        <w:t>对通话录音进行任何形式的剪辑、拼接</w:t>
      </w:r>
    </w:p>
    <w:p>
      <w:pPr>
        <w:pStyle w:val="ListNumber"/>
      </w:pPr>
      <w:r>
        <w:t>删除、销毁通话录音</w:t>
      </w:r>
    </w:p>
    <w:p>
      <w:pPr>
        <w:pStyle w:val="ListNumber"/>
      </w:pPr>
      <w:r>
        <w:t>录音留存时长不符合规定（须留存≥6个月）</w:t>
      </w:r>
    </w:p>
    <w:p>
      <w:pPr>
        <w:pStyle w:val="ListNumber"/>
      </w:pPr>
      <w:r>
        <w:t>录音存储于非授权系统</w:t>
      </w:r>
    </w:p>
    <w:p>
      <w:pPr>
        <w:spacing w:after="120"/>
      </w:pPr>
      <w:r>
        <w:t>触发后果：直接清退，情节严重者追究法律责任</w:t>
      </w:r>
    </w:p>
    <w:p>
      <w:pPr>
        <w:pStyle w:val="Heading1"/>
      </w:pPr>
      <w:r>
        <w:rPr>
          <w:b/>
          <w:sz w:val="28"/>
        </w:rPr>
        <w:t>第五章 预警与清退机制</w:t>
      </w:r>
    </w:p>
    <w:p>
      <w:pPr>
        <w:pStyle w:val="Heading2"/>
      </w:pPr>
      <w:r>
        <w:rPr>
          <w:b/>
          <w:sz w:val="24"/>
        </w:rPr>
        <w:t>第十六条 预警机制</w:t>
      </w:r>
    </w:p>
    <w:p>
      <w:pPr>
        <w:spacing w:after="120"/>
      </w:pPr>
      <w:r>
        <w:t>预警分级：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预警等级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响应时限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处置措施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黄色预警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单项指标低于达标线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书面提醒，要求提交改进计划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橙色预警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单项指标低于预警线，或连续2周黄色预警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约谈供应商负责人，限制新产能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红色预警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单项指标低于红线，或橙色预警未改善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即时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暂停新产能，启动清退评估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第十七条 整改机制</w:t>
      </w:r>
    </w:p>
    <w:p>
      <w:pPr>
        <w:spacing w:after="120"/>
      </w:pPr>
      <w:r>
        <w:t>整改触发：月度评估等级为D级或E级</w:t>
      </w:r>
    </w:p>
    <w:p>
      <w:pPr>
        <w:spacing w:after="120"/>
      </w:pPr>
      <w:r>
        <w:t>整改流程：</w:t>
      </w:r>
    </w:p>
    <w:p>
      <w:pPr>
        <w:spacing w:after="120"/>
      </w:pPr>
      <w:r>
        <w:t>```</w:t>
      </w:r>
    </w:p>
    <w:p>
      <w:pPr>
        <w:spacing w:after="120"/>
      </w:pPr>
      <w:r>
        <w:t>整改通知 → 整改计划提交（5个工作日）→ 整改计划审核 → 整改执行（30-60天）→ 整改验收</w:t>
      </w:r>
    </w:p>
    <w:p>
      <w:pPr>
        <w:spacing w:after="120"/>
      </w:pPr>
      <w:r>
        <w:t>```</w:t>
      </w:r>
    </w:p>
    <w:p>
      <w:pPr>
        <w:spacing w:after="120"/>
      </w:pPr>
      <w:r>
        <w:t>整改期间管控：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整改等级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产能管控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新业务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评估频率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D级整改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冻结新增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暂停新业务分配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每半月评估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E级整改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逐步缩减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暂停所有新业务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每周评估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第十八条 清退决策机制</w:t>
      </w:r>
    </w:p>
    <w:p>
      <w:pPr>
        <w:spacing w:after="120"/>
      </w:pPr>
      <w:r>
        <w:t>即时清退决策：触碰红线后48小时内形成清退决议</w:t>
      </w:r>
    </w:p>
    <w:p>
      <w:pPr>
        <w:spacing w:after="120"/>
      </w:pPr>
      <w:r>
        <w:t>预警清退决策：连续2个月E级后5个工作日内形成清退决议</w:t>
      </w:r>
    </w:p>
    <w:p>
      <w:pPr>
        <w:spacing w:after="120"/>
      </w:pPr>
      <w:r>
        <w:t>清退决议须包含：</w:t>
      </w:r>
    </w:p>
    <w:p>
      <w:pPr>
        <w:pStyle w:val="ListNumber"/>
      </w:pPr>
      <w:r>
        <w:t>清退理由（量化依据）</w:t>
      </w:r>
    </w:p>
    <w:p>
      <w:pPr>
        <w:pStyle w:val="ListNumber"/>
      </w:pPr>
      <w:r>
        <w:t>清退时间节点</w:t>
      </w:r>
    </w:p>
    <w:p>
      <w:pPr>
        <w:pStyle w:val="ListNumber"/>
      </w:pPr>
      <w:r>
        <w:t>业务交接方案</w:t>
      </w:r>
    </w:p>
    <w:p>
      <w:pPr>
        <w:pStyle w:val="ListNumber"/>
      </w:pPr>
      <w:r>
        <w:t>责任追究说明</w:t>
      </w:r>
    </w:p>
    <w:p>
      <w:pPr>
        <w:pStyle w:val="Heading1"/>
      </w:pPr>
      <w:r>
        <w:rPr>
          <w:b/>
          <w:sz w:val="28"/>
        </w:rPr>
        <w:t>第六章 集中度管控</w:t>
      </w:r>
    </w:p>
    <w:p>
      <w:pPr>
        <w:pStyle w:val="Heading2"/>
      </w:pPr>
      <w:r>
        <w:rPr>
          <w:b/>
          <w:sz w:val="24"/>
        </w:rPr>
        <w:t>第十九条 集中度管控原则</w:t>
      </w:r>
    </w:p>
    <w:p>
      <w:pPr>
        <w:spacing w:after="120"/>
      </w:pPr>
      <w:r>
        <w:t>为防范业务过度集中风险，实施以下集中度管控：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管控维度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上限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单供应商坐席规模占比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单供应商产能占比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前三大供应商合计占比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≤50%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单业务线单一供应商依赖度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≤60%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第二十条 集中度预警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预警条件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处置措施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单供应商占比接近上限（80%）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暂停新产能分配，启动扩项评审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已达上限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不再增加产能，推动业务分流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第二十一条 扩项审批</w:t>
      </w:r>
    </w:p>
    <w:p>
      <w:pPr>
        <w:spacing w:after="120"/>
      </w:pPr>
      <w:r>
        <w:t>供应商扩项（增加业务产线或增加坐席规模）须满足：</w:t>
      </w:r>
    </w:p>
    <w:p>
      <w:pPr>
        <w:pStyle w:val="ListNumber"/>
      </w:pPr>
      <w:r>
        <w:t>当前评估等级不低于B级</w:t>
      </w:r>
    </w:p>
    <w:p>
      <w:pPr>
        <w:pStyle w:val="ListNumber"/>
      </w:pPr>
      <w:r>
        <w:t>无橙色及以上预警</w:t>
      </w:r>
    </w:p>
    <w:p>
      <w:pPr>
        <w:pStyle w:val="ListNumber"/>
      </w:pPr>
      <w:r>
        <w:t>扩项后仍符合集中度管控要求</w:t>
      </w:r>
    </w:p>
    <w:p>
      <w:pPr>
        <w:pStyle w:val="ListNumber"/>
      </w:pPr>
      <w:r>
        <w:t>通过扩项专项评审</w:t>
      </w:r>
    </w:p>
    <w:p>
      <w:pPr>
        <w:pStyle w:val="Heading1"/>
      </w:pPr>
      <w:r>
        <w:rPr>
          <w:b/>
          <w:sz w:val="28"/>
        </w:rPr>
        <w:t>第七章 附则</w:t>
      </w:r>
    </w:p>
    <w:p>
      <w:pPr>
        <w:pStyle w:val="Heading2"/>
      </w:pPr>
      <w:r>
        <w:rPr>
          <w:b/>
          <w:sz w:val="24"/>
        </w:rPr>
        <w:t>第二十二条 解释权</w:t>
      </w:r>
    </w:p>
    <w:p>
      <w:pPr>
        <w:spacing w:after="120"/>
      </w:pPr>
      <w:r>
        <w:t>本办法由供应商管理部负责解释。</w:t>
      </w:r>
    </w:p>
    <w:p>
      <w:pPr>
        <w:pStyle w:val="Heading2"/>
      </w:pPr>
      <w:r>
        <w:rPr>
          <w:b/>
          <w:sz w:val="24"/>
        </w:rPr>
        <w:t>第二十三条 生效与修订</w:t>
      </w:r>
    </w:p>
    <w:p>
      <w:pPr>
        <w:spacing w:after="120"/>
      </w:pPr>
      <w:r>
        <w:t>本办法自发布之日起生效，修订须经供应商管理部负责人审批。</w:t>
      </w:r>
    </w:p>
    <w:p>
      <w:pPr>
        <w:pStyle w:val="Heading2"/>
      </w:pPr>
      <w:r>
        <w:rPr>
          <w:b/>
          <w:sz w:val="24"/>
        </w:rPr>
        <w:t>第二十四条 配套文件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《供应商管理日常手册》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《供应商管理SLA》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《供应商月度综合评估方案》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《质量管理规范》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SM-2026-005</w:t>
            </w:r>
          </w:p>
        </w:tc>
      </w:tr>
    </w:tbl>
    <w:p/>
    <w:p>
      <w:pPr>
        <w:spacing w:after="120"/>
      </w:pPr>
      <w:r>
        <w:t>签发人：________________</w:t>
      </w:r>
    </w:p>
    <w:p>
      <w:pPr>
        <w:spacing w:after="120"/>
      </w:pPr>
      <w:r>
        <w:t>日 期：________________</w:t>
      </w:r>
    </w:p>
    <w:p>
      <w:pPr>
        <w:spacing w:after="120"/>
      </w:pPr>
      <w:r>
        <w:t>*（本页无正文）*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