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供应商管理日常手册</w:t>
      </w:r>
    </w:p>
    <w:p>
      <w:pPr>
        <w:spacing w:after="120"/>
      </w:pPr>
      <w:r>
        <w:t>文件编号：SM-2026-002</w:t>
      </w:r>
    </w:p>
    <w:p>
      <w:pPr>
        <w:spacing w:after="120"/>
      </w:pPr>
      <w:r>
        <w:t>版本：V1.0</w:t>
      </w:r>
    </w:p>
    <w:p>
      <w:pPr>
        <w:spacing w:after="120"/>
      </w:pPr>
      <w:r>
        <w:t>生效日期：2026年XX月XX日</w:t>
      </w:r>
    </w:p>
    <w:p>
      <w:pPr>
        <w:spacing w:after="120"/>
      </w:pPr>
      <w:r>
        <w:t>发布单位：供应商管理部</w:t>
      </w:r>
    </w:p>
    <w:p>
      <w:pPr>
        <w:pStyle w:val="Heading1"/>
      </w:pPr>
      <w:r>
        <w:rPr>
          <w:b/>
          <w:sz w:val="28"/>
        </w:rPr>
        <w:t>第一章 总则</w:t>
      </w:r>
    </w:p>
    <w:p>
      <w:pPr>
        <w:pStyle w:val="Heading2"/>
      </w:pPr>
      <w:r>
        <w:rPr>
          <w:b/>
          <w:sz w:val="24"/>
        </w:rPr>
        <w:t>第一条 目的</w:t>
      </w:r>
    </w:p>
    <w:p>
      <w:pPr>
        <w:spacing w:after="120"/>
      </w:pPr>
      <w:r>
        <w:t>本手册明确供应商日常管理中各角色的具体职责、操作规范、时间节点，确保管理动作标准化、执行有据可查。</w:t>
      </w:r>
    </w:p>
    <w:p>
      <w:pPr>
        <w:pStyle w:val="Heading2"/>
      </w:pPr>
      <w:r>
        <w:rPr>
          <w:b/>
          <w:sz w:val="24"/>
        </w:rPr>
        <w:t>第二条 适用范围</w:t>
      </w:r>
    </w:p>
    <w:p>
      <w:pPr>
        <w:spacing w:after="120"/>
      </w:pPr>
      <w:r>
        <w:t>全体电销BPO供应商及供应商管理岗、业务方、质检团队、站点管理人员。</w:t>
      </w:r>
    </w:p>
    <w:p>
      <w:pPr>
        <w:pStyle w:val="Heading1"/>
      </w:pPr>
      <w:r>
        <w:rPr>
          <w:b/>
          <w:sz w:val="28"/>
        </w:rPr>
        <w:t>第二章 信息报送规范</w:t>
      </w:r>
    </w:p>
    <w:p>
      <w:pPr>
        <w:pStyle w:val="Heading2"/>
      </w:pPr>
      <w:r>
        <w:rPr>
          <w:b/>
          <w:sz w:val="24"/>
        </w:rPr>
        <w:t>第三条 报送分类与时间节点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报送类型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报送频率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截止时间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报送方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接收方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每日出勤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每日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10:00前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供应商管理岗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每日业绩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每日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20:00前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供应商管理岗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周报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每周一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12:00前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供应商管理岗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月度总结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每月第2个工作日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18:00前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供应商管理岗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花名册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实时+月度汇总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变动24h内/每月末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供应商管理岗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第四条 每日出勤报送规范</w:t>
      </w:r>
    </w:p>
    <w:p>
      <w:pPr>
        <w:spacing w:after="120"/>
      </w:pPr>
      <w:r>
        <w:t>报送内容：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统计日期（YYYY-MM-DD）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应到人数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当日应出勤坐席数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实到人数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当日实际出勤坐席数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出勤率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实到/应到×100%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请假人数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已请假人数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旷工人数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无故缺勤人数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在岗培训人数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参加培训人数</w:t>
            </w:r>
          </w:p>
        </w:tc>
      </w:tr>
    </w:tbl>
    <w:p/>
    <w:p>
      <w:pPr>
        <w:spacing w:after="120"/>
      </w:pPr>
      <w:r>
        <w:t>格式要求：</w:t>
      </w:r>
    </w:p>
    <w:p>
      <w:pPr>
        <w:pStyle w:val="ListNumber"/>
      </w:pPr>
      <w:r>
        <w:t>统一使用《每日出勤报送表》（模板SM-TPL-001）</w:t>
      </w:r>
    </w:p>
    <w:p>
      <w:pPr>
        <w:pStyle w:val="ListNumber"/>
      </w:pPr>
      <w:r>
        <w:t>以Excel格式提交，文件名：`日期_供应商名称_出勤.xlsx`</w:t>
      </w:r>
    </w:p>
    <w:p>
      <w:pPr>
        <w:pStyle w:val="ListNumber"/>
      </w:pPr>
      <w:r>
        <w:t>数据须与站点打卡记录一致</w:t>
      </w:r>
    </w:p>
    <w:p>
      <w:pPr>
        <w:spacing w:after="120"/>
      </w:pPr>
      <w:r>
        <w:t>异常判定：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处置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出勤率≥95%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归档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90%≤出勤率&lt;95%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供应商说明原因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出勤率&lt;90%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异常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启动异常处理流程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第五条 每日业绩复盘规范</w:t>
      </w:r>
    </w:p>
    <w:p>
      <w:pPr>
        <w:spacing w:after="120"/>
      </w:pPr>
      <w:r>
        <w:t>报送内容：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统计日期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业务产线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金条/信用卡/财富等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外呼量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当日总外呼数量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接通量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实际接通数量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转化量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成功转化数量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转化率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转化量/接通量×100%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人均产能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转化量/实到人数</w:t>
            </w:r>
          </w:p>
        </w:tc>
      </w:tr>
    </w:tbl>
    <w:p/>
    <w:p>
      <w:pPr>
        <w:spacing w:after="120"/>
      </w:pPr>
      <w:r>
        <w:t>格式要求：</w:t>
      </w:r>
    </w:p>
    <w:p>
      <w:pPr>
        <w:pStyle w:val="ListNumber"/>
      </w:pPr>
      <w:r>
        <w:t>统一使用《每日业绩报送表》（模板SM-TPL-002）</w:t>
      </w:r>
    </w:p>
    <w:p>
      <w:pPr>
        <w:pStyle w:val="ListNumber"/>
      </w:pPr>
      <w:r>
        <w:t>以Excel格式提交，文件名：`日期_供应商名称_业绩.xlsx`</w:t>
      </w:r>
    </w:p>
    <w:p>
      <w:pPr>
        <w:pStyle w:val="ListNumber"/>
      </w:pPr>
      <w:r>
        <w:t>须与业务方系统数据一致</w:t>
      </w:r>
    </w:p>
    <w:p>
      <w:pPr>
        <w:pStyle w:val="Heading2"/>
      </w:pPr>
      <w:r>
        <w:rPr>
          <w:b/>
          <w:sz w:val="24"/>
        </w:rPr>
        <w:t>第六条 周报规范</w:t>
      </w:r>
    </w:p>
    <w:p>
      <w:pPr>
        <w:spacing w:after="120"/>
      </w:pPr>
      <w:r>
        <w:t>报送内容：</w:t>
      </w:r>
    </w:p>
    <w:p>
      <w:pPr>
        <w:pStyle w:val="ListNumber"/>
      </w:pPr>
      <w:r>
        <w:t>本周工作概述（200字以内）</w:t>
      </w:r>
    </w:p>
    <w:p>
      <w:pPr>
        <w:pStyle w:val="ListNumber"/>
      </w:pPr>
      <w:r>
        <w:t>业绩数据汇总：每日数据汇总表 + 趋势分析</w:t>
      </w:r>
    </w:p>
    <w:p>
      <w:pPr>
        <w:pStyle w:val="ListNumber"/>
      </w:pPr>
      <w:r>
        <w:t>人员变动情况：本周入职、转正、离职人数</w:t>
      </w:r>
    </w:p>
    <w:p>
      <w:pPr>
        <w:pStyle w:val="ListNumber"/>
      </w:pPr>
      <w:r>
        <w:t>合规执行情况：培训完成率、证书持有情况</w:t>
      </w:r>
    </w:p>
    <w:p>
      <w:pPr>
        <w:pStyle w:val="ListNumber"/>
      </w:pPr>
      <w:r>
        <w:t>问题与改进：本周遇到的问题及下步改进措施</w:t>
      </w:r>
    </w:p>
    <w:p>
      <w:pPr>
        <w:pStyle w:val="ListNumber"/>
      </w:pPr>
      <w:r>
        <w:t>下周工作计划：重点工作和预期目标</w:t>
      </w:r>
    </w:p>
    <w:p>
      <w:pPr>
        <w:spacing w:after="120"/>
      </w:pPr>
      <w:r>
        <w:t>格式要求：</w:t>
      </w:r>
    </w:p>
    <w:p>
      <w:pPr>
        <w:pStyle w:val="ListNumber"/>
      </w:pPr>
      <w:r>
        <w:t>统一使用《周报模板》（模板SM-TPL-003）</w:t>
      </w:r>
    </w:p>
    <w:p>
      <w:pPr>
        <w:pStyle w:val="ListNumber"/>
      </w:pPr>
      <w:r>
        <w:t>以Word格式提交，文件名：`周次_供应商名称_周报.docx`</w:t>
      </w:r>
    </w:p>
    <w:p>
      <w:pPr>
        <w:pStyle w:val="ListNumber"/>
      </w:pPr>
      <w:r>
        <w:t>须加盖供应商公章或签字</w:t>
      </w:r>
    </w:p>
    <w:p>
      <w:pPr>
        <w:pStyle w:val="Heading2"/>
      </w:pPr>
      <w:r>
        <w:rPr>
          <w:b/>
          <w:sz w:val="24"/>
        </w:rPr>
        <w:t>第七条 月度总结规范</w:t>
      </w:r>
    </w:p>
    <w:p>
      <w:pPr>
        <w:spacing w:after="120"/>
      </w:pPr>
      <w:r>
        <w:t>报送内容：</w:t>
      </w:r>
    </w:p>
    <w:p>
      <w:pPr>
        <w:pStyle w:val="ListNumber"/>
      </w:pPr>
      <w:r>
        <w:t>月度业绩总结：业绩数据、目标完成率、同比/环比分析</w:t>
      </w:r>
    </w:p>
    <w:p>
      <w:pPr>
        <w:pStyle w:val="ListNumber"/>
      </w:pPr>
      <w:r>
        <w:t>人员管理总结：团队规模变化、持证情况、培训情况</w:t>
      </w:r>
    </w:p>
    <w:p>
      <w:pPr>
        <w:pStyle w:val="ListNumber"/>
      </w:pPr>
      <w:r>
        <w:t>合规执行总结：质检得分、问题整改、风险事件</w:t>
      </w:r>
    </w:p>
    <w:p>
      <w:pPr>
        <w:pStyle w:val="ListNumber"/>
      </w:pPr>
      <w:r>
        <w:t>供应商自评：自我评价及改进计划</w:t>
      </w:r>
    </w:p>
    <w:p>
      <w:pPr>
        <w:pStyle w:val="ListNumber"/>
      </w:pPr>
      <w:r>
        <w:t>下月工作计划：重点工作和目标承诺</w:t>
      </w:r>
    </w:p>
    <w:p>
      <w:pPr>
        <w:spacing w:after="120"/>
      </w:pPr>
      <w:r>
        <w:t>格式要求：</w:t>
      </w:r>
    </w:p>
    <w:p>
      <w:pPr>
        <w:pStyle w:val="ListNumber"/>
      </w:pPr>
      <w:r>
        <w:t>统一使用《月度总结模板》（模板SM-TPL-004）</w:t>
      </w:r>
    </w:p>
    <w:p>
      <w:pPr>
        <w:pStyle w:val="ListNumber"/>
      </w:pPr>
      <w:r>
        <w:t>以Word格式提交，文件名：`月份_供应商名称_月度总结.docx`</w:t>
      </w:r>
    </w:p>
    <w:p>
      <w:pPr>
        <w:pStyle w:val="ListNumber"/>
      </w:pPr>
      <w:r>
        <w:t>须加盖供应商公章</w:t>
      </w:r>
    </w:p>
    <w:p>
      <w:pPr>
        <w:pStyle w:val="Heading2"/>
      </w:pPr>
      <w:r>
        <w:rPr>
          <w:b/>
          <w:sz w:val="24"/>
        </w:rPr>
        <w:t>第八条 花名册管理规范</w:t>
      </w:r>
    </w:p>
    <w:p>
      <w:pPr>
        <w:spacing w:after="120"/>
      </w:pPr>
      <w:r>
        <w:t>花名册内容：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员工编号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唯一编号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姓名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真实姓名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身份证号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18位身份证号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岗位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坐席/组长/主管等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入职日期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入职时间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资质证书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证书名称+到期日期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合同到期日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劳动合同到期时间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正常/离职/停薪等</w:t>
            </w:r>
          </w:p>
        </w:tc>
      </w:tr>
    </w:tbl>
    <w:p/>
    <w:p>
      <w:pPr>
        <w:spacing w:after="120"/>
      </w:pPr>
      <w:r>
        <w:t>实时变动报备：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变动类型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报备时限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证明材料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新入职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入职当日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身份证、资质证书复印件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离职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离职当日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离职申请表、工作交接单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岗位调动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调动生效日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调动通知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资质证书到期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到期前30天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新证书或续期证明</w:t>
            </w:r>
          </w:p>
        </w:tc>
      </w:tr>
    </w:tbl>
    <w:p/>
    <w:p>
      <w:pPr>
        <w:spacing w:after="120"/>
      </w:pPr>
      <w:r>
        <w:t>格式要求：</w:t>
      </w:r>
    </w:p>
    <w:p>
      <w:pPr>
        <w:pStyle w:val="ListNumber"/>
      </w:pPr>
      <w:r>
        <w:t>统一使用《花名册模板》（模板SM-TPL-005）</w:t>
      </w:r>
    </w:p>
    <w:p>
      <w:pPr>
        <w:pStyle w:val="ListNumber"/>
      </w:pPr>
      <w:r>
        <w:t>以Excel格式提交，实时变动以《人员变动报备表》（模板SM-TPL-006）单独报送</w:t>
      </w:r>
    </w:p>
    <w:p>
      <w:pPr>
        <w:pStyle w:val="ListNumber"/>
      </w:pPr>
      <w:r>
        <w:t>每月末提交完整花名册汇总</w:t>
      </w:r>
    </w:p>
    <w:p>
      <w:pPr>
        <w:pStyle w:val="Heading1"/>
      </w:pPr>
      <w:r>
        <w:rPr>
          <w:b/>
          <w:sz w:val="28"/>
        </w:rPr>
        <w:t>第三章 人员管理全流程</w:t>
      </w:r>
    </w:p>
    <w:p>
      <w:pPr>
        <w:pStyle w:val="Heading2"/>
      </w:pPr>
      <w:r>
        <w:rPr>
          <w:b/>
          <w:sz w:val="24"/>
        </w:rPr>
        <w:t>第九条 人员准入管理</w:t>
      </w:r>
    </w:p>
    <w:p>
      <w:pPr>
        <w:spacing w:after="120"/>
      </w:pPr>
      <w:r>
        <w:t>准入条件：</w:t>
      </w:r>
    </w:p>
    <w:p>
      <w:pPr>
        <w:pStyle w:val="ListNumber"/>
      </w:pPr>
      <w:r>
        <w:t>年龄18周岁以上</w:t>
      </w:r>
    </w:p>
    <w:p>
      <w:pPr>
        <w:pStyle w:val="ListNumber"/>
      </w:pPr>
      <w:r>
        <w:t>持有有效身份证</w:t>
      </w:r>
    </w:p>
    <w:p>
      <w:pPr>
        <w:pStyle w:val="ListNumber"/>
      </w:pPr>
      <w:r>
        <w:t>具备金融相关资质证书</w:t>
      </w:r>
    </w:p>
    <w:p>
      <w:pPr>
        <w:pStyle w:val="ListNumber"/>
      </w:pPr>
      <w:r>
        <w:t>无犯罪记录</w:t>
      </w:r>
    </w:p>
    <w:p>
      <w:pPr>
        <w:pStyle w:val="ListNumber"/>
      </w:pPr>
      <w:r>
        <w:t>通过供应商内部面试</w:t>
      </w:r>
    </w:p>
    <w:p>
      <w:pPr>
        <w:spacing w:after="120"/>
      </w:pPr>
      <w:r>
        <w:t>准入流程：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责任方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时限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提交入职申请及资质证明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入职前3天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资质审核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供应商管理岗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2个工作日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岗前培训（合规、业务）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不少于20学时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培训考核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供应商+业务方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培训结束后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考核通过后上岗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考核通过当日</w:t>
            </w:r>
          </w:p>
        </w:tc>
      </w:tr>
    </w:tbl>
    <w:p/>
    <w:p>
      <w:pPr>
        <w:spacing w:after="120"/>
      </w:pPr>
      <w:r>
        <w:t>禁止行为：</w:t>
      </w:r>
    </w:p>
    <w:p>
      <w:pPr>
        <w:pStyle w:val="ListNumber"/>
      </w:pPr>
      <w:r>
        <w:t>无证或持假证人员办理入职</w:t>
      </w:r>
    </w:p>
    <w:p>
      <w:pPr>
        <w:pStyle w:val="ListNumber"/>
      </w:pPr>
      <w:r>
        <w:t>未经培训或考核未通过人员上岗</w:t>
      </w:r>
    </w:p>
    <w:p>
      <w:pPr>
        <w:pStyle w:val="ListNumber"/>
      </w:pPr>
      <w:r>
        <w:t>冒用他人资质证书</w:t>
      </w:r>
    </w:p>
    <w:p>
      <w:pPr>
        <w:pStyle w:val="Heading2"/>
      </w:pPr>
      <w:r>
        <w:rPr>
          <w:b/>
          <w:sz w:val="24"/>
        </w:rPr>
        <w:t>第十条 试用期管理</w:t>
      </w:r>
    </w:p>
    <w:p>
      <w:pPr>
        <w:spacing w:after="120"/>
      </w:pPr>
      <w:r>
        <w:t>试用期时长：3个月</w:t>
      </w:r>
    </w:p>
    <w:p>
      <w:pPr>
        <w:spacing w:after="120"/>
      </w:pPr>
      <w:r>
        <w:t>转正条件：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培训完成率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考核合格率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≥90%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出勤率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≥95%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产能达标率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≥80%</w:t>
            </w:r>
          </w:p>
        </w:tc>
      </w:tr>
    </w:tbl>
    <w:p/>
    <w:p>
      <w:pPr>
        <w:spacing w:after="120"/>
      </w:pPr>
      <w:r>
        <w:t>试用期评估：</w:t>
      </w:r>
    </w:p>
    <w:p>
      <w:pPr>
        <w:pStyle w:val="ListNumber"/>
      </w:pPr>
      <w:r>
        <w:t>第1个月：培训完成情况 + 基本合规意识</w:t>
      </w:r>
    </w:p>
    <w:p>
      <w:pPr>
        <w:pStyle w:val="ListNumber"/>
      </w:pPr>
      <w:r>
        <w:t>第2个月：产能达成 + 话术规范</w:t>
      </w:r>
    </w:p>
    <w:p>
      <w:pPr>
        <w:pStyle w:val="ListNumber"/>
      </w:pPr>
      <w:r>
        <w:t>第3个月：综合评定 + 转正决策</w:t>
      </w:r>
    </w:p>
    <w:p>
      <w:pPr>
        <w:spacing w:after="120"/>
      </w:pPr>
      <w:r>
        <w:t>转正流程：</w:t>
      </w:r>
    </w:p>
    <w:p>
      <w:pPr>
        <w:spacing w:after="120"/>
      </w:pPr>
      <w:r>
        <w:t>```</w:t>
      </w:r>
    </w:p>
    <w:p>
      <w:pPr>
        <w:spacing w:after="120"/>
      </w:pPr>
      <w:r>
        <w:t>试用到期评估 → 评估合格公示 → 转正审批 → 正式上岗</w:t>
      </w:r>
    </w:p>
    <w:p>
      <w:pPr>
        <w:spacing w:after="120"/>
      </w:pPr>
      <w:r>
        <w:t>```</w:t>
      </w:r>
    </w:p>
    <w:p>
      <w:pPr>
        <w:pStyle w:val="Heading2"/>
      </w:pPr>
      <w:r>
        <w:rPr>
          <w:b/>
          <w:sz w:val="24"/>
        </w:rPr>
        <w:t>第十一条 人员变动管理</w:t>
      </w:r>
    </w:p>
    <w:p>
      <w:pPr>
        <w:spacing w:after="120"/>
      </w:pPr>
      <w:r>
        <w:t>变动类型：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变动类型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报备时限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入职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新员工入职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入职当日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转正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试用期转正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转正当日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调岗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岗位调整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生效当日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离职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主动或被动离职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离职当日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辞退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违反规定被辞退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决定当日</w:t>
            </w:r>
          </w:p>
        </w:tc>
      </w:tr>
    </w:tbl>
    <w:p/>
    <w:p>
      <w:pPr>
        <w:spacing w:after="120"/>
      </w:pPr>
      <w:r>
        <w:t>离职交接规范：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交接内容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操作要求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完成时限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工作文档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整理归档，列出清单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离职前3天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客户信息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全部移交，不得带走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离职当日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系统账号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提交注销申请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离职当日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资产归还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归还工牌、电脑等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离职当日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培训费用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确认是否需要赔偿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离职当日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第十二条 持证上岗管理</w:t>
      </w:r>
    </w:p>
    <w:p>
      <w:pPr>
        <w:spacing w:after="120"/>
      </w:pPr>
      <w:r>
        <w:t>资质要求：</w:t>
      </w:r>
    </w:p>
    <w:p>
      <w:pPr>
        <w:pStyle w:val="ListNumber"/>
      </w:pPr>
      <w:r>
        <w:t>上岗30日内须取得金融相关资质证书</w:t>
      </w:r>
    </w:p>
    <w:p>
      <w:pPr>
        <w:pStyle w:val="ListNumber"/>
      </w:pPr>
      <w:r>
        <w:t>证书须在有效期内</w:t>
      </w:r>
    </w:p>
    <w:p>
      <w:pPr>
        <w:pStyle w:val="ListNumber"/>
      </w:pPr>
      <w:r>
        <w:t>证书信息与实际作业人员一致</w:t>
      </w:r>
    </w:p>
    <w:p>
      <w:pPr>
        <w:spacing w:after="120"/>
      </w:pPr>
      <w:r>
        <w:t>证书管理流程：</w:t>
      </w:r>
    </w:p>
    <w:p>
      <w:pPr>
        <w:spacing w:after="120"/>
      </w:pPr>
      <w:r>
        <w:t>```</w:t>
      </w:r>
    </w:p>
    <w:p>
      <w:pPr>
        <w:spacing w:after="120"/>
      </w:pPr>
      <w:r>
        <w:t>入职登记 → 证书考取 → 证书备案 → 到期提醒 → 续期处理</w:t>
      </w:r>
    </w:p>
    <w:p>
      <w:pPr>
        <w:spacing w:after="120"/>
      </w:pPr>
      <w:r>
        <w:t>```</w:t>
      </w:r>
    </w:p>
    <w:p>
      <w:pPr>
        <w:spacing w:after="120"/>
      </w:pPr>
      <w:r>
        <w:t>到期提醒机制：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提醒时点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提醒对象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处理要求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到期前60天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供应商+个人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提交续期计划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到期前30天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供应商+个人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确认续期进度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到期前7天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供应商管理岗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最后通牒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到期当日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供应商管理岗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无证人员下岗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第四章 异常处理机制</w:t>
      </w:r>
    </w:p>
    <w:p>
      <w:pPr>
        <w:pStyle w:val="Heading2"/>
      </w:pPr>
      <w:r>
        <w:rPr>
          <w:b/>
          <w:sz w:val="24"/>
        </w:rPr>
        <w:t>第十三条 异常分类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分类标准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响应时限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处理时限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一般异常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单点问题，影响有限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24小时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重要异常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较大范围影响，需协调处理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2小时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12小时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紧急异常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重大违规或业务中断风险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即时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4小时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第十四条 一般异常处理流程</w:t>
      </w:r>
    </w:p>
    <w:p>
      <w:pPr>
        <w:spacing w:after="120"/>
      </w:pPr>
      <w:r>
        <w:t>适用情形：</w:t>
      </w:r>
    </w:p>
    <w:p>
      <w:pPr>
        <w:pStyle w:val="ListBullet"/>
      </w:pPr>
      <w:r>
        <w:t>单个坐席迟到、早退</w:t>
      </w:r>
    </w:p>
    <w:p>
      <w:pPr>
        <w:pStyle w:val="ListBullet"/>
      </w:pPr>
      <w:r>
        <w:t>单日出勤率低于90%</w:t>
      </w:r>
    </w:p>
    <w:p>
      <w:pPr>
        <w:pStyle w:val="ListBullet"/>
      </w:pPr>
      <w:r>
        <w:t>偶发数据报送延迟</w:t>
      </w:r>
    </w:p>
    <w:p>
      <w:pPr>
        <w:pStyle w:val="ListBullet"/>
      </w:pPr>
      <w:r>
        <w:t>轻微话术违规</w:t>
      </w:r>
    </w:p>
    <w:p>
      <w:pPr>
        <w:spacing w:after="120"/>
      </w:pPr>
      <w:r>
        <w:t>处理流程：</w:t>
      </w:r>
    </w:p>
    <w:p>
      <w:pPr>
        <w:spacing w:after="120"/>
      </w:pPr>
      <w:r>
        <w:t>```</w:t>
      </w:r>
    </w:p>
    <w:p>
      <w:pPr>
        <w:spacing w:after="120"/>
      </w:pPr>
      <w:r>
        <w:t>发现问题 → 记录台账 → 通知供应商 → 供应商整改 → 整改验收 → 结案</w:t>
      </w:r>
    </w:p>
    <w:p>
      <w:pPr>
        <w:spacing w:after="120"/>
      </w:pPr>
      <w:r>
        <w:t>```</w:t>
      </w:r>
    </w:p>
    <w:p>
      <w:pPr>
        <w:spacing w:after="120"/>
      </w:pPr>
      <w:r>
        <w:t>记录要求：</w:t>
      </w:r>
    </w:p>
    <w:p>
      <w:pPr>
        <w:pStyle w:val="ListNumber"/>
      </w:pPr>
      <w:r>
        <w:t>填写《异常处理记录》（模板SM-TPL-007）</w:t>
      </w:r>
    </w:p>
    <w:p>
      <w:pPr>
        <w:pStyle w:val="ListNumber"/>
      </w:pPr>
      <w:r>
        <w:t>记录问题描述、发生时间、影响范围</w:t>
      </w:r>
    </w:p>
    <w:p>
      <w:pPr>
        <w:pStyle w:val="ListNumber"/>
      </w:pPr>
      <w:r>
        <w:t>记录整改措施和结果</w:t>
      </w:r>
    </w:p>
    <w:p>
      <w:pPr>
        <w:pStyle w:val="Heading2"/>
      </w:pPr>
      <w:r>
        <w:rPr>
          <w:b/>
          <w:sz w:val="24"/>
        </w:rPr>
        <w:t>第十五条 重要异常处理流程</w:t>
      </w:r>
    </w:p>
    <w:p>
      <w:pPr>
        <w:spacing w:after="120"/>
      </w:pPr>
      <w:r>
        <w:t>适用情形：</w:t>
      </w:r>
    </w:p>
    <w:p>
      <w:pPr>
        <w:pStyle w:val="ListBullet"/>
      </w:pPr>
      <w:r>
        <w:t>连续3天以上出勤率低于90%</w:t>
      </w:r>
    </w:p>
    <w:p>
      <w:pPr>
        <w:pStyle w:val="ListBullet"/>
      </w:pPr>
      <w:r>
        <w:t>单日超过5%人员异常缺勤</w:t>
      </w:r>
    </w:p>
    <w:p>
      <w:pPr>
        <w:pStyle w:val="ListBullet"/>
      </w:pPr>
      <w:r>
        <w:t>数据造假或疑似造假</w:t>
      </w:r>
    </w:p>
    <w:p>
      <w:pPr>
        <w:pStyle w:val="ListBullet"/>
      </w:pPr>
      <w:r>
        <w:t>重要岗位人员批量流动</w:t>
      </w:r>
    </w:p>
    <w:p>
      <w:pPr>
        <w:pStyle w:val="ListBullet"/>
      </w:pPr>
      <w:r>
        <w:t>资质证书集中到期</w:t>
      </w:r>
    </w:p>
    <w:p>
      <w:pPr>
        <w:spacing w:after="120"/>
      </w:pPr>
      <w:r>
        <w:t>处理流程：</w:t>
      </w:r>
    </w:p>
    <w:p>
      <w:pPr>
        <w:spacing w:after="120"/>
      </w:pPr>
      <w:r>
        <w:t>```</w:t>
      </w:r>
    </w:p>
    <w:p>
      <w:pPr>
        <w:spacing w:after="120"/>
      </w:pPr>
      <w:r>
        <w:t>发现/通报 → 2小时响应 → 现场/会议沟通 → 整改方案提交 → 执行监督 → 验收结案</w:t>
      </w:r>
    </w:p>
    <w:p>
      <w:pPr>
        <w:spacing w:after="120"/>
      </w:pPr>
      <w:r>
        <w:t>```</w:t>
      </w:r>
    </w:p>
    <w:p>
      <w:pPr>
        <w:spacing w:after="120"/>
      </w:pPr>
      <w:r>
        <w:t>升级机制：</w:t>
      </w:r>
    </w:p>
    <w:p>
      <w:pPr>
        <w:pStyle w:val="ListNumber"/>
      </w:pPr>
      <w:r>
        <w:t>供应商管理岗直接约谈供应商负责人</w:t>
      </w:r>
    </w:p>
    <w:p>
      <w:pPr>
        <w:pStyle w:val="ListNumber"/>
      </w:pPr>
      <w:r>
        <w:t>要求供应商3个工作日内提交整改方案</w:t>
      </w:r>
    </w:p>
    <w:p>
      <w:pPr>
        <w:pStyle w:val="ListNumber"/>
      </w:pPr>
      <w:r>
        <w:t>暂停新产能分配，直至整改通过</w:t>
      </w:r>
    </w:p>
    <w:p>
      <w:pPr>
        <w:pStyle w:val="Heading2"/>
      </w:pPr>
      <w:r>
        <w:rPr>
          <w:b/>
          <w:sz w:val="24"/>
        </w:rPr>
        <w:t>第十六条 紧急异常处理流程</w:t>
      </w:r>
    </w:p>
    <w:p>
      <w:pPr>
        <w:spacing w:after="120"/>
      </w:pPr>
      <w:r>
        <w:t>适用情形：</w:t>
      </w:r>
    </w:p>
    <w:p>
      <w:pPr>
        <w:pStyle w:val="ListBullet"/>
      </w:pPr>
      <w:r>
        <w:t>触碰合规红线（信息泄露、数据造假、录音篡改）</w:t>
      </w:r>
    </w:p>
    <w:p>
      <w:pPr>
        <w:pStyle w:val="ListBullet"/>
      </w:pPr>
      <w:r>
        <w:t>群体性事件（罢工、聚众闹事）</w:t>
      </w:r>
    </w:p>
    <w:p>
      <w:pPr>
        <w:pStyle w:val="ListBullet"/>
      </w:pPr>
      <w:r>
        <w:t>重大业务事故（系统崩溃、数据丢失）</w:t>
      </w:r>
    </w:p>
    <w:p>
      <w:pPr>
        <w:pStyle w:val="ListBullet"/>
      </w:pPr>
      <w:r>
        <w:t>突发法律诉讼或监管调查</w:t>
      </w:r>
    </w:p>
    <w:p>
      <w:pPr>
        <w:spacing w:after="120"/>
      </w:pPr>
      <w:r>
        <w:t>处理流程：</w:t>
      </w:r>
    </w:p>
    <w:p>
      <w:pPr>
        <w:spacing w:after="120"/>
      </w:pPr>
      <w:r>
        <w:t>```</w:t>
      </w:r>
    </w:p>
    <w:p>
      <w:pPr>
        <w:spacing w:after="120"/>
      </w:pPr>
      <w:r>
        <w:t>即时响应 → 成立专项小组 → 48小时内形成处置方案 → 执行 → 善后 → 复盘</w:t>
      </w:r>
    </w:p>
    <w:p>
      <w:pPr>
        <w:spacing w:after="120"/>
      </w:pPr>
      <w:r>
        <w:t>```</w:t>
      </w:r>
    </w:p>
    <w:p>
      <w:pPr>
        <w:spacing w:after="120"/>
      </w:pPr>
      <w:r>
        <w:t>即时措施：</w:t>
      </w:r>
    </w:p>
    <w:p>
      <w:pPr>
        <w:pStyle w:val="ListNumber"/>
      </w:pPr>
      <w:r>
        <w:t>立即暂停相关业务</w:t>
      </w:r>
    </w:p>
    <w:p>
      <w:pPr>
        <w:pStyle w:val="ListNumber"/>
      </w:pPr>
      <w:r>
        <w:t>保护现场证据</w:t>
      </w:r>
    </w:p>
    <w:p>
      <w:pPr>
        <w:pStyle w:val="ListNumber"/>
      </w:pPr>
      <w:r>
        <w:t>通知相关方</w:t>
      </w:r>
    </w:p>
    <w:p>
      <w:pPr>
        <w:pStyle w:val="ListNumber"/>
      </w:pPr>
      <w:r>
        <w:t>启动清退评估</w:t>
      </w:r>
    </w:p>
    <w:p>
      <w:pPr>
        <w:pStyle w:val="Heading2"/>
      </w:pPr>
      <w:r>
        <w:rPr>
          <w:b/>
          <w:sz w:val="24"/>
        </w:rPr>
        <w:t>第十七条 异常升级路径</w:t>
      </w:r>
    </w:p>
    <w:p>
      <w:pPr>
        <w:spacing w:after="120"/>
      </w:pPr>
      <w:r>
        <w:t>```</w:t>
      </w:r>
    </w:p>
    <w:p>
      <w:pPr>
        <w:spacing w:after="120"/>
      </w:pPr>
      <w:r>
        <w:t>一般异常 → 供应商管理岗 → 供应商驻场负责人</w:t>
      </w:r>
    </w:p>
    <w:p>
      <w:pPr>
        <w:spacing w:after="120"/>
      </w:pPr>
      <w:r>
        <w:t>↓</w:t>
      </w:r>
    </w:p>
    <w:p>
      <w:pPr>
        <w:spacing w:after="120"/>
      </w:pPr>
      <w:r>
        <w:t>重要异常 → 供应商管理岗 → 供应商负责人 + 业管负责人</w:t>
      </w:r>
    </w:p>
    <w:p>
      <w:pPr>
        <w:spacing w:after="120"/>
      </w:pPr>
      <w:r>
        <w:t>↓</w:t>
      </w:r>
    </w:p>
    <w:p>
      <w:pPr>
        <w:spacing w:after="120"/>
      </w:pPr>
      <w:r>
        <w:t>紧急异常 → 供应商管理岗 → 供应商管理部负责人 → 公司合规 + 法务</w:t>
      </w:r>
    </w:p>
    <w:p>
      <w:pPr>
        <w:spacing w:after="120"/>
      </w:pPr>
      <w:r>
        <w:t>```</w:t>
      </w:r>
    </w:p>
    <w:p>
      <w:pPr>
        <w:pStyle w:val="Heading1"/>
      </w:pPr>
      <w:r>
        <w:rPr>
          <w:b/>
          <w:sz w:val="28"/>
        </w:rPr>
        <w:t>第五章 沟通与会议机制</w:t>
      </w:r>
    </w:p>
    <w:p>
      <w:pPr>
        <w:pStyle w:val="Heading2"/>
      </w:pPr>
      <w:r>
        <w:rPr>
          <w:b/>
          <w:sz w:val="24"/>
        </w:rPr>
        <w:t>第十八条 日常沟通规范</w:t>
      </w:r>
    </w:p>
    <w:p>
      <w:pPr>
        <w:spacing w:after="120"/>
      </w:pPr>
      <w:r>
        <w:t>响应时限：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消息类型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响应时限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超时处置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普通咨询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4小时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催促一次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紧急咨询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1小时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升级处理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数据核对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2小时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催促一次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问题反馈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4小时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升级处理</w:t>
            </w:r>
          </w:p>
        </w:tc>
      </w:tr>
    </w:tbl>
    <w:p/>
    <w:p>
      <w:pPr>
        <w:spacing w:after="120"/>
      </w:pPr>
      <w:r>
        <w:t>沟通渠道优先级：</w:t>
      </w:r>
    </w:p>
    <w:p>
      <w:pPr>
        <w:pStyle w:val="ListNumber"/>
      </w:pPr>
      <w:r>
        <w:t>正式公函（最优先，用于重要决策、正式通知）</w:t>
      </w:r>
    </w:p>
    <w:p>
      <w:pPr>
        <w:pStyle w:val="ListNumber"/>
      </w:pPr>
      <w:r>
        <w:t>邮件（用于日常报送、记录备查）</w:t>
      </w:r>
    </w:p>
    <w:p>
      <w:pPr>
        <w:pStyle w:val="ListNumber"/>
      </w:pPr>
      <w:r>
        <w:t>即时通讯（用于一般沟通、紧急联络）</w:t>
      </w:r>
    </w:p>
    <w:p>
      <w:pPr>
        <w:pStyle w:val="ListNumber"/>
      </w:pPr>
      <w:r>
        <w:t>电话（用于紧急事项，需事后补发书面记录）</w:t>
      </w:r>
    </w:p>
    <w:p>
      <w:pPr>
        <w:pStyle w:val="Heading2"/>
      </w:pPr>
      <w:r>
        <w:rPr>
          <w:b/>
          <w:sz w:val="24"/>
        </w:rPr>
        <w:t>第十九条 周度复盘会议</w:t>
      </w:r>
    </w:p>
    <w:p>
      <w:pPr>
        <w:spacing w:after="120"/>
      </w:pPr>
      <w:r>
        <w:t>参会人员：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参会方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参会人员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供应商管理岗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驻场负责人、业绩负责人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业管代表（必要时）</w:t>
            </w:r>
          </w:p>
        </w:tc>
      </w:tr>
    </w:tbl>
    <w:p/>
    <w:p>
      <w:pPr>
        <w:spacing w:after="120"/>
      </w:pPr>
      <w:r>
        <w:t>会议频次：每周一次，周五14:00</w:t>
      </w:r>
    </w:p>
    <w:p>
      <w:pPr>
        <w:spacing w:after="120"/>
      </w:pPr>
      <w:r>
        <w:t>会议内容：</w:t>
      </w:r>
    </w:p>
    <w:p>
      <w:pPr>
        <w:pStyle w:val="ListNumber"/>
      </w:pPr>
      <w:r>
        <w:t>本周业绩数据复盘</w:t>
      </w:r>
    </w:p>
    <w:p>
      <w:pPr>
        <w:pStyle w:val="ListNumber"/>
      </w:pPr>
      <w:r>
        <w:t>问题回顾与整改跟踪</w:t>
      </w:r>
    </w:p>
    <w:p>
      <w:pPr>
        <w:pStyle w:val="ListNumber"/>
      </w:pPr>
      <w:r>
        <w:t>下周重点工作沟通</w:t>
      </w:r>
    </w:p>
    <w:p>
      <w:pPr>
        <w:pStyle w:val="ListNumber"/>
      </w:pPr>
      <w:r>
        <w:t>异常事项通报</w:t>
      </w:r>
    </w:p>
    <w:p>
      <w:pPr>
        <w:spacing w:after="120"/>
      </w:pPr>
      <w:r>
        <w:t>会议输出：</w:t>
      </w:r>
    </w:p>
    <w:p>
      <w:pPr>
        <w:pStyle w:val="ListNumber"/>
      </w:pPr>
      <w:r>
        <w:t>会议纪要（24小时内发出）</w:t>
      </w:r>
    </w:p>
    <w:p>
      <w:pPr>
        <w:pStyle w:val="ListNumber"/>
      </w:pPr>
      <w:r>
        <w:t>行动事项清单（明确责任人和完成时限）</w:t>
      </w:r>
    </w:p>
    <w:p>
      <w:pPr>
        <w:pStyle w:val="Heading2"/>
      </w:pPr>
      <w:r>
        <w:rPr>
          <w:b/>
          <w:sz w:val="24"/>
        </w:rPr>
        <w:t>第二十条 月度评估会议</w:t>
      </w:r>
    </w:p>
    <w:p>
      <w:pPr>
        <w:spacing w:after="120"/>
      </w:pPr>
      <w:r>
        <w:t>参会人员：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参会方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参会人员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供应商管理岗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总经理或负责人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业管负责人（必要时）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质检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质检负责人（报告环节）</w:t>
            </w:r>
          </w:p>
        </w:tc>
      </w:tr>
    </w:tbl>
    <w:p/>
    <w:p>
      <w:pPr>
        <w:spacing w:after="120"/>
      </w:pPr>
      <w:r>
        <w:t>会议频次：每月第5个工作日</w:t>
      </w:r>
    </w:p>
    <w:p>
      <w:pPr>
        <w:spacing w:after="120"/>
      </w:pPr>
      <w:r>
        <w:t>会议内容：</w:t>
      </w:r>
    </w:p>
    <w:p>
      <w:pPr>
        <w:pStyle w:val="ListNumber"/>
      </w:pPr>
      <w:r>
        <w:t>上月评估结果通报</w:t>
      </w:r>
    </w:p>
    <w:p>
      <w:pPr>
        <w:pStyle w:val="ListNumber"/>
      </w:pPr>
      <w:r>
        <w:t>质检数据汇报</w:t>
      </w:r>
    </w:p>
    <w:p>
      <w:pPr>
        <w:pStyle w:val="ListNumber"/>
      </w:pPr>
      <w:r>
        <w:t>问题整改跟踪</w:t>
      </w:r>
    </w:p>
    <w:p>
      <w:pPr>
        <w:pStyle w:val="ListNumber"/>
      </w:pPr>
      <w:r>
        <w:t>整改期供应商整改进度汇报</w:t>
      </w:r>
    </w:p>
    <w:p>
      <w:pPr>
        <w:pStyle w:val="ListNumber"/>
      </w:pPr>
      <w:r>
        <w:t>下月工作重点与目标确认</w:t>
      </w:r>
    </w:p>
    <w:p>
      <w:pPr>
        <w:spacing w:after="120"/>
      </w:pPr>
      <w:r>
        <w:t>会议输出：</w:t>
      </w:r>
    </w:p>
    <w:p>
      <w:pPr>
        <w:pStyle w:val="ListNumber"/>
      </w:pPr>
      <w:r>
        <w:t>月度评估报告</w:t>
      </w:r>
    </w:p>
    <w:p>
      <w:pPr>
        <w:pStyle w:val="ListNumber"/>
      </w:pPr>
      <w:r>
        <w:t>评估结果公示（排名公告）</w:t>
      </w:r>
    </w:p>
    <w:p>
      <w:pPr>
        <w:pStyle w:val="ListNumber"/>
      </w:pPr>
      <w:r>
        <w:t>需整改供应商的整改计划确认</w:t>
      </w:r>
    </w:p>
    <w:p>
      <w:pPr>
        <w:pStyle w:val="Heading1"/>
      </w:pPr>
      <w:r>
        <w:rPr>
          <w:b/>
          <w:sz w:val="28"/>
        </w:rPr>
        <w:t>第六章 台账与档案管理</w:t>
      </w:r>
    </w:p>
    <w:p>
      <w:pPr>
        <w:pStyle w:val="Heading2"/>
      </w:pPr>
      <w:r>
        <w:rPr>
          <w:b/>
          <w:sz w:val="24"/>
        </w:rPr>
        <w:t>第二十一条 台账体系</w:t>
      </w:r>
    </w:p>
    <w:p>
      <w:pPr>
        <w:spacing w:after="120"/>
      </w:pPr>
      <w:r>
        <w:t>台账类型：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台账类型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更新频率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保管期限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供应商基本信息台账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营业执照、联系人、资质等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实时更新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合作终止后5年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人员花名册台账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全体人员信息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实时更新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合作终止后5年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业绩数据台账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日/周/月业绩数据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每日更新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异常处理台账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所有异常记录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实时更新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评估结果台账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月度评估原始数据及结果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每月更新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5年</w:t>
            </w:r>
          </w:p>
        </w:tc>
      </w:tr>
    </w:tbl>
    <w:p/>
    <w:p>
      <w:pPr>
        <w:pStyle w:val="Heading2"/>
      </w:pPr>
      <w:r>
        <w:rPr>
          <w:b/>
          <w:sz w:val="24"/>
        </w:rPr>
        <w:t>第二十二条 档案管理规范</w:t>
      </w:r>
    </w:p>
    <w:p>
      <w:pPr>
        <w:spacing w:after="120"/>
      </w:pPr>
      <w:r>
        <w:t>档案分类：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档案类别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供应商档案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准入资料、合同、资质证明、评估记录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人员档案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花名册、资质证书、入离职记录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业务档案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业绩数据、复盘记录、会议纪要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合规档案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质检报告、整改记录、处罚记录</w:t>
            </w:r>
          </w:p>
        </w:tc>
      </w:tr>
    </w:tbl>
    <w:p/>
    <w:p>
      <w:pPr>
        <w:spacing w:after="120"/>
      </w:pPr>
      <w:r>
        <w:t>保管要求：</w:t>
      </w:r>
    </w:p>
    <w:p>
      <w:pPr>
        <w:pStyle w:val="ListNumber"/>
      </w:pPr>
      <w:r>
        <w:t>电子档案与纸质档案并行保管</w:t>
      </w:r>
    </w:p>
    <w:p>
      <w:pPr>
        <w:pStyle w:val="ListNumber"/>
      </w:pPr>
      <w:r>
        <w:t>电子档案存储于公司授权系统</w:t>
      </w:r>
    </w:p>
    <w:p>
      <w:pPr>
        <w:pStyle w:val="ListNumber"/>
      </w:pPr>
      <w:r>
        <w:t>纸质档案存放于档案室</w:t>
      </w:r>
    </w:p>
    <w:p>
      <w:pPr>
        <w:pStyle w:val="ListNumber"/>
      </w:pPr>
      <w:r>
        <w:t>涉及商业秘密的档案须加密</w:t>
      </w:r>
    </w:p>
    <w:p>
      <w:pPr>
        <w:spacing w:after="120"/>
      </w:pPr>
      <w:r>
        <w:t>借阅权限：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人员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借阅权限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供应商管理岗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全部档案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业管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业务相关档案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质检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质检相关档案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供应商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仅可查阅自身相关档案</w:t>
            </w:r>
          </w:p>
        </w:tc>
      </w:tr>
    </w:tbl>
    <w:p/>
    <w:p>
      <w:pPr>
        <w:pStyle w:val="Heading1"/>
      </w:pPr>
      <w:r>
        <w:rPr>
          <w:b/>
          <w:sz w:val="28"/>
        </w:rPr>
        <w:t>第七章 附则</w:t>
      </w:r>
    </w:p>
    <w:p>
      <w:pPr>
        <w:pStyle w:val="Heading2"/>
      </w:pPr>
      <w:r>
        <w:rPr>
          <w:b/>
          <w:sz w:val="24"/>
        </w:rPr>
        <w:t>第二十三条 生效与解释</w:t>
      </w:r>
    </w:p>
    <w:p>
      <w:pPr>
        <w:spacing w:after="120"/>
      </w:pPr>
      <w:r>
        <w:t>本手册自发布之日起生效，由供应商管理部负责解释。</w:t>
      </w:r>
    </w:p>
    <w:p>
      <w:pPr>
        <w:pStyle w:val="Heading2"/>
      </w:pPr>
      <w:r>
        <w:rPr>
          <w:b/>
          <w:sz w:val="24"/>
        </w:rPr>
        <w:t>第二十四条 配套模板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模板名称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编号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每日出勤报送表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每日业绩报送表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周报模板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月度总结模板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花名册模板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人员变动报备表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异常处理记录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月度评估评分表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排名公告模板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SM-TPL-009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申诉表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整改计划模板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管理办法确认书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SLA确认书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SM-TPL-013</w:t>
            </w:r>
          </w:p>
        </w:tc>
      </w:tr>
    </w:tbl>
    <w:p/>
    <w:p>
      <w:pPr>
        <w:spacing w:after="120"/>
      </w:pPr>
      <w:r>
        <w:t>*（本页无正文）*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