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供应商管理SLA</w:t>
      </w:r>
    </w:p>
    <w:p>
      <w:pPr>
        <w:spacing w:after="120"/>
      </w:pPr>
      <w:r>
        <w:t>文件编号：SM-2026-003</w:t>
      </w:r>
    </w:p>
    <w:p>
      <w:pPr>
        <w:spacing w:after="120"/>
      </w:pPr>
      <w:r>
        <w:t>版本：V1.0</w:t>
      </w:r>
    </w:p>
    <w:p>
      <w:pPr>
        <w:spacing w:after="120"/>
      </w:pPr>
      <w:r>
        <w:t>生效日期：2026年XX月XX日</w:t>
      </w:r>
    </w:p>
    <w:p>
      <w:pPr>
        <w:spacing w:after="120"/>
      </w:pPr>
      <w:r>
        <w:t>发布单位：供应商管理部</w:t>
      </w:r>
    </w:p>
    <w:p>
      <w:pPr>
        <w:pStyle w:val="Heading1"/>
      </w:pPr>
      <w:r>
        <w:rPr>
          <w:b/>
          <w:sz w:val="28"/>
        </w:rPr>
        <w:t>第一章 总则</w:t>
      </w:r>
    </w:p>
    <w:p>
      <w:pPr>
        <w:pStyle w:val="Heading2"/>
      </w:pPr>
      <w:r>
        <w:rPr>
          <w:b/>
          <w:sz w:val="24"/>
        </w:rPr>
        <w:t>第一条 目的</w:t>
      </w:r>
    </w:p>
    <w:p>
      <w:pPr>
        <w:spacing w:after="120"/>
      </w:pPr>
      <w:r>
        <w:t>本SLA定义供应商服务质量达标线、预警线、红线三级指标体系，明确各级指标对应的处置流程，确保供应商服务质量可量化、可追踪、可评估。</w:t>
      </w:r>
    </w:p>
    <w:p>
      <w:pPr>
        <w:pStyle w:val="Heading2"/>
      </w:pPr>
      <w:r>
        <w:rPr>
          <w:b/>
          <w:sz w:val="24"/>
        </w:rPr>
        <w:t>第二条 指标分级定义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级别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处置措施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**达标线**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合格服务标准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正常运营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**预警线**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低于合格标准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启动关注，要求整改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**红线**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严重不达标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立即处置，启动清退评估</w:t>
            </w:r>
          </w:p>
        </w:tc>
      </w:tr>
    </w:tbl>
    <w:p/>
    <w:p>
      <w:pPr>
        <w:pStyle w:val="Heading1"/>
      </w:pPr>
      <w:r>
        <w:rPr>
          <w:b/>
          <w:sz w:val="28"/>
        </w:rPr>
        <w:t>第二章 核心交付指标</w:t>
      </w:r>
    </w:p>
    <w:p>
      <w:pPr>
        <w:pStyle w:val="Heading2"/>
      </w:pPr>
      <w:r>
        <w:rPr>
          <w:b/>
          <w:sz w:val="24"/>
        </w:rPr>
        <w:t>第三条 日均出勤率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达标线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预警线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红线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日均出勤率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≥95%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90%≤x&lt;95%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&lt;90%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连续不达标天数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5天</w:t>
            </w:r>
          </w:p>
        </w:tc>
      </w:tr>
    </w:tbl>
    <w:p/>
    <w:p>
      <w:pPr>
        <w:spacing w:after="120"/>
      </w:pPr>
      <w:r>
        <w:t>计算公式：</w:t>
      </w:r>
    </w:p>
    <w:p>
      <w:pPr>
        <w:spacing w:after="120"/>
      </w:pPr>
      <w:r>
        <w:t>```</w:t>
      </w:r>
    </w:p>
    <w:p>
      <w:pPr>
        <w:spacing w:after="120"/>
      </w:pPr>
      <w:r>
        <w:t>日均出勤率 = 当日实到人数 / 当日应到人数 × 100%</w:t>
      </w:r>
    </w:p>
    <w:p>
      <w:pPr>
        <w:spacing w:after="120"/>
      </w:pPr>
      <w:r>
        <w:t>```</w:t>
      </w:r>
    </w:p>
    <w:p>
      <w:pPr>
        <w:spacing w:after="120"/>
      </w:pPr>
      <w:r>
        <w:t>达标线处置：正常运营</w:t>
      </w:r>
    </w:p>
    <w:p>
      <w:pPr>
        <w:spacing w:after="120"/>
      </w:pPr>
      <w:r>
        <w:t>预警线处置：</w:t>
      </w:r>
    </w:p>
    <w:p>
      <w:pPr>
        <w:pStyle w:val="ListNumber"/>
      </w:pPr>
      <w:r>
        <w:t>书面提醒，要求提交原因说明</w:t>
      </w:r>
    </w:p>
    <w:p>
      <w:pPr>
        <w:pStyle w:val="ListNumber"/>
      </w:pPr>
      <w:r>
        <w:t>次日起连续3天出勤率达到标，否则升级</w:t>
      </w:r>
    </w:p>
    <w:p>
      <w:pPr>
        <w:spacing w:after="120"/>
      </w:pPr>
      <w:r>
        <w:t>红线处置：</w:t>
      </w:r>
    </w:p>
    <w:p>
      <w:pPr>
        <w:pStyle w:val="ListNumber"/>
      </w:pPr>
      <w:r>
        <w:t>立即约谈供应商负责人</w:t>
      </w:r>
    </w:p>
    <w:p>
      <w:pPr>
        <w:pStyle w:val="ListNumber"/>
      </w:pPr>
      <w:r>
        <w:t>暂停新产能分配</w:t>
      </w:r>
    </w:p>
    <w:p>
      <w:pPr>
        <w:pStyle w:val="ListNumber"/>
      </w:pPr>
      <w:r>
        <w:t>启动整改流程（30天）</w:t>
      </w:r>
    </w:p>
    <w:p>
      <w:pPr>
        <w:pStyle w:val="Heading2"/>
      </w:pPr>
      <w:r>
        <w:rPr>
          <w:b/>
          <w:sz w:val="24"/>
        </w:rPr>
        <w:t>第四条 产能达标率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达标线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预警线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红线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人均日转化量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≥目标值的90%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80%≤x&lt;90%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&lt;80%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周达成率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≥95%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90%≤x&lt;95%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&lt;90%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月达成率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≥100%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95%≤x&lt;100%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&lt;95%</w:t>
            </w:r>
          </w:p>
        </w:tc>
      </w:tr>
    </w:tbl>
    <w:p/>
    <w:p>
      <w:pPr>
        <w:spacing w:after="120"/>
      </w:pPr>
      <w:r>
        <w:t>计算公式：</w:t>
      </w:r>
    </w:p>
    <w:p>
      <w:pPr>
        <w:spacing w:after="120"/>
      </w:pPr>
      <w:r>
        <w:t>```</w:t>
      </w:r>
    </w:p>
    <w:p>
      <w:pPr>
        <w:spacing w:after="120"/>
      </w:pPr>
      <w:r>
        <w:t>人均日转化量 = 当日转化总量 / 当日实到人数</w:t>
      </w:r>
    </w:p>
    <w:p>
      <w:pPr>
        <w:spacing w:after="120"/>
      </w:pPr>
      <w:r>
        <w:t>周达成率 = 周实际转化量 / 周目标转化量 × 100%</w:t>
      </w:r>
    </w:p>
    <w:p>
      <w:pPr>
        <w:spacing w:after="120"/>
      </w:pPr>
      <w:r>
        <w:t>```</w:t>
      </w:r>
    </w:p>
    <w:p>
      <w:pPr>
        <w:spacing w:after="120"/>
      </w:pPr>
      <w:r>
        <w:t>达标线处置：正常运营</w:t>
      </w:r>
    </w:p>
    <w:p>
      <w:pPr>
        <w:spacing w:after="120"/>
      </w:pPr>
      <w:r>
        <w:t>预警线处置：</w:t>
      </w:r>
    </w:p>
    <w:p>
      <w:pPr>
        <w:pStyle w:val="ListNumber"/>
      </w:pPr>
      <w:r>
        <w:t>要求供应商提交产能分析报告</w:t>
      </w:r>
    </w:p>
    <w:p>
      <w:pPr>
        <w:pStyle w:val="ListNumber"/>
      </w:pPr>
      <w:r>
        <w:t>业管协助分析原因，制定改进措施</w:t>
      </w:r>
    </w:p>
    <w:p>
      <w:pPr>
        <w:spacing w:after="120"/>
      </w:pPr>
      <w:r>
        <w:t>红线处置：</w:t>
      </w:r>
    </w:p>
    <w:p>
      <w:pPr>
        <w:pStyle w:val="ListNumber"/>
      </w:pPr>
      <w:r>
        <w:t>暂停新增产能</w:t>
      </w:r>
    </w:p>
    <w:p>
      <w:pPr>
        <w:pStyle w:val="ListNumber"/>
      </w:pPr>
      <w:r>
        <w:t>要求制定整改计划（10个工作日）</w:t>
      </w:r>
    </w:p>
    <w:p>
      <w:pPr>
        <w:pStyle w:val="ListNumber"/>
      </w:pPr>
      <w:r>
        <w:t>整改期间每周评估一次</w:t>
      </w:r>
    </w:p>
    <w:p>
      <w:pPr>
        <w:pStyle w:val="Heading2"/>
      </w:pPr>
      <w:r>
        <w:rPr>
          <w:b/>
          <w:sz w:val="24"/>
        </w:rPr>
        <w:t>第五条 数据报送及时率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达标线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预警线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红线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每日出勤报送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截止时间前报送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延迟≤2小时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延迟&gt;2小时或未报送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每日业绩报送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截止时间前报送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延迟≤2小时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延迟&gt;2小时或未报送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周报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截止时间前报送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延迟≤1天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延迟&gt;1天或未报送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月度总结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截止时间前报送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延迟≤3天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延迟&gt;3天或未报送</w:t>
            </w:r>
          </w:p>
        </w:tc>
      </w:tr>
    </w:tbl>
    <w:p/>
    <w:p>
      <w:pPr>
        <w:spacing w:after="120"/>
      </w:pPr>
      <w:r>
        <w:t>计算公式：</w:t>
      </w:r>
    </w:p>
    <w:p>
      <w:pPr>
        <w:spacing w:after="120"/>
      </w:pPr>
      <w:r>
        <w:t>```</w:t>
      </w:r>
    </w:p>
    <w:p>
      <w:pPr>
        <w:spacing w:after="120"/>
      </w:pPr>
      <w:r>
        <w:t>数据报送及时率 = 按时报送次数 / 应报送总次数 × 100%</w:t>
      </w:r>
    </w:p>
    <w:p>
      <w:pPr>
        <w:spacing w:after="120"/>
      </w:pPr>
      <w:r>
        <w:t>```</w:t>
      </w:r>
    </w:p>
    <w:p>
      <w:pPr>
        <w:spacing w:after="120"/>
      </w:pPr>
      <w:r>
        <w:t>达标线处置：正常运营</w:t>
      </w:r>
    </w:p>
    <w:p>
      <w:pPr>
        <w:spacing w:after="120"/>
      </w:pPr>
      <w:r>
        <w:t>预警线处置：</w:t>
      </w:r>
    </w:p>
    <w:p>
      <w:pPr>
        <w:pStyle w:val="ListNumber"/>
      </w:pPr>
      <w:r>
        <w:t>第一次警告，书面提醒</w:t>
      </w:r>
    </w:p>
    <w:p>
      <w:pPr>
        <w:pStyle w:val="ListNumber"/>
      </w:pPr>
      <w:r>
        <w:t>第二次暂停新产能分配1周</w:t>
      </w:r>
    </w:p>
    <w:p>
      <w:pPr>
        <w:spacing w:after="120"/>
      </w:pPr>
      <w:r>
        <w:t>红线处置：</w:t>
      </w:r>
    </w:p>
    <w:p>
      <w:pPr>
        <w:pStyle w:val="ListNumber"/>
      </w:pPr>
      <w:r>
        <w:t>暂停所有新产能分配</w:t>
      </w:r>
    </w:p>
    <w:p>
      <w:pPr>
        <w:pStyle w:val="ListNumber"/>
      </w:pPr>
      <w:r>
        <w:t>纳入月度评估扣分项（每次扣2分）</w:t>
      </w:r>
    </w:p>
    <w:p>
      <w:pPr>
        <w:pStyle w:val="ListNumber"/>
      </w:pPr>
      <w:r>
        <w:t>连续2次红线，启动约谈</w:t>
      </w:r>
    </w:p>
    <w:p>
      <w:pPr>
        <w:pStyle w:val="Heading2"/>
      </w:pPr>
      <w:r>
        <w:rPr>
          <w:b/>
          <w:sz w:val="24"/>
        </w:rPr>
        <w:t>第六条 数据准确率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达标线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预警线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红线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数据准确率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≥99%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95%≤x&lt;99%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&lt;95%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数据涂改率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≤1%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1%&lt;x≤3%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&gt;3%</w:t>
            </w:r>
          </w:p>
        </w:tc>
      </w:tr>
    </w:tbl>
    <w:p/>
    <w:p>
      <w:pPr>
        <w:spacing w:after="120"/>
      </w:pPr>
      <w:r>
        <w:t>达标线处置：正常运营</w:t>
      </w:r>
    </w:p>
    <w:p>
      <w:pPr>
        <w:spacing w:after="120"/>
      </w:pPr>
      <w:r>
        <w:t>预警线处置：</w:t>
      </w:r>
    </w:p>
    <w:p>
      <w:pPr>
        <w:pStyle w:val="ListNumber"/>
      </w:pPr>
      <w:r>
        <w:t>要求供应商自查数据问题</w:t>
      </w:r>
    </w:p>
    <w:p>
      <w:pPr>
        <w:pStyle w:val="ListNumber"/>
      </w:pPr>
      <w:r>
        <w:t>提交数据整改报告</w:t>
      </w:r>
    </w:p>
    <w:p>
      <w:pPr>
        <w:spacing w:after="120"/>
      </w:pPr>
      <w:r>
        <w:t>红线处置：</w:t>
      </w:r>
    </w:p>
    <w:p>
      <w:pPr>
        <w:pStyle w:val="ListNumber"/>
      </w:pPr>
      <w:r>
        <w:t>启动数据真实性核查</w:t>
      </w:r>
    </w:p>
    <w:p>
      <w:pPr>
        <w:pStyle w:val="ListNumber"/>
      </w:pPr>
      <w:r>
        <w:t>疑似数据造假移交合规调查</w:t>
      </w:r>
    </w:p>
    <w:p>
      <w:pPr>
        <w:pStyle w:val="ListNumber"/>
      </w:pPr>
      <w:r>
        <w:t>确认为数据造假，按红线处理</w:t>
      </w:r>
    </w:p>
    <w:p>
      <w:pPr>
        <w:pStyle w:val="Heading1"/>
      </w:pPr>
      <w:r>
        <w:rPr>
          <w:b/>
          <w:sz w:val="28"/>
        </w:rPr>
        <w:t>第三章 合规指标</w:t>
      </w:r>
    </w:p>
    <w:p>
      <w:pPr>
        <w:pStyle w:val="Heading2"/>
      </w:pPr>
      <w:r>
        <w:rPr>
          <w:b/>
          <w:sz w:val="24"/>
        </w:rPr>
        <w:t>第七条 信息安全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达标线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预警线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红线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信息泄露事件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发生1次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发生1次</w:t>
            </w:r>
          </w:p>
        </w:tc>
      </w:tr>
    </w:tbl>
    <w:p/>
    <w:p>
      <w:pPr>
        <w:spacing w:after="120"/>
      </w:pPr>
      <w:r>
        <w:t>信息安全红线（一票否决）：</w:t>
      </w:r>
    </w:p>
    <w:p>
      <w:pPr>
        <w:pStyle w:val="ListNumber"/>
      </w:pPr>
      <w:r>
        <w:t>泄露客户个人信息</w:t>
      </w:r>
    </w:p>
    <w:p>
      <w:pPr>
        <w:pStyle w:val="ListNumber"/>
      </w:pPr>
      <w:r>
        <w:t>泄露业务数据给竞争对手</w:t>
      </w:r>
    </w:p>
    <w:p>
      <w:pPr>
        <w:pStyle w:val="ListNumber"/>
      </w:pPr>
      <w:r>
        <w:t>数据违规出境</w:t>
      </w:r>
    </w:p>
    <w:p>
      <w:pPr>
        <w:spacing w:after="120"/>
      </w:pPr>
      <w:r>
        <w:t>达标线处置：正常运营</w:t>
      </w:r>
    </w:p>
    <w:p>
      <w:pPr>
        <w:spacing w:after="120"/>
      </w:pPr>
      <w:r>
        <w:t>预警线处置：</w:t>
      </w:r>
    </w:p>
    <w:p>
      <w:pPr>
        <w:pStyle w:val="ListNumber"/>
      </w:pPr>
      <w:r>
        <w:t>立即止损，切断数据泄露渠道</w:t>
      </w:r>
    </w:p>
    <w:p>
      <w:pPr>
        <w:pStyle w:val="ListNumber"/>
      </w:pPr>
      <w:r>
        <w:t>评估影响范围</w:t>
      </w:r>
    </w:p>
    <w:p>
      <w:pPr>
        <w:pStyle w:val="ListNumber"/>
      </w:pPr>
      <w:r>
        <w:t>制定加固方案</w:t>
      </w:r>
    </w:p>
    <w:p>
      <w:pPr>
        <w:spacing w:after="120"/>
      </w:pPr>
      <w:r>
        <w:t>红线处置：</w:t>
      </w:r>
    </w:p>
    <w:p>
      <w:pPr>
        <w:pStyle w:val="ListNumber"/>
      </w:pPr>
      <w:r>
        <w:t>立即暂停相关业务</w:t>
      </w:r>
    </w:p>
    <w:p>
      <w:pPr>
        <w:pStyle w:val="ListNumber"/>
      </w:pPr>
      <w:r>
        <w:t>启动清退评估</w:t>
      </w:r>
    </w:p>
    <w:p>
      <w:pPr>
        <w:pStyle w:val="ListNumber"/>
      </w:pPr>
      <w:r>
        <w:t>保留追究法律责任的权利</w:t>
      </w:r>
    </w:p>
    <w:p>
      <w:pPr>
        <w:pStyle w:val="Heading2"/>
      </w:pPr>
      <w:r>
        <w:rPr>
          <w:b/>
          <w:sz w:val="24"/>
        </w:rPr>
        <w:t>第八条 人员持证率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达标线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预警线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红线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人员持证率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95%≤x&lt;100%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&lt;95%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无证人员上岗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≥1人</w:t>
            </w:r>
          </w:p>
        </w:tc>
      </w:tr>
    </w:tbl>
    <w:p/>
    <w:p>
      <w:pPr>
        <w:spacing w:after="120"/>
      </w:pPr>
      <w:r>
        <w:t>达标线处置：正常运营</w:t>
      </w:r>
    </w:p>
    <w:p>
      <w:pPr>
        <w:spacing w:after="120"/>
      </w:pPr>
      <w:r>
        <w:t>预警线处置：</w:t>
      </w:r>
    </w:p>
    <w:p>
      <w:pPr>
        <w:pStyle w:val="ListNumber"/>
      </w:pPr>
      <w:r>
        <w:t>书面通知供应商</w:t>
      </w:r>
    </w:p>
    <w:p>
      <w:pPr>
        <w:pStyle w:val="ListNumber"/>
      </w:pPr>
      <w:r>
        <w:t>限5个工作日内完成考证或调离无证人员</w:t>
      </w:r>
    </w:p>
    <w:p>
      <w:pPr>
        <w:spacing w:after="120"/>
      </w:pPr>
      <w:r>
        <w:t>红线处置：</w:t>
      </w:r>
    </w:p>
    <w:p>
      <w:pPr>
        <w:pStyle w:val="ListNumber"/>
      </w:pPr>
      <w:r>
        <w:t>无证人员立即下岗</w:t>
      </w:r>
    </w:p>
    <w:p>
      <w:pPr>
        <w:pStyle w:val="ListNumber"/>
      </w:pPr>
      <w:r>
        <w:t>每发现1人扣5分</w:t>
      </w:r>
    </w:p>
    <w:p>
      <w:pPr>
        <w:pStyle w:val="ListNumber"/>
      </w:pPr>
      <w:r>
        <w:t>暂停新产能分配，直至持证率达标</w:t>
      </w:r>
    </w:p>
    <w:p>
      <w:pPr>
        <w:pStyle w:val="Heading2"/>
      </w:pPr>
      <w:r>
        <w:rPr>
          <w:b/>
          <w:sz w:val="24"/>
        </w:rPr>
        <w:t>第九条 录音留存率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达标线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预警线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红线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录音留存率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98%≤x&lt;100%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&lt;98%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录音留存时长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≥6个月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3-6个月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&lt;3个月</w:t>
            </w:r>
          </w:p>
        </w:tc>
      </w:tr>
    </w:tbl>
    <w:p/>
    <w:p>
      <w:pPr>
        <w:spacing w:after="120"/>
      </w:pPr>
      <w:r>
        <w:t>达标线处置：正常运营</w:t>
      </w:r>
    </w:p>
    <w:p>
      <w:pPr>
        <w:spacing w:after="120"/>
      </w:pPr>
      <w:r>
        <w:t>预警线处置：</w:t>
      </w:r>
    </w:p>
    <w:p>
      <w:pPr>
        <w:pStyle w:val="ListNumber"/>
      </w:pPr>
      <w:r>
        <w:t>要求查明原因</w:t>
      </w:r>
    </w:p>
    <w:p>
      <w:pPr>
        <w:pStyle w:val="ListNumber"/>
      </w:pPr>
      <w:r>
        <w:t>补录缺失录音</w:t>
      </w:r>
    </w:p>
    <w:p>
      <w:pPr>
        <w:spacing w:after="120"/>
      </w:pPr>
      <w:r>
        <w:t>红线处置：</w:t>
      </w:r>
    </w:p>
    <w:p>
      <w:pPr>
        <w:pStyle w:val="ListNumber"/>
      </w:pPr>
      <w:r>
        <w:t>立即整改</w:t>
      </w:r>
    </w:p>
    <w:p>
      <w:pPr>
        <w:pStyle w:val="ListNumber"/>
      </w:pPr>
      <w:r>
        <w:t>暂停相关业务</w:t>
      </w:r>
    </w:p>
    <w:p>
      <w:pPr>
        <w:pStyle w:val="ListNumber"/>
      </w:pPr>
      <w:r>
        <w:t>纳入月度评估</w:t>
      </w:r>
    </w:p>
    <w:p>
      <w:pPr>
        <w:pStyle w:val="Heading2"/>
      </w:pPr>
      <w:r>
        <w:rPr>
          <w:b/>
          <w:sz w:val="24"/>
        </w:rPr>
        <w:t>第十条 话术合规率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达标线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预警线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红线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话术合规率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≥98%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95%≤x&lt;98%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&lt;95%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严重话术违规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≥1次</w:t>
            </w:r>
          </w:p>
        </w:tc>
      </w:tr>
    </w:tbl>
    <w:p/>
    <w:p>
      <w:pPr>
        <w:spacing w:after="120"/>
      </w:pPr>
      <w:r>
        <w:t>话术严重违规类型：</w:t>
      </w:r>
    </w:p>
    <w:p>
      <w:pPr>
        <w:pStyle w:val="ListNumber"/>
      </w:pPr>
      <w:r>
        <w:t>虚假宣传、误导客户</w:t>
      </w:r>
    </w:p>
    <w:p>
      <w:pPr>
        <w:pStyle w:val="ListNumber"/>
      </w:pPr>
      <w:r>
        <w:t>承诺不在合同范围内的利益</w:t>
      </w:r>
    </w:p>
    <w:p>
      <w:pPr>
        <w:pStyle w:val="ListNumber"/>
      </w:pPr>
      <w:r>
        <w:t>使用侮辱性、威胁性语言</w:t>
      </w:r>
    </w:p>
    <w:p>
      <w:pPr>
        <w:pStyle w:val="ListNumber"/>
      </w:pPr>
      <w:r>
        <w:t>泄露公司禁止透露的信息</w:t>
      </w:r>
    </w:p>
    <w:p>
      <w:pPr>
        <w:spacing w:after="120"/>
      </w:pPr>
      <w:r>
        <w:t>达标线处置：正常运营</w:t>
      </w:r>
    </w:p>
    <w:p>
      <w:pPr>
        <w:spacing w:after="120"/>
      </w:pPr>
      <w:r>
        <w:t>预警线处置：</w:t>
      </w:r>
    </w:p>
    <w:p>
      <w:pPr>
        <w:pStyle w:val="ListNumber"/>
      </w:pPr>
      <w:r>
        <w:t>加强培训</w:t>
      </w:r>
    </w:p>
    <w:p>
      <w:pPr>
        <w:pStyle w:val="ListNumber"/>
      </w:pPr>
      <w:r>
        <w:t>加大质检比例</w:t>
      </w:r>
    </w:p>
    <w:p>
      <w:pPr>
        <w:spacing w:after="120"/>
      </w:pPr>
      <w:r>
        <w:t>红线处置：</w:t>
      </w:r>
    </w:p>
    <w:p>
      <w:pPr>
        <w:pStyle w:val="ListNumber"/>
      </w:pPr>
      <w:r>
        <w:t>涉事坐席下岗培训</w:t>
      </w:r>
    </w:p>
    <w:p>
      <w:pPr>
        <w:pStyle w:val="ListNumber"/>
      </w:pPr>
      <w:r>
        <w:t>供应商提交整改方案</w:t>
      </w:r>
    </w:p>
    <w:p>
      <w:pPr>
        <w:pStyle w:val="ListNumber"/>
      </w:pPr>
      <w:r>
        <w:t>暂停新产能分配</w:t>
      </w:r>
    </w:p>
    <w:p>
      <w:pPr>
        <w:pStyle w:val="Heading1"/>
      </w:pPr>
      <w:r>
        <w:rPr>
          <w:b/>
          <w:sz w:val="28"/>
        </w:rPr>
        <w:t>第四章 服务响应指标</w:t>
      </w:r>
    </w:p>
    <w:p>
      <w:pPr>
        <w:pStyle w:val="Heading2"/>
      </w:pPr>
      <w:r>
        <w:rPr>
          <w:b/>
          <w:sz w:val="24"/>
        </w:rPr>
        <w:t>第十一条 消息回复时限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达标线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预警线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红线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普通消息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4小时内回复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4-8小时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&gt;8小时或未回复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紧急消息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1小时内回复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1-2小时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&gt;2小时或未回复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即时响应（紧急）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30分钟内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30-60分钟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&gt;60分钟或未响应</w:t>
            </w:r>
          </w:p>
        </w:tc>
      </w:tr>
    </w:tbl>
    <w:p/>
    <w:p>
      <w:pPr>
        <w:spacing w:after="120"/>
      </w:pPr>
      <w:r>
        <w:t>达标线处置：正常运营</w:t>
      </w:r>
    </w:p>
    <w:p>
      <w:pPr>
        <w:spacing w:after="120"/>
      </w:pPr>
      <w:r>
        <w:t>预警线处置：</w:t>
      </w:r>
    </w:p>
    <w:p>
      <w:pPr>
        <w:pStyle w:val="ListNumber"/>
      </w:pPr>
      <w:r>
        <w:t>书面提醒</w:t>
      </w:r>
    </w:p>
    <w:p>
      <w:pPr>
        <w:pStyle w:val="ListNumber"/>
      </w:pPr>
      <w:r>
        <w:t>纳入管理配合评分</w:t>
      </w:r>
    </w:p>
    <w:p>
      <w:pPr>
        <w:spacing w:after="120"/>
      </w:pPr>
      <w:r>
        <w:t>红线处置：</w:t>
      </w:r>
    </w:p>
    <w:p>
      <w:pPr>
        <w:pStyle w:val="ListNumber"/>
      </w:pPr>
      <w:r>
        <w:t>约谈供应商负责人</w:t>
      </w:r>
    </w:p>
    <w:p>
      <w:pPr>
        <w:pStyle w:val="ListNumber"/>
      </w:pPr>
      <w:r>
        <w:t>纳入月度评估扣分项</w:t>
      </w:r>
    </w:p>
    <w:p>
      <w:pPr>
        <w:pStyle w:val="Heading2"/>
      </w:pPr>
      <w:r>
        <w:rPr>
          <w:b/>
          <w:sz w:val="24"/>
        </w:rPr>
        <w:t>第十二条 异常报备时限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异常等级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报备时限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达标线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预警线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红线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一般异常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4小时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按时报备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延迟≤2小时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延迟&gt;2小时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重要异常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2小时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按时报备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延迟≤1小时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延迟&gt;1小时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紧急异常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即时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即时报备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延迟≤30分钟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延迟&gt;30分钟</w:t>
            </w:r>
          </w:p>
        </w:tc>
      </w:tr>
    </w:tbl>
    <w:p/>
    <w:p>
      <w:pPr>
        <w:spacing w:after="120"/>
      </w:pPr>
      <w:r>
        <w:t>达标线处置：正常运营</w:t>
      </w:r>
    </w:p>
    <w:p>
      <w:pPr>
        <w:spacing w:after="120"/>
      </w:pPr>
      <w:r>
        <w:t>预警线处置：</w:t>
      </w:r>
    </w:p>
    <w:p>
      <w:pPr>
        <w:pStyle w:val="ListNumber"/>
      </w:pPr>
      <w:r>
        <w:t>要求提交延迟说明</w:t>
      </w:r>
    </w:p>
    <w:p>
      <w:pPr>
        <w:pStyle w:val="ListNumber"/>
      </w:pPr>
      <w:r>
        <w:t>纳入异常处理评分</w:t>
      </w:r>
    </w:p>
    <w:p>
      <w:pPr>
        <w:spacing w:after="120"/>
      </w:pPr>
      <w:r>
        <w:t>红线处置：</w:t>
      </w:r>
    </w:p>
    <w:p>
      <w:pPr>
        <w:pStyle w:val="ListNumber"/>
      </w:pPr>
      <w:r>
        <w:t>延迟报备导致损失加重，追究责任</w:t>
      </w:r>
    </w:p>
    <w:p>
      <w:pPr>
        <w:pStyle w:val="ListNumber"/>
      </w:pPr>
      <w:r>
        <w:t>纳入月度评估扣分</w:t>
      </w:r>
    </w:p>
    <w:p>
      <w:pPr>
        <w:pStyle w:val="Heading2"/>
      </w:pPr>
      <w:r>
        <w:rPr>
          <w:b/>
          <w:sz w:val="24"/>
        </w:rPr>
        <w:t>第十三条 整改响应时限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整改类型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整改计划提交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整改启动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整改完成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一般整改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5个工作日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3个工作日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30天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重要整改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3个工作日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2个工作日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15天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紧急整改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24小时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即时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7天</w:t>
            </w:r>
          </w:p>
        </w:tc>
      </w:tr>
    </w:tbl>
    <w:p/>
    <w:p>
      <w:pPr>
        <w:spacing w:after="120"/>
      </w:pPr>
      <w:r>
        <w:t>达标线处置：按时完成整改</w:t>
      </w:r>
    </w:p>
    <w:p>
      <w:pPr>
        <w:spacing w:after="120"/>
      </w:pPr>
      <w:r>
        <w:t>预警线处置：</w:t>
      </w:r>
    </w:p>
    <w:p>
      <w:pPr>
        <w:pStyle w:val="ListNumber"/>
      </w:pPr>
      <w:r>
        <w:t>书面提醒</w:t>
      </w:r>
    </w:p>
    <w:p>
      <w:pPr>
        <w:pStyle w:val="ListNumber"/>
      </w:pPr>
      <w:r>
        <w:t>延长整改期限（最多1次，延长期限不超过原期限50%）</w:t>
      </w:r>
    </w:p>
    <w:p>
      <w:pPr>
        <w:spacing w:after="120"/>
      </w:pPr>
      <w:r>
        <w:t>红线处置：</w:t>
      </w:r>
    </w:p>
    <w:p>
      <w:pPr>
        <w:pStyle w:val="ListNumber"/>
      </w:pPr>
      <w:r>
        <w:t>立即暂停相关业务</w:t>
      </w:r>
    </w:p>
    <w:p>
      <w:pPr>
        <w:pStyle w:val="ListNumber"/>
      </w:pPr>
      <w:r>
        <w:t>启动清退评估</w:t>
      </w:r>
    </w:p>
    <w:p>
      <w:pPr>
        <w:pStyle w:val="ListNumber"/>
      </w:pPr>
      <w:r>
        <w:t>整改未完成不恢复运营</w:t>
      </w:r>
    </w:p>
    <w:p>
      <w:pPr>
        <w:pStyle w:val="Heading1"/>
      </w:pPr>
      <w:r>
        <w:rPr>
          <w:b/>
          <w:sz w:val="28"/>
        </w:rPr>
        <w:t>第五章 达标/预警/红线机制及处理流程</w:t>
      </w:r>
    </w:p>
    <w:p>
      <w:pPr>
        <w:pStyle w:val="Heading2"/>
      </w:pPr>
      <w:r>
        <w:rPr>
          <w:b/>
          <w:sz w:val="24"/>
        </w:rPr>
        <w:t>第十四条 指标监控机制</w:t>
      </w:r>
    </w:p>
    <w:p>
      <w:pPr>
        <w:spacing w:after="120"/>
      </w:pPr>
      <w:r>
        <w:t>日常监控：</w:t>
      </w:r>
    </w:p>
    <w:p>
      <w:pPr>
        <w:pStyle w:val="ListNumber"/>
      </w:pPr>
      <w:r>
        <w:t>供应商管理岗每日检查前一日数据</w:t>
      </w:r>
    </w:p>
    <w:p>
      <w:pPr>
        <w:pStyle w:val="ListNumber"/>
      </w:pPr>
      <w:r>
        <w:t>对未达标指标发送预警通知</w:t>
      </w:r>
    </w:p>
    <w:p>
      <w:pPr>
        <w:pStyle w:val="ListNumber"/>
      </w:pPr>
      <w:r>
        <w:t>记录所有预警及处理过程</w:t>
      </w:r>
    </w:p>
    <w:p>
      <w:pPr>
        <w:spacing w:after="120"/>
      </w:pPr>
      <w:r>
        <w:t>数据核对：</w:t>
      </w:r>
    </w:p>
    <w:p>
      <w:pPr>
        <w:pStyle w:val="ListNumber"/>
      </w:pPr>
      <w:r>
        <w:t>每周与业务方核对业绩数据</w:t>
      </w:r>
    </w:p>
    <w:p>
      <w:pPr>
        <w:pStyle w:val="ListNumber"/>
      </w:pPr>
      <w:r>
        <w:t>每月与质检核对质检数据</w:t>
      </w:r>
    </w:p>
    <w:p>
      <w:pPr>
        <w:pStyle w:val="ListNumber"/>
      </w:pPr>
      <w:r>
        <w:t>数据不一致时以业务方数据为准，供应商有异议可申诉</w:t>
      </w:r>
    </w:p>
    <w:p>
      <w:pPr>
        <w:pStyle w:val="Heading2"/>
      </w:pPr>
      <w:r>
        <w:rPr>
          <w:b/>
          <w:sz w:val="24"/>
        </w:rPr>
        <w:t>第十五条 预警触发流程</w:t>
      </w:r>
    </w:p>
    <w:p>
      <w:pPr>
        <w:spacing w:after="120"/>
      </w:pPr>
      <w:r>
        <w:t>```</w:t>
      </w:r>
    </w:p>
    <w:p>
      <w:pPr>
        <w:spacing w:after="120"/>
      </w:pPr>
      <w:r>
        <w:t>指标监控 → 发现不达标 → 判断等级 → 发送预警 → 供应商确认 → 处置执行 → 整改跟踪 → 验收结案</w:t>
      </w:r>
    </w:p>
    <w:p>
      <w:pPr>
        <w:spacing w:after="120"/>
      </w:pPr>
      <w:r>
        <w:t>```</w:t>
      </w:r>
    </w:p>
    <w:p>
      <w:pPr>
        <w:spacing w:after="120"/>
      </w:pPr>
      <w:r>
        <w:t>预警通知内容：</w:t>
      </w:r>
    </w:p>
    <w:p>
      <w:pPr>
        <w:pStyle w:val="ListNumber"/>
      </w:pPr>
      <w:r>
        <w:t>预警指标及当前值</w:t>
      </w:r>
    </w:p>
    <w:p>
      <w:pPr>
        <w:pStyle w:val="ListNumber"/>
      </w:pPr>
      <w:r>
        <w:t>达标要求</w:t>
      </w:r>
    </w:p>
    <w:p>
      <w:pPr>
        <w:pStyle w:val="ListNumber"/>
      </w:pPr>
      <w:r>
        <w:t>处置措施</w:t>
      </w:r>
    </w:p>
    <w:p>
      <w:pPr>
        <w:pStyle w:val="ListNumber"/>
      </w:pPr>
      <w:r>
        <w:t>完成时限</w:t>
      </w:r>
    </w:p>
    <w:p>
      <w:pPr>
        <w:pStyle w:val="ListNumber"/>
      </w:pPr>
      <w:r>
        <w:t>联系人和联系方式</w:t>
      </w:r>
    </w:p>
    <w:p>
      <w:pPr>
        <w:pStyle w:val="Heading2"/>
      </w:pPr>
      <w:r>
        <w:rPr>
          <w:b/>
          <w:sz w:val="24"/>
        </w:rPr>
        <w:t>第十六条 红线触发流程</w:t>
      </w:r>
    </w:p>
    <w:p>
      <w:pPr>
        <w:spacing w:after="120"/>
      </w:pPr>
      <w:r>
        <w:t>```</w:t>
      </w:r>
    </w:p>
    <w:p>
      <w:pPr>
        <w:spacing w:after="120"/>
      </w:pPr>
      <w:r>
        <w:t>红线触发 → 即时报告供应商管理部负责人 → 成立专项小组 → 48小时内形成处置方案 → 执行处置 → 整改跟踪 → 清退评估（必要时）</w:t>
      </w:r>
    </w:p>
    <w:p>
      <w:pPr>
        <w:spacing w:after="120"/>
      </w:pPr>
      <w:r>
        <w:t>```</w:t>
      </w:r>
    </w:p>
    <w:p>
      <w:pPr>
        <w:spacing w:after="120"/>
      </w:pPr>
      <w:r>
        <w:t>红线处置方案内容：</w:t>
      </w:r>
    </w:p>
    <w:p>
      <w:pPr>
        <w:pStyle w:val="ListNumber"/>
      </w:pPr>
      <w:r>
        <w:t>问题描述及证据</w:t>
      </w:r>
    </w:p>
    <w:p>
      <w:pPr>
        <w:pStyle w:val="ListNumber"/>
      </w:pPr>
      <w:r>
        <w:t>影响范围评估</w:t>
      </w:r>
    </w:p>
    <w:p>
      <w:pPr>
        <w:pStyle w:val="ListNumber"/>
      </w:pPr>
      <w:r>
        <w:t>处置措施</w:t>
      </w:r>
    </w:p>
    <w:p>
      <w:pPr>
        <w:pStyle w:val="ListNumber"/>
      </w:pPr>
      <w:r>
        <w:t>责任人追究</w:t>
      </w:r>
    </w:p>
    <w:p>
      <w:pPr>
        <w:pStyle w:val="ListNumber"/>
      </w:pPr>
      <w:r>
        <w:t>后续预防措施</w:t>
      </w:r>
    </w:p>
    <w:p>
      <w:pPr>
        <w:pStyle w:val="Heading1"/>
      </w:pPr>
      <w:r>
        <w:rPr>
          <w:b/>
          <w:sz w:val="28"/>
        </w:rPr>
        <w:t>第六章 评估数据应用</w:t>
      </w:r>
    </w:p>
    <w:p>
      <w:pPr>
        <w:pStyle w:val="Heading2"/>
      </w:pPr>
      <w:r>
        <w:rPr>
          <w:b/>
          <w:sz w:val="24"/>
        </w:rPr>
        <w:t>第十七条 SLA数据在评估中的应用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SLA指标类别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评估维度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分值权重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出勤率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交付质量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产能达标率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业务达成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数据报送及时率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管理配合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数据准确率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管理配合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话术合规率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合规表现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人员持证率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合规表现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异常响应时限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管理配合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整改完成率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管理配合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3分</w:t>
            </w:r>
          </w:p>
        </w:tc>
      </w:tr>
    </w:tbl>
    <w:p/>
    <w:p>
      <w:pPr>
        <w:spacing w:after="120"/>
      </w:pPr>
      <w:r>
        <w:t>详见《供应商月度综合评估方案》（SM-2026-004）</w:t>
      </w:r>
    </w:p>
    <w:p>
      <w:pPr>
        <w:pStyle w:val="Heading1"/>
      </w:pPr>
      <w:r>
        <w:rPr>
          <w:b/>
          <w:sz w:val="28"/>
        </w:rPr>
        <w:t>第七章 附则</w:t>
      </w:r>
    </w:p>
    <w:p>
      <w:pPr>
        <w:pStyle w:val="Heading2"/>
      </w:pPr>
      <w:r>
        <w:rPr>
          <w:b/>
          <w:sz w:val="24"/>
        </w:rPr>
        <w:t>第十八条 生效与修订</w:t>
      </w:r>
    </w:p>
    <w:p>
      <w:pPr>
        <w:spacing w:after="120"/>
      </w:pPr>
      <w:r>
        <w:t>本SLA自发布之日起生效，修订须经供应商管理部负责人审批。</w:t>
      </w:r>
    </w:p>
    <w:p>
      <w:pPr>
        <w:pStyle w:val="Heading2"/>
      </w:pPr>
      <w:r>
        <w:rPr>
          <w:b/>
          <w:sz w:val="24"/>
        </w:rPr>
        <w:t>第十九条 配套文件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文件名称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编号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《供应商管理办法（总纲）》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SM-2026-001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《供应商管理日常手册》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SM-2026-002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《供应商月度综合评估方案》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SM-2026-004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《质量管理规范》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SM-2026-005</w:t>
            </w:r>
          </w:p>
        </w:tc>
      </w:tr>
    </w:tbl>
    <w:p/>
    <w:p>
      <w:pPr>
        <w:spacing w:after="120"/>
      </w:pPr>
      <w:r>
        <w:t>*（本页无正文）*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