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40"/>
      </w:pPr>
    </w:p>
    <w:p>
      <w:pPr>
        <w:spacing w:after="240"/>
        <w:jc w:val="center"/>
      </w:pPr>
      <w:r>
        <w:rPr>
          <w:rFonts w:ascii="SimHei" w:hAnsi="SimHei" w:eastAsia="黑体"/>
          <w:b/>
          <w:color w:val="1A1A2E"/>
          <w:sz w:val="56"/>
        </w:rPr>
        <w:t>供应商分层分级管理办法</w:t>
      </w:r>
    </w:p>
    <w:p>
      <w:pPr>
        <w:spacing w:before="120" w:after="120"/>
        <w:jc w:val="center"/>
      </w:pPr>
      <w:r>
        <w:rPr>
          <w:rFonts w:ascii="SimSun" w:hAnsi="SimSun" w:eastAsia="宋体"/>
          <w:color w:val="555555"/>
          <w:sz w:val="32"/>
        </w:rPr>
        <w:t>京东金融电销业务供应商管理 V2.0</w:t>
      </w:r>
    </w:p>
    <w:p>
      <w:pPr>
        <w:spacing w:before="480"/>
        <w:jc w:val="center"/>
      </w:pPr>
      <w:r>
        <w:rPr>
          <w:rFonts w:ascii="SimSun" w:hAnsi="SimSun" w:eastAsia="宋体"/>
          <w:color w:val="888888"/>
          <w:sz w:val="28"/>
        </w:rPr>
        <w:t>2026年4月</w:t>
      </w:r>
    </w:p>
    <w:p>
      <w:pPr>
        <w:spacing w:before="0" w:after="480"/>
      </w:pPr>
    </w:p>
    <w:p>
      <w:pPr>
        <w:jc w:val="center"/>
      </w:pPr>
      <w:r>
        <w:rPr>
          <w:color w:val="CCCCCC"/>
          <w:sz w:val="20"/>
        </w:rPr>
        <w:t>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第一章 总则</w:t>
      </w:r>
    </w:p>
    <w:p>
      <w:pPr>
        <w:pStyle w:val="Heading2"/>
      </w:pPr>
      <w:r>
        <w:t>1.1 目的</w:t>
      </w:r>
    </w:p>
    <w:p>
      <w:pPr>
        <w:spacing w:before="60" w:after="60" w:line="360" w:lineRule="auto"/>
        <w:jc w:val="both"/>
      </w:pPr>
      <w:r>
        <w:rPr>
          <w:rFonts w:ascii="SimSun" w:hAnsi="SimSun" w:eastAsia="宋体"/>
          <w:b w:val="0"/>
          <w:sz w:val="24"/>
        </w:rPr>
        <w:t>为建立科学的供应商管理体系，实现供应商的分类分级管理，提升供应商整体效能，特制定本办法。</w:t>
      </w:r>
    </w:p>
    <w:p>
      <w:pPr>
        <w:pStyle w:val="Heading2"/>
      </w:pPr>
      <w:r>
        <w:t>1.2 适用范围</w:t>
      </w:r>
    </w:p>
    <w:p>
      <w:pPr>
        <w:spacing w:before="60" w:after="60" w:line="360" w:lineRule="auto"/>
        <w:jc w:val="both"/>
      </w:pPr>
      <w:r>
        <w:rPr>
          <w:rFonts w:ascii="SimSun" w:hAnsi="SimSun" w:eastAsia="宋体"/>
          <w:b w:val="0"/>
          <w:sz w:val="24"/>
        </w:rPr>
        <w:t>本办法适用于京东金融电销业务（金条、企金、信用卡、财富等产线）所有合作供应商。</w:t>
      </w:r>
    </w:p>
    <w:p>
      <w:pPr>
        <w:pStyle w:val="Heading2"/>
      </w:pPr>
      <w:r>
        <w:t>1.3 管理原则</w:t>
      </w:r>
    </w:p>
    <w:p>
      <w:pPr>
        <w:spacing w:before="60" w:after="60" w:line="360" w:lineRule="auto"/>
        <w:jc w:val="both"/>
      </w:pPr>
      <w:r>
        <w:rPr>
          <w:rFonts w:ascii="SimSun" w:hAnsi="SimSun" w:eastAsia="黑体"/>
          <w:b/>
          <w:sz w:val="24"/>
        </w:rPr>
        <w:t>客观公正：</w:t>
      </w:r>
      <w:r>
        <w:rPr>
          <w:rFonts w:ascii="SimSun" w:hAnsi="SimSun" w:eastAsia="宋体"/>
          <w:b w:val="0"/>
          <w:sz w:val="24"/>
        </w:rPr>
        <w:t>以数据为依据，定量为主、定性为辅</w:t>
      </w:r>
    </w:p>
    <w:p>
      <w:pPr>
        <w:spacing w:before="60" w:after="60" w:line="360" w:lineRule="auto"/>
        <w:jc w:val="both"/>
      </w:pPr>
      <w:r>
        <w:rPr>
          <w:rFonts w:ascii="SimSun" w:hAnsi="SimSun" w:eastAsia="黑体"/>
          <w:b/>
          <w:sz w:val="24"/>
        </w:rPr>
        <w:t>动态管理：</w:t>
      </w:r>
      <w:r>
        <w:rPr>
          <w:rFonts w:ascii="SimSun" w:hAnsi="SimSun" w:eastAsia="宋体"/>
          <w:b w:val="0"/>
          <w:sz w:val="24"/>
        </w:rPr>
        <w:t>季度评估、动态升降级</w:t>
      </w:r>
    </w:p>
    <w:p>
      <w:pPr>
        <w:spacing w:before="60" w:after="60" w:line="360" w:lineRule="auto"/>
        <w:jc w:val="both"/>
      </w:pPr>
      <w:r>
        <w:rPr>
          <w:rFonts w:ascii="SimSun" w:hAnsi="SimSun" w:eastAsia="黑体"/>
          <w:b/>
          <w:sz w:val="24"/>
        </w:rPr>
        <w:t>分类施策：</w:t>
      </w:r>
      <w:r>
        <w:rPr>
          <w:rFonts w:ascii="SimSun" w:hAnsi="SimSun" w:eastAsia="宋体"/>
          <w:b w:val="0"/>
          <w:sz w:val="24"/>
        </w:rPr>
        <w:t>不同级别差异化管理，资源向优质供应商倾斜</w:t>
      </w:r>
    </w:p>
    <w:p>
      <w:pPr>
        <w:spacing w:before="60" w:after="60" w:line="360" w:lineRule="auto"/>
        <w:jc w:val="both"/>
      </w:pPr>
      <w:r>
        <w:rPr>
          <w:rFonts w:ascii="SimSun" w:hAnsi="SimSun" w:eastAsia="黑体"/>
          <w:b/>
          <w:sz w:val="24"/>
        </w:rPr>
        <w:t>限期改善：</w:t>
      </w:r>
      <w:r>
        <w:rPr>
          <w:rFonts w:ascii="SimSun" w:hAnsi="SimSun" w:eastAsia="宋体"/>
          <w:b w:val="0"/>
          <w:sz w:val="24"/>
        </w:rPr>
        <w:t>C级供应商强制进入PIP，改善不合格启动退出</w:t>
      </w:r>
    </w:p>
    <w:p>
      <w:r>
        <w:br w:type="page"/>
      </w:r>
    </w:p>
    <w:p>
      <w:pPr>
        <w:pStyle w:val="Heading1"/>
      </w:pPr>
      <w:r>
        <w:t>第二章 评估体系设计</w:t>
      </w:r>
    </w:p>
    <w:p>
      <w:pPr>
        <w:pStyle w:val="Heading2"/>
      </w:pPr>
      <w:r>
        <w:t>2.1 评估维度与权重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评估维度</w:t>
            </w:r>
          </w:p>
        </w:tc>
        <w:tc>
          <w:tcPr>
            <w:tcW w:type="dxa" w:w="166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权重</w:t>
            </w:r>
          </w:p>
        </w:tc>
        <w:tc>
          <w:tcPr>
            <w:tcW w:type="dxa" w:w="166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性质</w:t>
            </w:r>
          </w:p>
        </w:tc>
        <w:tc>
          <w:tcPr>
            <w:tcW w:type="dxa" w:w="166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评估主体</w:t>
            </w:r>
          </w:p>
        </w:tc>
        <w:tc>
          <w:tcPr>
            <w:tcW w:type="dxa" w:w="166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细项数量</w:t>
            </w:r>
          </w:p>
        </w:tc>
      </w:tr>
      <w:tr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b w:val="0"/>
                <w:sz w:val="18"/>
              </w:rPr>
              <w:t>业务督导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b w:val="0"/>
                <w:sz w:val="18"/>
              </w:rPr>
              <w:t>60分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b w:val="0"/>
                <w:sz w:val="18"/>
              </w:rPr>
              <w:t>定量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b w:val="0"/>
                <w:sz w:val="18"/>
              </w:rPr>
              <w:t>业务督导岗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b w:val="0"/>
                <w:sz w:val="18"/>
              </w:rPr>
              <w:t>6项</w:t>
            </w:r>
          </w:p>
        </w:tc>
      </w:tr>
      <w:tr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b w:val="0"/>
                <w:sz w:val="18"/>
              </w:rPr>
              <w:t>供应商管理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b w:val="0"/>
                <w:sz w:val="18"/>
              </w:rPr>
              <w:t>30分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b w:val="0"/>
                <w:sz w:val="18"/>
              </w:rPr>
              <w:t>定性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b w:val="0"/>
                <w:sz w:val="18"/>
              </w:rPr>
              <w:t>供应商管理岗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b w:val="0"/>
                <w:sz w:val="18"/>
              </w:rPr>
              <w:t>6项</w:t>
            </w:r>
          </w:p>
        </w:tc>
      </w:tr>
      <w:tr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b w:val="0"/>
                <w:sz w:val="18"/>
              </w:rPr>
              <w:t>质检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b w:val="0"/>
                <w:sz w:val="18"/>
              </w:rPr>
              <w:t>10分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b w:val="0"/>
                <w:sz w:val="18"/>
              </w:rPr>
              <w:t>定量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b w:val="0"/>
                <w:sz w:val="18"/>
              </w:rPr>
              <w:t>质检培训运营岗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b w:val="0"/>
                <w:sz w:val="18"/>
              </w:rPr>
              <w:t>4项</w:t>
            </w:r>
          </w:p>
        </w:tc>
      </w:tr>
      <w:tr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合计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100分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—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—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16项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2.2 业务督导细项（60分，定量）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186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序号</w:t>
            </w:r>
          </w:p>
        </w:tc>
        <w:tc>
          <w:tcPr>
            <w:tcW w:type="dxa" w:w="1186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细项名称</w:t>
            </w:r>
          </w:p>
        </w:tc>
        <w:tc>
          <w:tcPr>
            <w:tcW w:type="dxa" w:w="1186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权重</w:t>
            </w:r>
          </w:p>
        </w:tc>
        <w:tc>
          <w:tcPr>
            <w:tcW w:type="dxa" w:w="1186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维度</w:t>
            </w:r>
          </w:p>
        </w:tc>
        <w:tc>
          <w:tcPr>
            <w:tcW w:type="dxa" w:w="1186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满分条件</w:t>
            </w:r>
          </w:p>
        </w:tc>
        <w:tc>
          <w:tcPr>
            <w:tcW w:type="dxa" w:w="1186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及格条件</w:t>
            </w:r>
          </w:p>
        </w:tc>
        <w:tc>
          <w:tcPr>
            <w:tcW w:type="dxa" w:w="1186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不及格条件</w:t>
            </w:r>
          </w:p>
        </w:tc>
      </w:tr>
      <w:tr>
        <w:tc>
          <w:tcPr>
            <w:tcW w:type="dxa" w:w="1186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1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季度目标达成率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15分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目标达成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达成率≥100%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85%≤达成率&lt;100%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达成率&lt;85%</w:t>
            </w:r>
          </w:p>
        </w:tc>
      </w:tr>
      <w:tr>
        <w:tc>
          <w:tcPr>
            <w:tcW w:type="dxa" w:w="1186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2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季度业绩贡献占比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10分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业绩产出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人均产出≥均值110%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90%≤人均产出&lt;110%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人均产出&lt;90%</w:t>
            </w:r>
          </w:p>
        </w:tc>
      </w:tr>
      <w:tr>
        <w:tc>
          <w:tcPr>
            <w:tcW w:type="dxa" w:w="1186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3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转化效率指数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10分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转化效率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≥均值110%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95%≤指数&lt;110%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指数&lt;95%</w:t>
            </w:r>
          </w:p>
        </w:tc>
      </w:tr>
      <w:tr>
        <w:tc>
          <w:tcPr>
            <w:tcW w:type="dxa" w:w="1186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4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月度业绩增长趋势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10分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趋势变化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月均增长≥5%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-2%≤增长&lt;5%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月均增长&lt;-2%</w:t>
            </w:r>
          </w:p>
        </w:tc>
      </w:tr>
      <w:tr>
        <w:tc>
          <w:tcPr>
            <w:tcW w:type="dxa" w:w="1186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5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季度人力稳定贡献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8分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人力贡献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稳定留存率≥90%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75%≤留存率&lt;90%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留存率&lt;75%</w:t>
            </w:r>
          </w:p>
        </w:tc>
      </w:tr>
      <w:tr>
        <w:tc>
          <w:tcPr>
            <w:tcW w:type="dxa" w:w="1186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6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有效人力占比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7分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人力贡献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有效占比≥95%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85%≤有效占比&lt;95%</w:t>
            </w:r>
          </w:p>
        </w:tc>
        <w:tc>
          <w:tcPr>
            <w:tcW w:type="dxa" w:w="1186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有效占比&lt;85%</w:t>
            </w:r>
          </w:p>
        </w:tc>
      </w:tr>
    </w:tbl>
    <w:p>
      <w:pPr>
        <w:spacing w:before="0" w:after="120"/>
      </w:pPr>
    </w:p>
    <w:p>
      <w:pPr>
        <w:spacing w:before="60" w:after="40" w:line="360" w:lineRule="auto"/>
        <w:jc w:val="both"/>
      </w:pPr>
      <w:r>
        <w:rPr>
          <w:rFonts w:ascii="SimSun" w:hAnsi="SimSun" w:eastAsia="黑体"/>
          <w:b/>
          <w:sz w:val="24"/>
        </w:rPr>
        <w:t>评分规则：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满分与及格之间、及格与不及格之间按线性插值计算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季度结束后第3个工作日锁定数据，第5个工作日出分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出分后2个工作日内可发起数据异议，逾期视为认可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新准入供应商季度运营不足1个月不参与当季排名</w:t>
      </w:r>
    </w:p>
    <w:p>
      <w:pPr>
        <w:spacing w:before="0" w:after="120"/>
      </w:pPr>
    </w:p>
    <w:p>
      <w:pPr>
        <w:pStyle w:val="Heading2"/>
      </w:pPr>
      <w:r>
        <w:t>2.3 供应商管理细项（30分，定性）</w:t>
      </w:r>
    </w:p>
    <w:p>
      <w:pPr>
        <w:spacing w:before="60" w:after="120" w:line="360" w:lineRule="auto"/>
        <w:jc w:val="both"/>
      </w:pPr>
      <w:r>
        <w:rPr>
          <w:rFonts w:ascii="SimSun" w:hAnsi="SimSun" w:eastAsia="宋体"/>
          <w:b w:val="0"/>
          <w:sz w:val="24"/>
        </w:rPr>
        <w:t>采用5分制评估（优秀5分/良好4分/合格3分/需改进2分/差1分），每项权重乘得分系数。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序号</w:t>
            </w:r>
          </w:p>
        </w:tc>
        <w:tc>
          <w:tcPr>
            <w:tcW w:type="dxa" w:w="2075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细项名称</w:t>
            </w:r>
          </w:p>
        </w:tc>
        <w:tc>
          <w:tcPr>
            <w:tcW w:type="dxa" w:w="2075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权重</w:t>
            </w:r>
          </w:p>
        </w:tc>
        <w:tc>
          <w:tcPr>
            <w:tcW w:type="dxa" w:w="2075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评估标准（5分=优秀）</w:t>
            </w:r>
          </w:p>
        </w:tc>
      </w:tr>
      <w:tr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1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配合意愿与响应速度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6分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需求2小时内响应，24小时内出方案，主动跟进，零推诿</w:t>
            </w:r>
          </w:p>
        </w:tc>
      </w:tr>
      <w:tr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2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管理团队能力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5分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驻场经理经验丰富，能独立解决现场问题，管理例会高质量</w:t>
            </w:r>
          </w:p>
        </w:tc>
      </w:tr>
      <w:tr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3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招聘与培训体系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5分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招聘渠道多元，月度满编率≥95%，新人7天达标率≥85%</w:t>
            </w:r>
          </w:p>
        </w:tc>
      </w:tr>
      <w:tr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4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合规与风险管理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5分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季度零合规事故，主动识别上报风险，合规承诺书100%</w:t>
            </w:r>
          </w:p>
        </w:tc>
      </w:tr>
      <w:tr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5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资源投入与稳定性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5分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资源充足，核心团队年度流失率&lt;10%，产能波动&lt;5%</w:t>
            </w:r>
          </w:p>
        </w:tc>
      </w:tr>
      <w:tr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6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创新与改进意愿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4分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季度主动提出≥3条优化建议并被采纳，积极参与试点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2.4 质检细项（10分，定量）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序号</w:t>
            </w:r>
          </w:p>
        </w:tc>
        <w:tc>
          <w:tcPr>
            <w:tcW w:type="dxa" w:w="166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细项名称</w:t>
            </w:r>
          </w:p>
        </w:tc>
        <w:tc>
          <w:tcPr>
            <w:tcW w:type="dxa" w:w="166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权重</w:t>
            </w:r>
          </w:p>
        </w:tc>
        <w:tc>
          <w:tcPr>
            <w:tcW w:type="dxa" w:w="166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满分条件</w:t>
            </w:r>
          </w:p>
        </w:tc>
        <w:tc>
          <w:tcPr>
            <w:tcW w:type="dxa" w:w="166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零分条件</w:t>
            </w:r>
          </w:p>
        </w:tc>
      </w:tr>
      <w:tr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1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质检合格率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4分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合格率≥95%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合格率&lt;85%</w:t>
            </w:r>
          </w:p>
        </w:tc>
      </w:tr>
      <w:tr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2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合规违规次数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3分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零A类违规且B类≤2次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出现A类违规（红线）</w:t>
            </w:r>
          </w:p>
        </w:tc>
      </w:tr>
      <w:tr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3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客户投诉率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2分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投诉率≤3/万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投诉率&gt;8/万</w:t>
            </w:r>
          </w:p>
        </w:tc>
      </w:tr>
      <w:tr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4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话术规范执行率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1分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执行率≥95%</w:t>
            </w:r>
          </w:p>
        </w:tc>
        <w:tc>
          <w:tcPr>
            <w:tcW w:type="dxa" w:w="166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执行率&lt;85%</w:t>
            </w:r>
          </w:p>
        </w:tc>
      </w:tr>
    </w:tbl>
    <w:p>
      <w:r>
        <w:br w:type="page"/>
      </w:r>
    </w:p>
    <w:p>
      <w:pPr>
        <w:pStyle w:val="Heading1"/>
      </w:pPr>
      <w:r>
        <w:t>第三章 ABC分级体系</w:t>
      </w:r>
    </w:p>
    <w:p>
      <w:pPr>
        <w:pStyle w:val="Heading2"/>
      </w:pPr>
      <w:r>
        <w:t>3.1 分级规则（相对排名法）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级别</w:t>
            </w:r>
          </w:p>
        </w:tc>
        <w:tc>
          <w:tcPr>
            <w:tcW w:type="dxa" w:w="2075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排名范围</w:t>
            </w:r>
          </w:p>
        </w:tc>
        <w:tc>
          <w:tcPr>
            <w:tcW w:type="dxa" w:w="2075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占比</w:t>
            </w:r>
          </w:p>
        </w:tc>
        <w:tc>
          <w:tcPr>
            <w:tcW w:type="dxa" w:w="2075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管理定位</w:t>
            </w:r>
          </w:p>
        </w:tc>
      </w:tr>
      <w:tr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A级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排名前30%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约30%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战略合作伙伴</w:t>
            </w:r>
          </w:p>
        </w:tc>
      </w:tr>
      <w:tr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B级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排名30%-70%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约40%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稳定合作方</w:t>
            </w:r>
          </w:p>
        </w:tc>
      </w:tr>
      <w:tr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C级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排名后30%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约30%</w:t>
            </w:r>
          </w:p>
        </w:tc>
        <w:tc>
          <w:tcPr>
            <w:tcW w:type="dxa" w:w="207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重点管控对象</w:t>
            </w:r>
          </w:p>
        </w:tc>
      </w:tr>
    </w:tbl>
    <w:p>
      <w:pPr>
        <w:spacing w:before="0" w:after="120"/>
      </w:pPr>
    </w:p>
    <w:p>
      <w:pPr>
        <w:spacing w:before="60" w:after="60" w:line="360" w:lineRule="auto"/>
        <w:jc w:val="both"/>
      </w:pPr>
      <w:r>
        <w:rPr>
          <w:rFonts w:ascii="SimSun" w:hAnsi="SimSun" w:eastAsia="黑体"/>
          <w:b/>
          <w:sz w:val="24"/>
        </w:rPr>
        <w:t>为什么用相对排名而非绝对分数：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自动适应供应商总数变化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与现有赛马排名逻辑一致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避免绝对分数导致的级别固化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保持适度的内部竞争张力</w:t>
      </w:r>
    </w:p>
    <w:p>
      <w:pPr>
        <w:spacing w:before="0" w:after="120"/>
      </w:pPr>
    </w:p>
    <w:p>
      <w:pPr>
        <w:pStyle w:val="Heading2"/>
      </w:pPr>
      <w:r>
        <w:t>3.2 分级公布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每季度结束后第7个工作日公布分级结果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分级结果以书面形式通知各供应商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分级结果同步抄送服务组负责人（王易人）</w:t>
      </w:r>
    </w:p>
    <w:p>
      <w:r>
        <w:br w:type="page"/>
      </w:r>
    </w:p>
    <w:p>
      <w:pPr>
        <w:pStyle w:val="Heading1"/>
      </w:pPr>
      <w:r>
        <w:t>第四章 日常管理（月度介入机制）</w:t>
      </w:r>
    </w:p>
    <w:p>
      <w:pPr>
        <w:pStyle w:val="Heading2"/>
      </w:pPr>
      <w:r>
        <w:t>4.1 设计原则</w:t>
      </w:r>
    </w:p>
    <w:p>
      <w:r>
        <w:rPr>
          <w:rFonts w:ascii="SimSun" w:hAnsi="SimSun" w:eastAsia="SimSun"/>
          <w:b w:val="0"/>
          <w:sz w:val="24"/>
        </w:rPr>
        <w:t>季度打分是"期末考试"，日常管理不能等期末才动。月度赛马排名作为日常管理的触发信号，按严重程度分层介入，做到早发现、早介入、早改善。</w:t>
      </w:r>
    </w:p>
    <w:p>
      <w:pPr>
        <w:pStyle w:val="Heading2"/>
      </w:pPr>
      <w:r>
        <w:t>4.2 月度介入分层</w:t>
      </w:r>
    </w:p>
    <w:p>
      <w:pPr>
        <w:pStyle w:val="Heading2"/>
      </w:pPr>
      <w:r>
        <w:t>4.3 黄色预警动作明细</w:t>
      </w:r>
    </w:p>
    <w:p>
      <w:r>
        <w:rPr>
          <w:rFonts w:ascii="SimSun" w:hAnsi="SimSun" w:eastAsia="SimSun"/>
          <w:b/>
          <w:sz w:val="24"/>
        </w:rPr>
        <w:t>触发：月度赛马排名落入后30%（当月仅1次）</w:t>
      </w:r>
    </w:p>
    <w:p>
      <w:r>
        <w:rPr>
          <w:rFonts w:ascii="SimSun" w:hAnsi="SimSun" w:eastAsia="SimSun"/>
          <w:b/>
          <w:sz w:val="24"/>
        </w:rPr>
        <w:t>动作清单：</w:t>
      </w:r>
    </w:p>
    <w:p>
      <w:pPr>
        <w:ind w:left="425"/>
      </w:pPr>
      <w:r>
        <w:rPr>
          <w:rFonts w:ascii="SimSun" w:hAnsi="SimSun" w:eastAsia="SimSun"/>
          <w:sz w:val="24"/>
        </w:rPr>
        <w:t>1. 数据诊断（T+1）：拉取该供应商当月核心指标（目标达成率、转化率、人力稳定性），标注与上月的环比变化</w:t>
      </w:r>
    </w:p>
    <w:p>
      <w:pPr>
        <w:ind w:left="425"/>
      </w:pPr>
      <w:r>
        <w:rPr>
          <w:rFonts w:ascii="SimSun" w:hAnsi="SimSun" w:eastAsia="SimSun"/>
          <w:sz w:val="24"/>
        </w:rPr>
        <w:t>2. 预警通知（T+2）：微信/邮件发送简要数据报告，包含：排名、核心指标、环比变化、预警说明</w:t>
      </w:r>
    </w:p>
    <w:p>
      <w:pPr>
        <w:ind w:left="425"/>
      </w:pPr>
      <w:r>
        <w:rPr>
          <w:rFonts w:ascii="SimSun" w:hAnsi="SimSun" w:eastAsia="SimSun"/>
          <w:sz w:val="24"/>
        </w:rPr>
        <w:t>3. 口头沟通（T+3）：电话或微信沟通，了解原因（客观因素还是主观因素），记录关键信息</w:t>
      </w:r>
    </w:p>
    <w:p>
      <w:pPr>
        <w:ind w:left="425"/>
      </w:pPr>
      <w:r>
        <w:rPr>
          <w:rFonts w:ascii="SimSun" w:hAnsi="SimSun" w:eastAsia="SimSun"/>
          <w:sz w:val="24"/>
        </w:rPr>
        <w:t>4. 跟踪关注：次月重点跟踪该供应商数据变化</w:t>
      </w:r>
    </w:p>
    <w:p>
      <w:r>
        <w:rPr>
          <w:rFonts w:ascii="SimSun" w:hAnsi="SimSun" w:eastAsia="SimSun"/>
          <w:b/>
          <w:sz w:val="24"/>
        </w:rPr>
        <w:t>注意事项：</w:t>
      </w:r>
    </w:p>
    <w:p>
      <w:pPr>
        <w:ind w:left="425"/>
      </w:pPr>
      <w:r>
        <w:rPr>
          <w:rFonts w:ascii="SimSun" w:hAnsi="SimSun" w:eastAsia="SimSun"/>
          <w:sz w:val="24"/>
        </w:rPr>
        <w:t>黄色预警是提醒而非处罚，语气以"关注+支持"为主</w:t>
      </w:r>
    </w:p>
    <w:p>
      <w:pPr>
        <w:ind w:left="425"/>
      </w:pPr>
      <w:r>
        <w:rPr>
          <w:rFonts w:ascii="SimSun" w:hAnsi="SimSun" w:eastAsia="SimSun"/>
          <w:sz w:val="24"/>
        </w:rPr>
        <w:t>不影响当月分量和正常合作</w:t>
      </w:r>
    </w:p>
    <w:p>
      <w:pPr>
        <w:ind w:left="425"/>
      </w:pPr>
      <w:r>
        <w:rPr>
          <w:rFonts w:ascii="SimSun" w:hAnsi="SimSun" w:eastAsia="SimSun"/>
          <w:sz w:val="24"/>
        </w:rPr>
        <w:t>了解原因时区分：项目调整/系统问题（客观）vs 管理懈怠/人员流失（主观）</w:t>
      </w:r>
    </w:p>
    <w:p>
      <w:pPr>
        <w:pStyle w:val="Heading2"/>
      </w:pPr>
      <w:r>
        <w:t>4.4 橙色预警动作明细</w:t>
      </w:r>
    </w:p>
    <w:p>
      <w:r>
        <w:rPr>
          <w:rFonts w:ascii="SimSun" w:hAnsi="SimSun" w:eastAsia="SimSun"/>
          <w:b/>
          <w:sz w:val="24"/>
        </w:rPr>
        <w:t>触发：连续2个月赛马排名落入后30%</w:t>
      </w:r>
    </w:p>
    <w:p>
      <w:r>
        <w:rPr>
          <w:rFonts w:ascii="SimSun" w:hAnsi="SimSun" w:eastAsia="SimSun"/>
          <w:b/>
          <w:sz w:val="24"/>
        </w:rPr>
        <w:t>动作清单：</w:t>
      </w:r>
    </w:p>
    <w:p>
      <w:r>
        <w:rPr>
          <w:rFonts w:ascii="SimSun" w:hAnsi="SimSun" w:eastAsia="SimSun"/>
          <w:b/>
          <w:sz w:val="24"/>
        </w:rPr>
        <w:t>1. 正式约谈（确认后3个工作日内）：</w:t>
      </w:r>
    </w:p>
    <w:p>
      <w:pPr>
        <w:ind w:left="425"/>
      </w:pPr>
      <w:r>
        <w:rPr>
          <w:rFonts w:ascii="SimSun" w:hAnsi="SimSun" w:eastAsia="SimSun"/>
          <w:sz w:val="24"/>
        </w:rPr>
        <w:t>参与人：供应商管理岗 + 供应商项目经理（必要时驻场经理）</w:t>
      </w:r>
    </w:p>
    <w:p>
      <w:pPr>
        <w:ind w:left="425"/>
      </w:pPr>
      <w:r>
        <w:rPr>
          <w:rFonts w:ascii="SimSun" w:hAnsi="SimSun" w:eastAsia="SimSun"/>
          <w:sz w:val="24"/>
        </w:rPr>
        <w:t>议程：数据呈现（10分钟）→ 原因分析（15分钟）→ 改善方案讨论（15分钟）→ 达成共识（5分钟）</w:t>
      </w:r>
    </w:p>
    <w:p>
      <w:pPr>
        <w:ind w:left="425"/>
      </w:pPr>
      <w:r>
        <w:rPr>
          <w:rFonts w:ascii="SimSun" w:hAnsi="SimSun" w:eastAsia="SimSun"/>
          <w:sz w:val="24"/>
        </w:rPr>
        <w:t>约谈纪要由我方整理，双方确认签字</w:t>
      </w:r>
    </w:p>
    <w:p>
      <w:r>
        <w:rPr>
          <w:rFonts w:ascii="SimSun" w:hAnsi="SimSun" w:eastAsia="SimSun"/>
          <w:b/>
          <w:sz w:val="24"/>
        </w:rPr>
        <w:t>2. 改善计划审核（约谈后5个工作日）：</w:t>
      </w:r>
    </w:p>
    <w:p>
      <w:pPr>
        <w:ind w:left="425"/>
      </w:pPr>
      <w:r>
        <w:rPr>
          <w:rFonts w:ascii="SimSun" w:hAnsi="SimSun" w:eastAsia="SimSun"/>
          <w:sz w:val="24"/>
        </w:rPr>
        <w:t>供应商提交书面改善计划（含具体措施、责任人、完成时间）</w:t>
      </w:r>
    </w:p>
    <w:p>
      <w:pPr>
        <w:ind w:left="425"/>
      </w:pPr>
      <w:r>
        <w:rPr>
          <w:rFonts w:ascii="SimSun" w:hAnsi="SimSun" w:eastAsia="SimSun"/>
          <w:sz w:val="24"/>
        </w:rPr>
        <w:t>我方审核可行性，不通过的退回修改（限1次）</w:t>
      </w:r>
    </w:p>
    <w:p>
      <w:pPr>
        <w:ind w:left="425"/>
      </w:pPr>
      <w:r>
        <w:rPr>
          <w:rFonts w:ascii="SimSun" w:hAnsi="SimSun" w:eastAsia="SimSun"/>
          <w:sz w:val="24"/>
        </w:rPr>
        <w:t>审核意见书面反馈</w:t>
      </w:r>
    </w:p>
    <w:p>
      <w:r>
        <w:rPr>
          <w:rFonts w:ascii="SimSun" w:hAnsi="SimSun" w:eastAsia="SimSun"/>
          <w:b/>
          <w:sz w:val="24"/>
        </w:rPr>
        <w:t>3. 双周跟踪：</w:t>
      </w:r>
    </w:p>
    <w:p>
      <w:pPr>
        <w:ind w:left="425"/>
      </w:pPr>
      <w:r>
        <w:rPr>
          <w:rFonts w:ascii="SimSun" w:hAnsi="SimSun" w:eastAsia="SimSun"/>
          <w:sz w:val="24"/>
        </w:rPr>
        <w:t>每2周检查一次改善进度</w:t>
      </w:r>
    </w:p>
    <w:p>
      <w:pPr>
        <w:ind w:left="425"/>
      </w:pPr>
      <w:r>
        <w:rPr>
          <w:rFonts w:ascii="SimSun" w:hAnsi="SimSun" w:eastAsia="SimSun"/>
          <w:sz w:val="24"/>
        </w:rPr>
        <w:t>跟踪记录形成书面纪要</w:t>
      </w:r>
    </w:p>
    <w:p>
      <w:r>
        <w:rPr>
          <w:rFonts w:ascii="SimSun" w:hAnsi="SimSun" w:eastAsia="SimSun"/>
          <w:b/>
          <w:sz w:val="24"/>
        </w:rPr>
        <w:t>4. 暂停新项目准入：橙色预警期间，该供应商不得参与新项目竞标</w:t>
      </w:r>
    </w:p>
    <w:p>
      <w:r>
        <w:rPr>
          <w:rFonts w:ascii="SimSun" w:hAnsi="SimSun" w:eastAsia="SimSun"/>
          <w:b/>
          <w:sz w:val="24"/>
        </w:rPr>
        <w:t>注意事项：</w:t>
      </w:r>
    </w:p>
    <w:p>
      <w:pPr>
        <w:ind w:left="425"/>
      </w:pPr>
      <w:r>
        <w:rPr>
          <w:rFonts w:ascii="SimSun" w:hAnsi="SimSun" w:eastAsia="SimSun"/>
          <w:sz w:val="24"/>
        </w:rPr>
        <w:t>橙色预警是正式管理动作，需留痕（约谈纪要、改善计划、跟踪记录）</w:t>
      </w:r>
    </w:p>
    <w:p>
      <w:pPr>
        <w:ind w:left="425"/>
      </w:pPr>
      <w:r>
        <w:rPr>
          <w:rFonts w:ascii="SimSun" w:hAnsi="SimSun" w:eastAsia="SimSun"/>
          <w:sz w:val="24"/>
        </w:rPr>
        <w:t>约谈重点是帮供应商找到问题根因，而非追责</w:t>
      </w:r>
    </w:p>
    <w:p>
      <w:pPr>
        <w:ind w:left="425"/>
      </w:pPr>
      <w:r>
        <w:rPr>
          <w:rFonts w:ascii="SimSun" w:hAnsi="SimSun" w:eastAsia="SimSun"/>
          <w:sz w:val="24"/>
        </w:rPr>
        <w:t>如第3个月排名脱离后30%，橙色预警自动解除</w:t>
      </w:r>
    </w:p>
    <w:p>
      <w:pPr>
        <w:ind w:left="425"/>
      </w:pPr>
      <w:r>
        <w:rPr>
          <w:rFonts w:ascii="SimSun" w:hAnsi="SimSun" w:eastAsia="SimSun"/>
          <w:sz w:val="24"/>
        </w:rPr>
        <w:t>橙色预警解除后，改善计划中确认的措施应继续执行</w:t>
      </w:r>
    </w:p>
    <w:p>
      <w:pPr>
        <w:pStyle w:val="Heading2"/>
      </w:pPr>
      <w:r>
        <w:t>4.5 与季度分级的衔接</w:t>
      </w:r>
    </w:p>
    <w:p>
      <w:r>
        <w:rPr>
          <w:rFonts w:ascii="SimSun" w:hAnsi="SimSun" w:eastAsia="SimSun"/>
          <w:b w:val="0"/>
          <w:sz w:val="24"/>
        </w:rPr>
        <w:t>月度预警是季度分级的前置缓冲机制。通过月度分层介入，大部分供应商在橙色预警阶段就能改善，避免直接进入PIP。</w:t>
      </w:r>
    </w:p>
    <w:p>
      <w:pPr>
        <w:pStyle w:val="Heading1"/>
      </w:pPr>
      <w:r>
        <w:t>第五章 分级管理策略</w:t>
      </w:r>
    </w:p>
    <w:p>
      <w:pPr>
        <w:pStyle w:val="Heading2"/>
      </w:pPr>
      <w:r>
        <w:t>5.1 A级供应商管理策略</w:t>
      </w:r>
    </w:p>
    <w:p>
      <w:pPr>
        <w:spacing w:before="60" w:after="120" w:line="360" w:lineRule="auto"/>
        <w:jc w:val="both"/>
      </w:pPr>
      <w:r>
        <w:rPr>
          <w:rFonts w:ascii="SimSun" w:hAnsi="SimSun" w:eastAsia="黑体"/>
          <w:b/>
          <w:sz w:val="24"/>
        </w:rPr>
        <w:t>管理定位：</w:t>
      </w:r>
      <w:r>
        <w:rPr>
          <w:rFonts w:ascii="SimSun" w:hAnsi="SimSun" w:eastAsia="宋体"/>
          <w:b w:val="0"/>
          <w:sz w:val="24"/>
        </w:rPr>
        <w:t>战略合作伙伴 — 少管多给，用信任和机会绑定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50"/>
        <w:gridCol w:w="4150"/>
      </w:tblGrid>
      <w:tr>
        <w:tc>
          <w:tcPr>
            <w:tcW w:type="dxa" w:w="415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管理维度</w:t>
            </w:r>
          </w:p>
        </w:tc>
        <w:tc>
          <w:tcPr>
            <w:tcW w:type="dxa" w:w="415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具体措施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分量策略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分量优先倾斜，新项目优先准入，单项目配额可放宽至40%上限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沟通频率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月度正式沟通 + 季度战略对话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质检频次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下调至50%（信任替代检查）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结算政策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结算账期优惠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激励措施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年度优秀供应商优先推荐、联合创新试点资格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豁免政策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豁免常规整改通知（问题直接沟通，不发正式文书）</w:t>
            </w:r>
          </w:p>
        </w:tc>
      </w:tr>
    </w:tbl>
    <w:p>
      <w:pPr>
        <w:spacing w:before="0" w:after="120"/>
      </w:pPr>
    </w:p>
    <w:p>
      <w:pPr>
        <w:spacing w:before="60" w:after="60" w:line="360" w:lineRule="auto"/>
        <w:jc w:val="both"/>
      </w:pPr>
      <w:r>
        <w:rPr>
          <w:rFonts w:ascii="SimSun" w:hAnsi="SimSun" w:eastAsia="黑体"/>
          <w:b/>
          <w:sz w:val="24"/>
        </w:rPr>
        <w:t>管理动作清单：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1. 月度经营回顾会议（30分钟，聚焦数据和机会）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2. 季度战略合作对话（对齐半年目标、探讨新合作模式）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3. 季度评分结果一对一反馈（肯定成绩，指出潜在风险）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4. 年度联合规划（次年的目标、投入、预期收益）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5. 异常事件快速响应通道（专属对接人，2小时内响应）</w:t>
      </w:r>
    </w:p>
    <w:p>
      <w:pPr>
        <w:spacing w:before="0" w:after="120"/>
      </w:pPr>
    </w:p>
    <w:p>
      <w:pPr>
        <w:pStyle w:val="Heading2"/>
      </w:pPr>
      <w:r>
        <w:t>5.2 B级供应商管理策略</w:t>
      </w:r>
    </w:p>
    <w:p>
      <w:pPr>
        <w:spacing w:before="60" w:after="120" w:line="360" w:lineRule="auto"/>
        <w:jc w:val="both"/>
      </w:pPr>
      <w:r>
        <w:rPr>
          <w:rFonts w:ascii="SimSun" w:hAnsi="SimSun" w:eastAsia="黑体"/>
          <w:b/>
          <w:sz w:val="24"/>
        </w:rPr>
        <w:t>管理定位：</w:t>
      </w:r>
      <w:r>
        <w:rPr>
          <w:rFonts w:ascii="SimSun" w:hAnsi="SimSun" w:eastAsia="宋体"/>
          <w:b w:val="0"/>
          <w:sz w:val="24"/>
        </w:rPr>
        <w:t>稳定合作方 — 常规管理 + 定向辅导，促其向上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50"/>
        <w:gridCol w:w="4150"/>
      </w:tblGrid>
      <w:tr>
        <w:tc>
          <w:tcPr>
            <w:tcW w:type="dxa" w:w="415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管理维度</w:t>
            </w:r>
          </w:p>
        </w:tc>
        <w:tc>
          <w:tcPr>
            <w:tcW w:type="dxa" w:w="415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具体措施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分量策略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分量维持稳定，单项目配额20%-30%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沟通频率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双周正式沟通 + 月度评分反馈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质检频次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正常（100%覆盖）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升级通道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连续两期排名进入前30%自动升A级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预警机制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连续两期跌入后30%触发预警谈话</w:t>
            </w:r>
          </w:p>
        </w:tc>
      </w:tr>
    </w:tbl>
    <w:p>
      <w:pPr>
        <w:spacing w:before="0" w:after="120"/>
      </w:pPr>
    </w:p>
    <w:p>
      <w:pPr>
        <w:spacing w:before="60" w:after="60" w:line="360" w:lineRule="auto"/>
        <w:jc w:val="both"/>
      </w:pPr>
      <w:r>
        <w:rPr>
          <w:rFonts w:ascii="SimSun" w:hAnsi="SimSun" w:eastAsia="黑体"/>
          <w:b/>
          <w:sz w:val="24"/>
        </w:rPr>
        <w:t>管理动作清单：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1. 双周运营回顾（检查关键指标、进度、问题）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2. 月度评分反馈（书面通知，标注各维度得分和排名变化）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3. 季度能力提升计划（针对弱项制定改进措施，跟踪执行）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4. 半年度综合评估（趋势分析：连续上升/下降/平稳）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5. 风险预警机制（排名连续下滑时提前介入）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6. 弱项专项辅导（质检差安排培训、配合度差约谈负责人）</w:t>
      </w:r>
    </w:p>
    <w:p>
      <w:pPr>
        <w:spacing w:before="0" w:after="120"/>
      </w:pPr>
    </w:p>
    <w:p>
      <w:pPr>
        <w:pStyle w:val="Heading2"/>
      </w:pPr>
      <w:r>
        <w:t>5.3 C级供应商管理策略</w:t>
      </w:r>
    </w:p>
    <w:p>
      <w:pPr>
        <w:spacing w:before="60" w:after="120" w:line="360" w:lineRule="auto"/>
        <w:jc w:val="both"/>
      </w:pPr>
      <w:r>
        <w:rPr>
          <w:rFonts w:ascii="SimSun" w:hAnsi="SimSun" w:eastAsia="黑体"/>
          <w:b/>
          <w:sz w:val="24"/>
        </w:rPr>
        <w:t>管理定位：</w:t>
      </w:r>
      <w:r>
        <w:rPr>
          <w:rFonts w:ascii="SimSun" w:hAnsi="SimSun" w:eastAsia="宋体"/>
          <w:b w:val="0"/>
          <w:sz w:val="24"/>
        </w:rPr>
        <w:t>重点管控对象 — 重管严控，限期改善，否则退出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50"/>
        <w:gridCol w:w="4150"/>
      </w:tblGrid>
      <w:tr>
        <w:tc>
          <w:tcPr>
            <w:tcW w:type="dxa" w:w="415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管理维度</w:t>
            </w:r>
          </w:p>
        </w:tc>
        <w:tc>
          <w:tcPr>
            <w:tcW w:type="dxa" w:w="415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具体措施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分量策略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分量严格压缩，存量配额降至15%以下，核心业务逐步剥离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新项目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全面暂停准入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沟通频率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周度正式沟通 + 日度数据跟踪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质检频次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翻倍（200%覆盖，重点抽查）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结算政策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结算账期延长（改善后恢复）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强制措施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强制进入PIP流程（1个月改善期）</w:t>
            </w:r>
          </w:p>
        </w:tc>
      </w:tr>
    </w:tbl>
    <w:p>
      <w:pPr>
        <w:spacing w:before="0" w:after="120"/>
      </w:pPr>
    </w:p>
    <w:p>
      <w:pPr>
        <w:spacing w:before="60" w:after="60" w:line="360" w:lineRule="auto"/>
        <w:jc w:val="both"/>
      </w:pPr>
      <w:r>
        <w:rPr>
          <w:rFonts w:ascii="SimSun" w:hAnsi="SimSun" w:eastAsia="黑体"/>
          <w:b/>
          <w:sz w:val="24"/>
        </w:rPr>
        <w:t>管理动作清单：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1. 周度改善进度会（对照PIP目标逐项检查，形成书面纪要）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2. 日度数据跟踪（业绩、质检、合规关键指标日报）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3. 供应商负责人约谈（C级确认后3个工作日内完成）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4. 根因分析报告（要求供应商5个工作日内提交）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5. 改善计划审核（审核供应商提交的改善方案是否可行）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6. 风险预案准备（同步准备替代供应商）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7. 存量项目风险评估（评估交接难度和风险点）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r/>
            <w:r>
              <w:rPr>
                <w:rFonts w:ascii="SimHei" w:hAnsi="SimHei" w:eastAsia="SimHei"/>
                <w:b/>
                <w:sz w:val="18"/>
              </w:rPr>
              <w:t>触发条件</w:t>
            </w:r>
          </w:p>
        </w:tc>
        <w:tc>
          <w:tcPr>
            <w:tcW w:type="dxa" w:w="1660"/>
          </w:tcPr>
          <w:p>
            <w:r/>
            <w:r>
              <w:rPr>
                <w:rFonts w:ascii="SimHei" w:hAnsi="SimHei" w:eastAsia="SimHei"/>
                <w:b/>
                <w:sz w:val="18"/>
              </w:rPr>
              <w:t>预警级别</w:t>
            </w:r>
          </w:p>
        </w:tc>
        <w:tc>
          <w:tcPr>
            <w:tcW w:type="dxa" w:w="1660"/>
          </w:tcPr>
          <w:p>
            <w:r/>
            <w:r>
              <w:rPr>
                <w:rFonts w:ascii="SimHei" w:hAnsi="SimHei" w:eastAsia="SimHei"/>
                <w:b/>
                <w:sz w:val="18"/>
              </w:rPr>
              <w:t>管理动作</w:t>
            </w:r>
          </w:p>
        </w:tc>
        <w:tc>
          <w:tcPr>
            <w:tcW w:type="dxa" w:w="1660"/>
          </w:tcPr>
          <w:p>
            <w:r/>
            <w:r>
              <w:rPr>
                <w:rFonts w:ascii="SimHei" w:hAnsi="SimHei" w:eastAsia="SimHei"/>
                <w:b/>
                <w:sz w:val="18"/>
              </w:rPr>
              <w:t>交付物</w:t>
            </w:r>
          </w:p>
        </w:tc>
        <w:tc>
          <w:tcPr>
            <w:tcW w:type="dxa" w:w="1660"/>
          </w:tcPr>
          <w:p>
            <w:r/>
            <w:r>
              <w:rPr>
                <w:rFonts w:ascii="SimHei" w:hAnsi="SimHei" w:eastAsia="SimHei"/>
                <w:b/>
                <w:sz w:val="18"/>
              </w:rPr>
              <w:t>责任人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单月落入后30%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黄色预警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① 发数据诊断报告（标注排名变化、核心指标下滑项）</w:t>
              <w:br/>
              <w:t>② 电话/微信沟通，了解原因</w:t>
              <w:br/>
              <w:t>③ 口头提醒改善方向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预警通知（微信/邮件）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供应商管理岗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连续2月后30%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橙色预警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① 正式约谈（线上/线下，30分钟）</w:t>
              <w:br/>
              <w:t>② 要求5个工作日内提交书面改善计划</w:t>
              <w:br/>
              <w:t>③ 双周跟踪改善进度</w:t>
              <w:br/>
              <w:t>④ 暂停新项目准入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约谈纪要 + 改善计划审核意见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供应商管理岗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连续3月后30%（=季度C级）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红色PIP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按第五章PIP流程执行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PIP全套文档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供应商管理岗 + 业务督导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连续4月后30%（PIP不通过）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退出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启动退出流程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退出通知书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 w:eastAsia="SimSun"/>
                <w:sz w:val="18"/>
              </w:rPr>
              <w:t>服务组负责人审批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SimHei" w:hAnsi="SimHei" w:eastAsia="SimHei"/>
                <w:b/>
                <w:sz w:val="18"/>
              </w:rPr>
              <w:t>时间节点</w:t>
            </w:r>
          </w:p>
        </w:tc>
        <w:tc>
          <w:tcPr>
            <w:tcW w:type="dxa" w:w="2767"/>
          </w:tcPr>
          <w:p>
            <w:r/>
            <w:r>
              <w:rPr>
                <w:rFonts w:ascii="SimHei" w:hAnsi="SimHei" w:eastAsia="SimHei"/>
                <w:b/>
                <w:sz w:val="18"/>
              </w:rPr>
              <w:t>月度动作</w:t>
            </w:r>
          </w:p>
        </w:tc>
        <w:tc>
          <w:tcPr>
            <w:tcW w:type="dxa" w:w="2767"/>
          </w:tcPr>
          <w:p>
            <w:r/>
            <w:r>
              <w:rPr>
                <w:rFonts w:ascii="SimHei" w:hAnsi="SimHei" w:eastAsia="SimHei"/>
                <w:b/>
                <w:sz w:val="18"/>
              </w:rPr>
              <w:t>季度动作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 w:eastAsia="SimSun"/>
                <w:sz w:val="18"/>
              </w:rPr>
              <w:t>第1个月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 w:eastAsia="SimSun"/>
                <w:sz w:val="18"/>
              </w:rPr>
              <w:t>黄色预警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 w:eastAsia="SimSun"/>
                <w:sz w:val="18"/>
              </w:rPr>
              <w:t>第2个月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 w:eastAsia="SimSun"/>
                <w:sz w:val="18"/>
              </w:rPr>
              <w:t>橙色预警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 w:eastAsia="SimSun"/>
                <w:sz w:val="18"/>
              </w:rPr>
              <w:t>第3个月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 w:eastAsia="SimSun"/>
                <w:sz w:val="18"/>
              </w:rPr>
              <w:t>红色PIP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 w:eastAsia="SimSun"/>
                <w:sz w:val="18"/>
              </w:rPr>
              <w:t>季度评分 → ABC分级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 w:eastAsia="SimSun"/>
                <w:sz w:val="18"/>
              </w:rPr>
              <w:t>第4个月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 w:eastAsia="SimSun"/>
                <w:sz w:val="18"/>
              </w:rPr>
              <w:t>退出评估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</w:tr>
    </w:tbl>
    <w:p>
      <w:pPr>
        <w:pStyle w:val="Heading1"/>
      </w:pPr>
      <w:r>
        <w:t>第六章 PIP（绩效改进计划）</w:t>
      </w:r>
    </w:p>
    <w:p>
      <w:pPr>
        <w:pStyle w:val="Heading2"/>
      </w:pPr>
      <w:r>
        <w:t>6.1 触发条件</w:t>
      </w:r>
    </w:p>
    <w:p>
      <w:pPr>
        <w:spacing w:before="60" w:after="60" w:line="360" w:lineRule="auto"/>
        <w:jc w:val="both"/>
      </w:pPr>
      <w:r>
        <w:rPr>
          <w:rFonts w:ascii="SimSun" w:hAnsi="SimSun" w:eastAsia="宋体"/>
          <w:b w:val="0"/>
          <w:sz w:val="24"/>
        </w:rPr>
        <w:t>季度评分落入C级（排名后30%）即自动触发PIP，无需额外审批。</w:t>
      </w:r>
    </w:p>
    <w:p>
      <w:pPr>
        <w:pStyle w:val="Heading2"/>
      </w:pPr>
      <w:r>
        <w:t>6.2 PIP流程（30个自然日）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阶段</w:t>
            </w:r>
          </w:p>
        </w:tc>
        <w:tc>
          <w:tcPr>
            <w:tcW w:type="dxa" w:w="2767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时间</w:t>
            </w:r>
          </w:p>
        </w:tc>
        <w:tc>
          <w:tcPr>
            <w:tcW w:type="dxa" w:w="2767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核心动作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启动与根因诊断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第1-3天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发出PIP通知书、召开启动会、根因诊断、确定改善目标、签署确认书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改善计划制定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第4-7天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供应商提交改善计划、我方审核、确认最终版、分量压缩、建立日度跟踪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密集执行跟踪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第8-21天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周度改善会、日度指标跟踪、过程纠偏、中期评估、保留改善证据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终期评估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第22-28天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期末评分、改善效果对比、综合判断、编写评估报告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结果判定执行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Sun" w:hAnsi="SimSun" w:eastAsia="宋体"/>
                <w:sz w:val="18"/>
              </w:rPr>
              <w:t>第29-30天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输出判定结果、正式通报、执行对应措施、归档全流程文档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6.3 改进目标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总分提升≥10分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核心失分项（导致C级的维度）改善≥50%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排名脱离后30% 或 评分绝对值≥70分</w:t>
      </w:r>
    </w:p>
    <w:p>
      <w:pPr>
        <w:spacing w:before="0" w:after="120"/>
      </w:pPr>
    </w:p>
    <w:p>
      <w:pPr>
        <w:pStyle w:val="Heading2"/>
      </w:pPr>
      <w:r>
        <w:t>6.4 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结果</w:t>
            </w:r>
          </w:p>
        </w:tc>
        <w:tc>
          <w:tcPr>
            <w:tcW w:type="dxa" w:w="2767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条件</w:t>
            </w:r>
          </w:p>
        </w:tc>
        <w:tc>
          <w:tcPr>
            <w:tcW w:type="dxa" w:w="2767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处理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通过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期末评分≥70分 且 排名脱离后30% 且 核心失分项改善≥50%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解除PIP，升级为B级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有条件通过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期末评分60-69分 或 核心失分项改善未达50%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延长1个月观察期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不通过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期末评分&lt;60分 或 评分提升&lt;5分 或 拒绝执行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启动退出流程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6.5 PIP结果执行</w:t>
      </w:r>
    </w:p>
    <w:p>
      <w:pPr>
        <w:spacing w:before="60" w:after="60" w:line="360" w:lineRule="auto"/>
        <w:jc w:val="both"/>
      </w:pPr>
      <w:r>
        <w:rPr>
          <w:rFonts w:ascii="SimSun" w:hAnsi="SimSun" w:eastAsia="黑体"/>
          <w:b/>
          <w:sz w:val="24"/>
        </w:rPr>
        <w:t>通过：</w:t>
      </w:r>
      <w:r>
        <w:rPr>
          <w:rFonts w:ascii="SimSun" w:hAnsi="SimSun" w:eastAsia="宋体"/>
          <w:b w:val="0"/>
          <w:sz w:val="24"/>
        </w:rPr>
        <w:t>解除PIP，升级为B级管理策略，分量逐步恢复，次月恢复正常质检频次。</w:t>
      </w:r>
    </w:p>
    <w:p>
      <w:pPr>
        <w:spacing w:before="60" w:after="60" w:line="360" w:lineRule="auto"/>
        <w:jc w:val="both"/>
      </w:pPr>
      <w:r>
        <w:rPr>
          <w:rFonts w:ascii="SimSun" w:hAnsi="SimSun" w:eastAsia="黑体"/>
          <w:b/>
          <w:sz w:val="24"/>
        </w:rPr>
        <w:t>有条件通过：</w:t>
      </w:r>
      <w:r>
        <w:rPr>
          <w:rFonts w:ascii="SimSun" w:hAnsi="SimSun" w:eastAsia="宋体"/>
          <w:b w:val="0"/>
          <w:sz w:val="24"/>
        </w:rPr>
        <w:t>延长1个月观察期，观察期内按B-管理（分量恢复50%、双周沟通），观察期末达标则正式升B，不达标则降回C并启动清退评估。</w:t>
      </w:r>
    </w:p>
    <w:p>
      <w:pPr>
        <w:spacing w:before="60" w:after="40" w:line="360" w:lineRule="auto"/>
        <w:jc w:val="both"/>
      </w:pPr>
      <w:r>
        <w:rPr>
          <w:rFonts w:ascii="SimSun" w:hAnsi="SimSun" w:eastAsia="黑体"/>
          <w:b/>
          <w:sz w:val="24"/>
        </w:rPr>
        <w:t>不通过：</w:t>
      </w:r>
      <w:r>
        <w:rPr>
          <w:rFonts w:ascii="SimSun" w:hAnsi="SimSun" w:eastAsia="宋体"/>
          <w:b w:val="0"/>
          <w:sz w:val="24"/>
        </w:rPr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1. 约谈供应商高管，明确告知公司制度和行业影响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2. 给予7天考虑期，引导主动退出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3. 若7天内未主动退出，正式启动清退流程（30天内完成）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4. 该供应商6个月内不接受重新准入</w:t>
      </w:r>
    </w:p>
    <w:p>
      <w:r>
        <w:br w:type="page"/>
      </w:r>
    </w:p>
    <w:p>
      <w:pPr>
        <w:pStyle w:val="Heading1"/>
      </w:pPr>
      <w:r>
        <w:t>第七章 特殊场景处理</w:t>
      </w:r>
    </w:p>
    <w:p>
      <w:pPr>
        <w:pStyle w:val="Heading2"/>
      </w:pPr>
      <w:r>
        <w:t>7.1 新准入供应商</w:t>
      </w:r>
    </w:p>
    <w:p>
      <w:pPr>
        <w:spacing w:before="60" w:after="60" w:line="360" w:lineRule="auto"/>
        <w:jc w:val="both"/>
      </w:pPr>
      <w:r>
        <w:rPr>
          <w:rFonts w:ascii="SimSun" w:hAnsi="SimSun" w:eastAsia="宋体"/>
          <w:b w:val="0"/>
          <w:sz w:val="24"/>
        </w:rPr>
        <w:t>新准入不足一个季度的供应商：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不纳入ABC分级，设置"观察期"管理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首个季度独立排名，不与存量供应商混排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观察期内按B-级标准管理（双周沟通、正常质检、分量从10%起步）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观察期末给出首次正式评分，参与下一次ABC分级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若观察期表现极差（首次评分低于50分），可直接启动退出流程</w:t>
      </w:r>
    </w:p>
    <w:p>
      <w:pPr>
        <w:spacing w:before="0" w:after="120"/>
      </w:pPr>
    </w:p>
    <w:p>
      <w:pPr>
        <w:pStyle w:val="Heading2"/>
      </w:pPr>
      <w:r>
        <w:t>7.2 连续两个季度C级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不再进入标准PIP流程，直接进入加速退出程序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第二次数确认为C级后3个工作日内发出"加速退出通知书"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给予5个工作日考虑期，引导主动退出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若5个工作日内未主动退出，立即启动正式清退（15天内完成）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该供应商永久不得重新准入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同时启动替代供应商遴选</w:t>
      </w:r>
    </w:p>
    <w:p>
      <w:pPr>
        <w:spacing w:before="0" w:after="120"/>
      </w:pPr>
    </w:p>
    <w:p>
      <w:pPr>
        <w:pStyle w:val="Heading2"/>
      </w:pPr>
      <w:r>
        <w:t>7.3 A级骤降至C级</w:t>
      </w:r>
    </w:p>
    <w:p>
      <w:pPr>
        <w:spacing w:before="60" w:after="60" w:line="360" w:lineRule="auto"/>
        <w:jc w:val="both"/>
      </w:pPr>
      <w:r>
        <w:rPr>
          <w:rFonts w:ascii="SimSun" w:hAnsi="SimSun" w:eastAsia="宋体"/>
          <w:b w:val="0"/>
          <w:sz w:val="24"/>
        </w:rPr>
        <w:t>属于重大异常事件，处理方式与常规C级不同：</w:t>
      </w:r>
    </w:p>
    <w:p>
      <w:pPr>
        <w:spacing w:before="60" w:after="60" w:line="360" w:lineRule="auto"/>
        <w:jc w:val="both"/>
      </w:pPr>
      <w:r>
        <w:rPr>
          <w:rFonts w:ascii="SimSun" w:hAnsi="SimSun" w:eastAsia="黑体"/>
          <w:b/>
          <w:sz w:val="24"/>
        </w:rPr>
        <w:t xml:space="preserve">1. </w:t>
      </w:r>
      <w:r>
        <w:rPr>
          <w:rFonts w:ascii="SimSun" w:hAnsi="SimSun" w:eastAsia="黑体"/>
          <w:b/>
          <w:sz w:val="24"/>
        </w:rPr>
        <w:t>立即启动异常诊断</w:t>
      </w:r>
      <w:r>
        <w:rPr>
          <w:rFonts w:ascii="SimSun" w:hAnsi="SimSun" w:eastAsia="宋体"/>
          <w:b w:val="0"/>
          <w:sz w:val="24"/>
        </w:rPr>
        <w:t>（5个工作日内完成根因分析）</w:t>
      </w:r>
    </w:p>
    <w:p>
      <w:pPr>
        <w:spacing w:before="60" w:after="40" w:line="360" w:lineRule="auto"/>
        <w:jc w:val="both"/>
      </w:pPr>
      <w:r>
        <w:rPr>
          <w:rFonts w:ascii="SimSun" w:hAnsi="SimSun" w:eastAsia="黑体"/>
          <w:b/>
          <w:sz w:val="24"/>
        </w:rPr>
        <w:t xml:space="preserve">2. </w:t>
      </w:r>
      <w:r>
        <w:rPr>
          <w:rFonts w:ascii="SimSun" w:hAnsi="SimSun" w:eastAsia="黑体"/>
          <w:b/>
          <w:sz w:val="24"/>
        </w:rPr>
        <w:t>区分原因</w:t>
      </w:r>
      <w:r>
        <w:rPr>
          <w:rFonts w:ascii="SimSun" w:hAnsi="SimSun" w:eastAsia="宋体"/>
          <w:b w:val="0"/>
          <w:sz w:val="24"/>
        </w:rPr>
        <w:t>：</w:t>
      </w:r>
    </w:p>
    <w:p>
      <w:pPr>
        <w:spacing w:before="40" w:after="40" w:line="360" w:lineRule="auto"/>
        <w:ind w:left="992"/>
      </w:pPr>
      <w:r>
        <w:rPr>
          <w:rFonts w:ascii="SimSun" w:hAnsi="SimSun" w:eastAsia="宋体"/>
          <w:sz w:val="24"/>
        </w:rPr>
        <w:t>系统性原因（项目调整、政策变化、人员大规模流失）→ 给予"保护期"1个月，保护期内不压缩分量、不启动PIP</w:t>
      </w:r>
    </w:p>
    <w:p>
      <w:pPr>
        <w:spacing w:before="40" w:after="40" w:line="360" w:lineRule="auto"/>
        <w:ind w:left="992"/>
      </w:pPr>
      <w:r>
        <w:rPr>
          <w:rFonts w:ascii="SimSun" w:hAnsi="SimSun" w:eastAsia="宋体"/>
          <w:sz w:val="24"/>
        </w:rPr>
        <w:t>供应商自身原因（管理懈怠、配合度下降、战略转移）→ 给予"警告期"2周，高管层面约谈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3. 必须向上级（王易人）报备，部门内通报（不点名）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4. 恢复机制：恢复正常后不直接回A级，先降至B级观察1个季度</w:t>
      </w:r>
    </w:p>
    <w:p>
      <w:r>
        <w:br w:type="page"/>
      </w:r>
    </w:p>
    <w:p>
      <w:pPr>
        <w:pStyle w:val="Heading1"/>
      </w:pPr>
      <w:r>
        <w:t>第八章 与现有机制的衔接</w:t>
      </w:r>
    </w:p>
    <w:p>
      <w:pPr>
        <w:pStyle w:val="Heading2"/>
      </w:pPr>
      <w:r>
        <w:t>8.1 与赛马排名的对接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50"/>
        <w:gridCol w:w="4150"/>
      </w:tblGrid>
      <w:tr>
        <w:tc>
          <w:tcPr>
            <w:tcW w:type="dxa" w:w="415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机制</w:t>
            </w:r>
          </w:p>
        </w:tc>
        <w:tc>
          <w:tcPr>
            <w:tcW w:type="dxa" w:w="415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对接方式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数据共享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赛马4维度数据直接映射到100分体系对应细项，避免重复打分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趋势联动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赛马排名连续2期垫底，即使总分未到C级线，也触发预警谈话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快速通道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赛马排名连续2期第一，总分在A级临界值附近（前35%），可破格升A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8.2 与集中度管控的对接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50"/>
        <w:gridCol w:w="4150"/>
      </w:tblGrid>
      <w:tr>
        <w:tc>
          <w:tcPr>
            <w:tcW w:type="dxa" w:w="415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级别</w:t>
            </w:r>
          </w:p>
        </w:tc>
        <w:tc>
          <w:tcPr>
            <w:tcW w:type="dxa" w:w="4150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单项目配额上限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A级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35%-40%（接近上限作为激励）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B级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20%-30%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SimHei" w:hAnsi="SimHei" w:eastAsia="宋体"/>
                <w:b/>
                <w:sz w:val="18"/>
              </w:rPr>
              <w:t>C级</w:t>
            </w:r>
          </w:p>
        </w:tc>
        <w:tc>
          <w:tcPr>
            <w:tcW w:type="dxa" w:w="4150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b w:val="0"/>
                <w:sz w:val="18"/>
              </w:rPr>
              <w:t>≤15%（强制压缩）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8.3 与清退流程的对接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触发条件</w:t>
            </w:r>
          </w:p>
        </w:tc>
        <w:tc>
          <w:tcPr>
            <w:tcW w:type="dxa" w:w="2767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清退周期</w:t>
            </w:r>
          </w:p>
        </w:tc>
        <w:tc>
          <w:tcPr>
            <w:tcW w:type="dxa" w:w="2767"/>
            <w:shd w:fill="1A1A2E" w:val="clear"/>
          </w:tcPr>
          <w:p>
            <w:pPr>
              <w:spacing w:before="40" w:after="40"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 w:eastAsia="黑体"/>
                <w:b/>
                <w:sz w:val="18"/>
              </w:rPr>
              <w:t>备注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PIP不通过+7天考虑期满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30天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标准清退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连续两季度C级+5天考虑期满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15天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加速退出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重大合规事故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15天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快速通道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供应商主动申请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30天</w:t>
            </w:r>
          </w:p>
        </w:tc>
        <w:tc>
          <w:tcPr>
            <w:tcW w:type="dxa" w:w="2767"/>
          </w:tcPr>
          <w:p>
            <w:pPr>
              <w:spacing w:before="40" w:after="40" w:line="312" w:lineRule="auto"/>
            </w:pPr>
            <w:r/>
            <w:r>
              <w:rPr>
                <w:rFonts w:ascii="SimSun" w:hAnsi="SimSun" w:eastAsia="宋体"/>
                <w:sz w:val="18"/>
              </w:rPr>
              <w:t>自愿退出</w:t>
            </w:r>
          </w:p>
        </w:tc>
      </w:tr>
    </w:tbl>
    <w:p>
      <w:r>
        <w:br w:type="page"/>
      </w:r>
    </w:p>
    <w:p>
      <w:pPr>
        <w:pStyle w:val="Heading1"/>
      </w:pPr>
      <w:r>
        <w:t>第九章 附则</w:t>
      </w:r>
    </w:p>
    <w:p>
      <w:pPr>
        <w:pStyle w:val="Heading2"/>
      </w:pPr>
      <w:r>
        <w:t>9.1 数据管理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所有评分数据由业务组统一收集、审核、归档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供应商对评分结果有异议的，可在出分后2个工作日内提出数据异议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异议由业务组在3个工作日内复核并答复</w:t>
      </w:r>
    </w:p>
    <w:p>
      <w:pPr>
        <w:spacing w:before="0" w:after="120"/>
      </w:pPr>
    </w:p>
    <w:p>
      <w:pPr>
        <w:pStyle w:val="Heading2"/>
      </w:pPr>
      <w:r>
        <w:t>9.2 制度修订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本办法由数据科技业务部服务组负责解释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根据实际执行情况，每季度评估修订一次</w:t>
      </w:r>
    </w:p>
    <w:p>
      <w:pPr>
        <w:spacing w:before="0" w:after="120"/>
      </w:pPr>
    </w:p>
    <w:p>
      <w:pPr>
        <w:pStyle w:val="Heading2"/>
      </w:pPr>
      <w:r>
        <w:t>9.3 生效时间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本办法自发布之日起生效</w:t>
      </w:r>
    </w:p>
    <w:p>
      <w:pPr>
        <w:spacing w:before="40" w:after="40" w:line="360" w:lineRule="auto"/>
        <w:ind w:left="567"/>
      </w:pPr>
      <w:r>
        <w:rPr>
          <w:rFonts w:ascii="SimSun" w:hAnsi="SimSun" w:eastAsia="宋体"/>
          <w:sz w:val="24"/>
        </w:rPr>
        <w:t>原有供应商评估规则与本办法不一致的，以本办法为准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60" w:lineRule="auto"/>
    </w:pPr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60" w:lineRule="auto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 w:line="360" w:lineRule="auto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1A1A2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