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D67" w14:textId="6FC5DAFE" w:rsidR="00D13000" w:rsidRPr="00C81925" w:rsidRDefault="00D13000" w:rsidP="00D13000">
      <w:pPr>
        <w:rPr>
          <w:rFonts w:cs="Arial"/>
        </w:rPr>
      </w:pPr>
    </w:p>
    <w:p w14:paraId="62CEADEA" w14:textId="6FA1C19B" w:rsidR="00D13000" w:rsidRPr="00C81925" w:rsidRDefault="00D13000" w:rsidP="00D13000">
      <w:pPr>
        <w:rPr>
          <w:rFonts w:cs="Arial"/>
        </w:rPr>
      </w:pPr>
      <w:r w:rsidRPr="00C81925">
        <w:rPr>
          <w:rFonts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29E80" wp14:editId="5704079B">
                <wp:simplePos x="0" y="0"/>
                <wp:positionH relativeFrom="column">
                  <wp:posOffset>-514350</wp:posOffset>
                </wp:positionH>
                <wp:positionV relativeFrom="paragraph">
                  <wp:posOffset>166370</wp:posOffset>
                </wp:positionV>
                <wp:extent cx="7953375" cy="1343025"/>
                <wp:effectExtent l="57150" t="57150" r="85725" b="85725"/>
                <wp:wrapNone/>
                <wp:docPr id="8" name="Rektange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3375" cy="13430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127000" cmpd="dbl" algn="ctr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476965" w14:textId="77777777" w:rsidR="000B513E" w:rsidRDefault="000B513E" w:rsidP="00D13000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72"/>
                                <w:szCs w:val="72"/>
                                <w:lang w:val="nb-NO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72"/>
                                <w:szCs w:val="72"/>
                                <w:lang w:val="nb-NO"/>
                              </w:rPr>
                              <w:t>Santander Consumer</w:t>
                            </w:r>
                            <w:r w:rsidRPr="0064423B">
                              <w:rPr>
                                <w:rFonts w:cs="Arial"/>
                                <w:b/>
                                <w:color w:val="FFFFFF"/>
                                <w:sz w:val="72"/>
                                <w:szCs w:val="72"/>
                                <w:lang w:val="nb-NO"/>
                              </w:rPr>
                              <w:t xml:space="preserve"> </w:t>
                            </w:r>
                          </w:p>
                          <w:p w14:paraId="57A319D0" w14:textId="77777777" w:rsidR="000B513E" w:rsidRPr="0064423B" w:rsidRDefault="000B513E" w:rsidP="00D13000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72"/>
                                <w:szCs w:val="72"/>
                                <w:lang w:val="nb-NO"/>
                              </w:rPr>
                            </w:pPr>
                            <w:r w:rsidRPr="0064423B">
                              <w:rPr>
                                <w:rFonts w:cs="Arial"/>
                                <w:b/>
                                <w:color w:val="FFFFFF"/>
                                <w:sz w:val="72"/>
                                <w:szCs w:val="72"/>
                                <w:lang w:val="nb-NO"/>
                              </w:rPr>
                              <w:t>Bank Norway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29E80" id="Rektangel 8" o:spid="_x0000_s1026" style="position:absolute;margin-left:-40.5pt;margin-top:13.1pt;width:626.2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0kPAIAAG4EAAAOAAAAZHJzL2Uyb0RvYy54bWysVNtu2zAMfR+wfxD0vtjOZWmNOEWRrMOA&#10;bivW7QNkWbaF6jZKiZN9fSnl0nR7GYa9GKREHpHnkF7c7LQiWwFeWlPRYpRTIgy3jTRdRX98v3t3&#10;RYkPzDRMWSMquhee3izfvlkMrhRj21vVCCAIYnw5uIr2IbgyyzzvhWZ+ZJ0weNla0CygC13WABsQ&#10;XatsnOfvs8FC48By4T2erg+XdJnw21bw8LVtvQhEVRRrC+kL6VvHb7ZcsLID5nrJj2Wwf6hCM2nw&#10;0TPUmgVGNiD/gNKSg/W2DSNudWbbVnKResBuivy3bh575kTqBcnx7kyT/3+w/Mv2AYhsKopCGaZR&#10;om/iCQXrhCJXkZ7B+RKjHt0DxAa9u7f8yRNjV32MugWwQy9Yg0UVMT57lRAdj6mkHj7bBtHZJtjE&#10;1K4FHQGRA7JLguzPgohdIBwP59ezyWQ+o4TjXTGZTvLxLL3BylO6Ax8+CqtJNCoKqHiCZ9t7H2I5&#10;rDyFpPKtks2dVCo50NUrBWTLcDpW+Syfro/o/jJMGTLg8+N5nuMIce2QraZWlDDV4dDzAOnFVzn+&#10;76C1DDj+SmrkH9ERPw1k5PODaZIdmFQHG1tRJtYt0mAf+zsxfFAq7OodpsXD2jZ7JB7sYehxSdHo&#10;LfyiZMCBr6j/uWEgKFGfDIp3XUyncUOSM53Nx+jA5U19ecMMR6iKBmQhmatw2KqNA9n1+FKRSDH2&#10;FgVvZZLiparjmOBQJ4WOCxi35tJPUS+/ieUzAAAA//8DAFBLAwQUAAYACAAAACEAEFp7sOAAAAAL&#10;AQAADwAAAGRycy9kb3ducmV2LnhtbEyPwW7CMBBE75X4B2uRegMnrprQEAchBIeeqlJU9WjiJUkb&#10;ryPbQPr3NadynJ3R7JtyNZqeXdD5zpKEdJ4AQ6qt7qiRcPjYzRbAfFCkVW8JJfyih1U1eShVoe2V&#10;3vGyDw2LJeQLJaENYSg493WLRvm5HZCid7LOqBCla7h26hrLTc9FkmTcqI7ih1YNuGmx/tmfjYS3&#10;L/oUzrrtt97h4UVnnfCvGykfp+N6CSzgGP7DcMOP6FBFpqM9k/aslzBbpHFLkCAyAewWSPP0Gdgx&#10;Xp7yHHhV8vsN1R8AAAD//wMAUEsBAi0AFAAGAAgAAAAhALaDOJL+AAAA4QEAABMAAAAAAAAAAAAA&#10;AAAAAAAAAFtDb250ZW50X1R5cGVzXS54bWxQSwECLQAUAAYACAAAACEAOP0h/9YAAACUAQAACwAA&#10;AAAAAAAAAAAAAAAvAQAAX3JlbHMvLnJlbHNQSwECLQAUAAYACAAAACEAO5r9JDwCAABuBAAADgAA&#10;AAAAAAAAAAAAAAAuAgAAZHJzL2Uyb0RvYy54bWxQSwECLQAUAAYACAAAACEAEFp7sOAAAAALAQAA&#10;DwAAAAAAAAAAAAAAAACWBAAAZHJzL2Rvd25yZXYueG1sUEsFBgAAAAAEAAQA8wAAAKMFAAAAAA==&#10;" fillcolor="#c0504d" strokecolor="#c0504d" strokeweight="10pt">
                <v:stroke linestyle="thinThin"/>
                <v:shadow color="#868686"/>
                <v:textbox>
                  <w:txbxContent>
                    <w:p w14:paraId="1D476965" w14:textId="77777777" w:rsidR="000B513E" w:rsidRDefault="000B513E" w:rsidP="00D13000">
                      <w:pPr>
                        <w:jc w:val="center"/>
                        <w:rPr>
                          <w:rFonts w:cs="Arial"/>
                          <w:b/>
                          <w:color w:val="FFFFFF"/>
                          <w:sz w:val="72"/>
                          <w:szCs w:val="72"/>
                          <w:lang w:val="nb-NO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72"/>
                          <w:szCs w:val="72"/>
                          <w:lang w:val="nb-NO"/>
                        </w:rPr>
                        <w:t>Santander Consumer</w:t>
                      </w:r>
                      <w:r w:rsidRPr="0064423B">
                        <w:rPr>
                          <w:rFonts w:cs="Arial"/>
                          <w:b/>
                          <w:color w:val="FFFFFF"/>
                          <w:sz w:val="72"/>
                          <w:szCs w:val="72"/>
                          <w:lang w:val="nb-NO"/>
                        </w:rPr>
                        <w:t xml:space="preserve"> </w:t>
                      </w:r>
                    </w:p>
                    <w:p w14:paraId="57A319D0" w14:textId="77777777" w:rsidR="000B513E" w:rsidRPr="0064423B" w:rsidRDefault="000B513E" w:rsidP="00D13000">
                      <w:pPr>
                        <w:jc w:val="center"/>
                        <w:rPr>
                          <w:rFonts w:cs="Arial"/>
                          <w:b/>
                          <w:color w:val="FFFFFF"/>
                          <w:sz w:val="72"/>
                          <w:szCs w:val="72"/>
                          <w:lang w:val="nb-NO"/>
                        </w:rPr>
                      </w:pPr>
                      <w:r w:rsidRPr="0064423B">
                        <w:rPr>
                          <w:rFonts w:cs="Arial"/>
                          <w:b/>
                          <w:color w:val="FFFFFF"/>
                          <w:sz w:val="72"/>
                          <w:szCs w:val="72"/>
                          <w:lang w:val="nb-NO"/>
                        </w:rPr>
                        <w:t>Bank Norway</w:t>
                      </w:r>
                    </w:p>
                  </w:txbxContent>
                </v:textbox>
              </v:rect>
            </w:pict>
          </mc:Fallback>
        </mc:AlternateContent>
      </w:r>
    </w:p>
    <w:p w14:paraId="2DF2DE5F" w14:textId="77777777" w:rsidR="00D13000" w:rsidRPr="00C81925" w:rsidRDefault="00D13000" w:rsidP="00D13000">
      <w:pPr>
        <w:rPr>
          <w:rFonts w:cs="Arial"/>
        </w:rPr>
      </w:pPr>
    </w:p>
    <w:p w14:paraId="5949BFB9" w14:textId="77777777" w:rsidR="00D13000" w:rsidRPr="00C81925" w:rsidRDefault="00D13000" w:rsidP="00D13000">
      <w:pPr>
        <w:rPr>
          <w:rFonts w:cs="Arial"/>
        </w:rPr>
      </w:pPr>
    </w:p>
    <w:p w14:paraId="7D4CF48B" w14:textId="77777777" w:rsidR="00D13000" w:rsidRPr="00C81925" w:rsidRDefault="00D13000" w:rsidP="00D13000">
      <w:pPr>
        <w:rPr>
          <w:rFonts w:cs="Arial"/>
        </w:rPr>
      </w:pPr>
    </w:p>
    <w:p w14:paraId="0C4E7E9F" w14:textId="77777777" w:rsidR="00D13000" w:rsidRPr="00C81925" w:rsidRDefault="00D13000" w:rsidP="00D13000">
      <w:pPr>
        <w:rPr>
          <w:rFonts w:cs="Arial"/>
        </w:rPr>
      </w:pPr>
    </w:p>
    <w:p w14:paraId="3A5C52A2" w14:textId="77777777" w:rsidR="00D13000" w:rsidRPr="00C81925" w:rsidRDefault="00D13000" w:rsidP="00D13000">
      <w:pPr>
        <w:rPr>
          <w:rFonts w:cs="Arial"/>
        </w:rPr>
      </w:pPr>
    </w:p>
    <w:p w14:paraId="02DAE586" w14:textId="77777777" w:rsidR="00D13000" w:rsidRPr="00C81925" w:rsidRDefault="00D13000" w:rsidP="00D13000">
      <w:pPr>
        <w:rPr>
          <w:rFonts w:cs="Arial"/>
        </w:rPr>
      </w:pPr>
    </w:p>
    <w:p w14:paraId="22A402E6" w14:textId="77777777" w:rsidR="00D13000" w:rsidRPr="00C81925" w:rsidRDefault="00D13000" w:rsidP="00D13000">
      <w:pPr>
        <w:rPr>
          <w:rFonts w:cs="Arial"/>
        </w:rPr>
      </w:pPr>
    </w:p>
    <w:p w14:paraId="090FF466" w14:textId="77777777" w:rsidR="00D13000" w:rsidRPr="00C81925" w:rsidRDefault="00D13000" w:rsidP="00D13000">
      <w:pPr>
        <w:rPr>
          <w:rFonts w:cs="Arial"/>
        </w:rPr>
      </w:pPr>
    </w:p>
    <w:p w14:paraId="441F9212" w14:textId="77777777" w:rsidR="00D13000" w:rsidRPr="00C81925" w:rsidRDefault="00D13000" w:rsidP="00D13000">
      <w:pPr>
        <w:rPr>
          <w:rFonts w:cs="Arial"/>
        </w:rPr>
      </w:pPr>
    </w:p>
    <w:p w14:paraId="0A338C0B" w14:textId="77777777" w:rsidR="00D13000" w:rsidRPr="00C81925" w:rsidRDefault="00D13000" w:rsidP="00D13000">
      <w:pPr>
        <w:rPr>
          <w:rFonts w:cs="Arial"/>
        </w:rPr>
      </w:pPr>
    </w:p>
    <w:p w14:paraId="4E7845D1" w14:textId="77777777" w:rsidR="0057741D" w:rsidRPr="00C81925" w:rsidRDefault="0057741D" w:rsidP="0057741D"/>
    <w:p w14:paraId="71534A7E" w14:textId="77777777" w:rsidR="0057741D" w:rsidRPr="00C81925" w:rsidRDefault="0057741D" w:rsidP="0057741D">
      <w:pPr>
        <w:pStyle w:val="Title"/>
        <w:jc w:val="left"/>
      </w:pPr>
    </w:p>
    <w:p w14:paraId="2F013988" w14:textId="7B2C98F1" w:rsidR="0057741D" w:rsidRPr="00C81925" w:rsidRDefault="0057741D" w:rsidP="00D13000">
      <w:r w:rsidRPr="00C81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B0FD" wp14:editId="0E56AFC2">
                <wp:simplePos x="0" y="0"/>
                <wp:positionH relativeFrom="margin">
                  <wp:align>center</wp:align>
                </wp:positionH>
                <wp:positionV relativeFrom="page">
                  <wp:posOffset>2614930</wp:posOffset>
                </wp:positionV>
                <wp:extent cx="6851015" cy="3995420"/>
                <wp:effectExtent l="381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399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8D19E" w14:textId="77777777" w:rsidR="000B513E" w:rsidRPr="0059494E" w:rsidRDefault="000B513E" w:rsidP="0057741D">
                            <w:pPr>
                              <w:pStyle w:val="Title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90BA148" w14:textId="77777777" w:rsidR="000B513E" w:rsidRPr="0059494E" w:rsidRDefault="000B513E" w:rsidP="0057741D">
                            <w:pPr>
                              <w:pStyle w:val="Title"/>
                              <w:rPr>
                                <w:color w:val="7F7F7F" w:themeColor="text1" w:themeTint="80"/>
                              </w:rPr>
                            </w:pPr>
                            <w:r w:rsidRPr="0059494E">
                              <w:rPr>
                                <w:color w:val="7F7F7F" w:themeColor="text1" w:themeTint="80"/>
                              </w:rPr>
                              <w:t>Business Design Specifications</w:t>
                            </w:r>
                          </w:p>
                          <w:p w14:paraId="6E36FB9B" w14:textId="7EFCF3C2" w:rsidR="000B513E" w:rsidRPr="00702344" w:rsidRDefault="000B513E" w:rsidP="0057741D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</w:rPr>
                            </w:pPr>
                            <w:r w:rsidRPr="0059494E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75086D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</w:rPr>
                              <w:t xml:space="preserve">CRXXX </w:t>
                            </w:r>
                            <w:r w:rsidR="009E6761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</w:rPr>
                              <w:t xml:space="preserve">– </w:t>
                            </w:r>
                            <w:r w:rsidR="00A11471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</w:rPr>
                              <w:t xml:space="preserve">Calculator </w:t>
                            </w:r>
                            <w:r w:rsidR="00F7764F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</w:rPr>
                              <w:t>Widget</w:t>
                            </w:r>
                          </w:p>
                          <w:p w14:paraId="4E5F48D7" w14:textId="40E5998C" w:rsidR="000B513E" w:rsidRPr="00702344" w:rsidRDefault="000B513E" w:rsidP="0057741D">
                            <w:pPr>
                              <w:pStyle w:val="Header"/>
                              <w:jc w:val="center"/>
                              <w:rPr>
                                <w:bCs/>
                                <w:color w:val="7F7F7F" w:themeColor="text1" w:themeTint="80"/>
                                <w:sz w:val="72"/>
                              </w:rPr>
                            </w:pPr>
                          </w:p>
                          <w:p w14:paraId="387A50B9" w14:textId="77777777" w:rsidR="000B513E" w:rsidRPr="00702344" w:rsidRDefault="000B513E" w:rsidP="0057741D">
                            <w:pPr>
                              <w:pStyle w:val="Title"/>
                              <w:rPr>
                                <w:b w:val="0"/>
                                <w:color w:val="7F7F7F" w:themeColor="text1" w:themeTint="80"/>
                              </w:rPr>
                            </w:pPr>
                          </w:p>
                          <w:p w14:paraId="4777A345" w14:textId="77777777" w:rsidR="000B513E" w:rsidRPr="00702344" w:rsidRDefault="000B513E" w:rsidP="0057741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3BF74A4" w14:textId="77777777" w:rsidR="000B513E" w:rsidRPr="00702344" w:rsidRDefault="000B513E" w:rsidP="00D13000">
                            <w:pPr>
                              <w:pStyle w:val="Title"/>
                              <w:jc w:val="left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3B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05.9pt;width:539.45pt;height:314.6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qdCgIAAPcDAAAOAAAAZHJzL2Uyb0RvYy54bWysU8tu2zAQvBfoPxC817JcO40Fy0HqwEWB&#10;9AEk/QCKoiSiFJdd0pbSr++SchwjvRXlgSD3MdyZXW5uxt6wo0KvwZY8n805U1ZCrW1b8h+P+3fX&#10;nPkgbC0MWFXyJ+X5zfbtm83gCrWADkytkBGI9cXgSt6F4Ios87JTvfAzcMqSswHsRaArtlmNYiD0&#10;3mSL+fwqGwBrhyCV92S9m5x8m/CbRsnwrWm8CsyUnGoLace0V3HPthtRtChcp+WpDPEPVfRCW3r0&#10;DHUngmAH1H9B9VoieGjCTEKfQdNoqRIHYpPPX7F56IRTiQuJ491ZJv//YOXX43dkui75gjMremrR&#10;oxoD+wgjW0R1BucLCnpwFBZGMlOXE1Pv7kH+9MzCrhO2VbeIMHRK1FRdHjOzi9QJx0eQavgCNT0j&#10;DgES0NhgH6UjMRihU5eezp2JpUgyXl2v8nm+4kyS7/16vVouUu8yUTynO/Thk4KexUPJkVqf4MXx&#10;3odYjiieQ+JrHoyu99qYdMG22hlkR0Fjsk8rMXgVZmwMthDTJsRoSTwjtYlkGKsxCZpEiBpUUD8R&#10;cYRp+ui30KED/M3ZQJNXcv/rIFBxZj5bEm+dL5dxVNNlufpATBleeqpLj7CSoEoeOJuOuzCN98Gh&#10;bjt6aWqXhVsSvNFJipeqTuXTdCWFTj8hju/lPUW9/NftHwAAAP//AwBQSwMEFAAGAAgAAAAhAPDx&#10;7XDgAAAACgEAAA8AAABkcnMvZG93bnJldi54bWxMj8FKxDAQhu+C7xBG8CJu0qXobm26yOKiF0FX&#10;wetsE9vSZFKSdLfr05ue9DbDP/zzfeVmsoYdtQ+dIwnZQgDTVDvVUSPh82N3uwIWIpJC40hLOOsA&#10;m+ryosRCuRO96+M+NiyVUChQQhvjUHAe6lZbDAs3aErZt/MWY1p9w5XHUyq3hi+FuOMWO0ofWhz0&#10;ttV1vx+thPH8iuPOvCzf1s+53+Y3/ddP/yTl9dX0+AAs6in+HcOMn9ChSkwHN5IKzEhIIlFCnmVJ&#10;YI7F/WoN7DBPeSaAVyX/r1D9AgAA//8DAFBLAQItABQABgAIAAAAIQC2gziS/gAAAOEBAAATAAAA&#10;AAAAAAAAAAAAAAAAAABbQ29udGVudF9UeXBlc10ueG1sUEsBAi0AFAAGAAgAAAAhADj9If/WAAAA&#10;lAEAAAsAAAAAAAAAAAAAAAAALwEAAF9yZWxzLy5yZWxzUEsBAi0AFAAGAAgAAAAhALnKmp0KAgAA&#10;9wMAAA4AAAAAAAAAAAAAAAAALgIAAGRycy9lMm9Eb2MueG1sUEsBAi0AFAAGAAgAAAAhAPDx7XDg&#10;AAAACgEAAA8AAAAAAAAAAAAAAAAAZAQAAGRycy9kb3ducmV2LnhtbFBLBQYAAAAABAAEAPMAAABx&#10;BQAAAAA=&#10;" stroked="f">
                <v:textbox>
                  <w:txbxContent>
                    <w:p w14:paraId="33C8D19E" w14:textId="77777777" w:rsidR="000B513E" w:rsidRPr="0059494E" w:rsidRDefault="000B513E" w:rsidP="0057741D">
                      <w:pPr>
                        <w:pStyle w:val="Title"/>
                        <w:rPr>
                          <w:color w:val="7F7F7F" w:themeColor="text1" w:themeTint="80"/>
                        </w:rPr>
                      </w:pPr>
                    </w:p>
                    <w:p w14:paraId="190BA148" w14:textId="77777777" w:rsidR="000B513E" w:rsidRPr="0059494E" w:rsidRDefault="000B513E" w:rsidP="0057741D">
                      <w:pPr>
                        <w:pStyle w:val="Title"/>
                        <w:rPr>
                          <w:color w:val="7F7F7F" w:themeColor="text1" w:themeTint="80"/>
                        </w:rPr>
                      </w:pPr>
                      <w:r w:rsidRPr="0059494E">
                        <w:rPr>
                          <w:color w:val="7F7F7F" w:themeColor="text1" w:themeTint="80"/>
                        </w:rPr>
                        <w:t>Business Design Specifications</w:t>
                      </w:r>
                    </w:p>
                    <w:p w14:paraId="6E36FB9B" w14:textId="7EFCF3C2" w:rsidR="000B513E" w:rsidRPr="00702344" w:rsidRDefault="000B513E" w:rsidP="0057741D">
                      <w:pPr>
                        <w:pStyle w:val="Header"/>
                        <w:jc w:val="center"/>
                        <w:rPr>
                          <w:b/>
                          <w:bCs/>
                          <w:color w:val="7F7F7F" w:themeColor="text1" w:themeTint="80"/>
                          <w:sz w:val="72"/>
                        </w:rPr>
                      </w:pPr>
                      <w:r w:rsidRPr="0059494E">
                        <w:rPr>
                          <w:color w:val="7F7F7F" w:themeColor="text1" w:themeTint="80"/>
                        </w:rPr>
                        <w:t xml:space="preserve"> </w:t>
                      </w:r>
                      <w:r w:rsidR="0075086D">
                        <w:rPr>
                          <w:b/>
                          <w:bCs/>
                          <w:color w:val="7F7F7F" w:themeColor="text1" w:themeTint="80"/>
                          <w:sz w:val="72"/>
                        </w:rPr>
                        <w:t xml:space="preserve">CRXXX </w:t>
                      </w:r>
                      <w:r w:rsidR="009E6761">
                        <w:rPr>
                          <w:b/>
                          <w:bCs/>
                          <w:color w:val="7F7F7F" w:themeColor="text1" w:themeTint="80"/>
                          <w:sz w:val="72"/>
                        </w:rPr>
                        <w:t xml:space="preserve">– </w:t>
                      </w:r>
                      <w:r w:rsidR="00A11471">
                        <w:rPr>
                          <w:b/>
                          <w:bCs/>
                          <w:color w:val="7F7F7F" w:themeColor="text1" w:themeTint="80"/>
                          <w:sz w:val="72"/>
                        </w:rPr>
                        <w:t xml:space="preserve">Calculator </w:t>
                      </w:r>
                      <w:r w:rsidR="00F7764F">
                        <w:rPr>
                          <w:b/>
                          <w:bCs/>
                          <w:color w:val="7F7F7F" w:themeColor="text1" w:themeTint="80"/>
                          <w:sz w:val="72"/>
                        </w:rPr>
                        <w:t>Widget</w:t>
                      </w:r>
                    </w:p>
                    <w:p w14:paraId="4E5F48D7" w14:textId="40E5998C" w:rsidR="000B513E" w:rsidRPr="00702344" w:rsidRDefault="000B513E" w:rsidP="0057741D">
                      <w:pPr>
                        <w:pStyle w:val="Header"/>
                        <w:jc w:val="center"/>
                        <w:rPr>
                          <w:bCs/>
                          <w:color w:val="7F7F7F" w:themeColor="text1" w:themeTint="80"/>
                          <w:sz w:val="72"/>
                        </w:rPr>
                      </w:pPr>
                    </w:p>
                    <w:p w14:paraId="387A50B9" w14:textId="77777777" w:rsidR="000B513E" w:rsidRPr="00702344" w:rsidRDefault="000B513E" w:rsidP="0057741D">
                      <w:pPr>
                        <w:pStyle w:val="Title"/>
                        <w:rPr>
                          <w:b w:val="0"/>
                          <w:color w:val="7F7F7F" w:themeColor="text1" w:themeTint="80"/>
                        </w:rPr>
                      </w:pPr>
                    </w:p>
                    <w:p w14:paraId="4777A345" w14:textId="77777777" w:rsidR="000B513E" w:rsidRPr="00702344" w:rsidRDefault="000B513E" w:rsidP="0057741D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53BF74A4" w14:textId="77777777" w:rsidR="000B513E" w:rsidRPr="00702344" w:rsidRDefault="000B513E" w:rsidP="00D13000">
                      <w:pPr>
                        <w:pStyle w:val="Title"/>
                        <w:jc w:val="left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819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B6CB5" wp14:editId="6CE619B8">
                <wp:simplePos x="0" y="0"/>
                <wp:positionH relativeFrom="margin">
                  <wp:posOffset>1202690</wp:posOffset>
                </wp:positionH>
                <wp:positionV relativeFrom="paragraph">
                  <wp:posOffset>2649855</wp:posOffset>
                </wp:positionV>
                <wp:extent cx="4452620" cy="1307465"/>
                <wp:effectExtent l="254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364"/>
                              <w:gridCol w:w="3350"/>
                            </w:tblGrid>
                            <w:tr w:rsidR="000B513E" w14:paraId="36FCC5AD" w14:textId="77777777" w:rsidTr="00846687">
                              <w:trPr>
                                <w:jc w:val="center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72EAAAF7" w14:textId="77777777" w:rsidR="000B513E" w:rsidRDefault="000B513E" w:rsidP="00D33FF1">
                                  <w:r>
                                    <w:t>Information Classification</w:t>
                                  </w:r>
                                </w:p>
                              </w:tc>
                              <w:tc>
                                <w:tcPr>
                                  <w:tcW w:w="3478" w:type="dxa"/>
                                  <w:vAlign w:val="center"/>
                                </w:tcPr>
                                <w:p w14:paraId="2FADBB72" w14:textId="48E33BE1" w:rsidR="000B513E" w:rsidRDefault="000B513E" w:rsidP="00D33FF1">
                                  <w:r>
                                    <w:t xml:space="preserve">Santander Consumer Internal </w:t>
                                  </w:r>
                                </w:p>
                              </w:tc>
                            </w:tr>
                            <w:tr w:rsidR="000B513E" w14:paraId="788C985C" w14:textId="77777777" w:rsidTr="00846687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1A385FB5" w14:textId="77777777" w:rsidR="000B513E" w:rsidRDefault="000B513E" w:rsidP="00D33FF1">
                                  <w:r>
                                    <w:t>Distribution</w:t>
                                  </w:r>
                                </w:p>
                              </w:tc>
                              <w:tc>
                                <w:tcPr>
                                  <w:tcW w:w="3478" w:type="dxa"/>
                                  <w:vAlign w:val="center"/>
                                </w:tcPr>
                                <w:p w14:paraId="7FBC5EC5" w14:textId="77777777" w:rsidR="000B513E" w:rsidRDefault="000B513E" w:rsidP="00D33FF1">
                                  <w:r>
                                    <w:t>Internal &amp; External</w:t>
                                  </w:r>
                                </w:p>
                              </w:tc>
                            </w:tr>
                            <w:tr w:rsidR="000B513E" w14:paraId="104B39CE" w14:textId="77777777" w:rsidTr="00846687">
                              <w:trPr>
                                <w:trHeight w:val="536"/>
                                <w:jc w:val="center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44BDF7BC" w14:textId="77777777" w:rsidR="000B513E" w:rsidRDefault="000B513E" w:rsidP="00D33FF1">
                                  <w: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3478" w:type="dxa"/>
                                  <w:vAlign w:val="center"/>
                                </w:tcPr>
                                <w:p w14:paraId="46D5B9F1" w14:textId="6497E4FA" w:rsidR="000B513E" w:rsidRDefault="000B513E" w:rsidP="00D33FF1">
                                  <w:r>
                                    <w:t xml:space="preserve">Santander Consumer Internal </w:t>
                                  </w:r>
                                </w:p>
                              </w:tc>
                            </w:tr>
                          </w:tbl>
                          <w:p w14:paraId="30F552DA" w14:textId="77777777" w:rsidR="000B513E" w:rsidRDefault="000B513E" w:rsidP="005774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B6CB5" id="_x0000_s1028" type="#_x0000_t202" style="position:absolute;margin-left:94.7pt;margin-top:208.65pt;width:350.6pt;height:102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YeBgIAAPcDAAAOAAAAZHJzL2Uyb0RvYy54bWysU8GO0zAQvSPxD5bvNG1JuxA1XS1dFSEt&#10;C9IuH+A4TmLheMzYbbJ8PWOnLRXcED5Ytmf8/N6b8eZ27A07KvQabMkXszlnykqotW1L/u15/+Yd&#10;Zz4IWwsDVpX8RXl+u339ajO4Qi2hA1MrZARifTG4knchuCLLvOxUL/wMnLIUbAB7EWiLbVajGAi9&#10;N9lyPl9nA2DtEKTynk7vpyDfJvymUTJ8aRqvAjMlJ24hzZjmKs7ZdiOKFoXrtDzREP/Aohfa0qMX&#10;qHsRBDug/guq1xLBQxNmEvoMmkZLlTSQmsX8DzVPnXAqaSFzvLvY5P8frHw8fkWma6odZ1b0VKJn&#10;NQb2AUa2jO4MzheU9OQoLYx0HDOjUu8eQH73zMKuE7ZVd4gwdErUxG4Rb2ZXVyccH0Gq4TPU9Iw4&#10;BEhAY4N9BCQzGKFTlV4ulYlUJB3m+Wq5XlJIUmzxdn6Tr1fpDVGcrzv04aOCnsVFyZFKn+DF8cGH&#10;SEcU55REH4yu99qYtMG22hlkR0Ftsk/jhO6v04yNyRbitQkxniSdUdokMozVmAy92FdB/ULCEabu&#10;o99Ciw7wJ2cDdV7J/Y+DQMWZ+WTJvPeLPI+tmjb56ibKxutIdR0RVhJUyQNn03IXpvY+ONRtRy+d&#10;y3VHhu91siJWZmJ1ok/dlRw6/YTYvtf7lPX7v25/AQAA//8DAFBLAwQUAAYACAAAACEA4AWpxeAA&#10;AAALAQAADwAAAGRycy9kb3ducmV2LnhtbEyPwU7DMBBE70j8g7VI3KjTtIQ0xKkqKi4ckChIcHTj&#10;TRwRry3bTcPfY070ONqnmbf1djYjm9CHwZKA5SIDhtRaNVAv4OP9+a4EFqIkJUdLKOAHA2yb66ta&#10;Vsqe6Q2nQ+xZKqFQSQE6RldxHlqNRoaFdUjp1llvZEzR91x5eU7lZuR5lhXcyIHSgpYOnzS234eT&#10;EfBp9KD2/vWrU+O0f+l29272Tojbm3n3CCziHP9h+NNP6tAkp6M9kQpsTLncrBMqYL18WAFLRLnJ&#10;CmBHAUW+yoE3Nb/8ofkFAAD//wMAUEsBAi0AFAAGAAgAAAAhALaDOJL+AAAA4QEAABMAAAAAAAAA&#10;AAAAAAAAAAAAAFtDb250ZW50X1R5cGVzXS54bWxQSwECLQAUAAYACAAAACEAOP0h/9YAAACUAQAA&#10;CwAAAAAAAAAAAAAAAAAvAQAAX3JlbHMvLnJlbHNQSwECLQAUAAYACAAAACEAVUA2HgYCAAD3AwAA&#10;DgAAAAAAAAAAAAAAAAAuAgAAZHJzL2Uyb0RvYy54bWxQSwECLQAUAAYACAAAACEA4AWpxeAAAAAL&#10;AQAADwAAAAAAAAAAAAAAAABgBAAAZHJzL2Rvd25yZXYueG1sUEsFBgAAAAAEAAQA8wAAAG0FAAAA&#10;AA==&#10;" stroked="f">
                <v:textbox style="mso-fit-shape-to-text:t">
                  <w:txbxContent>
                    <w:tbl>
                      <w:tblPr>
                        <w:tblW w:w="5000" w:type="pct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364"/>
                        <w:gridCol w:w="3350"/>
                      </w:tblGrid>
                      <w:tr w:rsidR="000B513E" w14:paraId="36FCC5AD" w14:textId="77777777" w:rsidTr="00846687">
                        <w:trPr>
                          <w:jc w:val="center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72EAAAF7" w14:textId="77777777" w:rsidR="000B513E" w:rsidRDefault="000B513E" w:rsidP="00D33FF1">
                            <w:r>
                              <w:t>Information Classification</w:t>
                            </w:r>
                          </w:p>
                        </w:tc>
                        <w:tc>
                          <w:tcPr>
                            <w:tcW w:w="3478" w:type="dxa"/>
                            <w:vAlign w:val="center"/>
                          </w:tcPr>
                          <w:p w14:paraId="2FADBB72" w14:textId="48E33BE1" w:rsidR="000B513E" w:rsidRDefault="000B513E" w:rsidP="00D33FF1">
                            <w:r>
                              <w:t xml:space="preserve">Santander Consumer Internal </w:t>
                            </w:r>
                          </w:p>
                        </w:tc>
                      </w:tr>
                      <w:tr w:rsidR="000B513E" w14:paraId="788C985C" w14:textId="77777777" w:rsidTr="00846687">
                        <w:trPr>
                          <w:trHeight w:val="513"/>
                          <w:jc w:val="center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1A385FB5" w14:textId="77777777" w:rsidR="000B513E" w:rsidRDefault="000B513E" w:rsidP="00D33FF1">
                            <w:r>
                              <w:t>Distribution</w:t>
                            </w:r>
                          </w:p>
                        </w:tc>
                        <w:tc>
                          <w:tcPr>
                            <w:tcW w:w="3478" w:type="dxa"/>
                            <w:vAlign w:val="center"/>
                          </w:tcPr>
                          <w:p w14:paraId="7FBC5EC5" w14:textId="77777777" w:rsidR="000B513E" w:rsidRDefault="000B513E" w:rsidP="00D33FF1">
                            <w:r>
                              <w:t>Internal &amp; External</w:t>
                            </w:r>
                          </w:p>
                        </w:tc>
                      </w:tr>
                      <w:tr w:rsidR="000B513E" w14:paraId="104B39CE" w14:textId="77777777" w:rsidTr="00846687">
                        <w:trPr>
                          <w:trHeight w:val="536"/>
                          <w:jc w:val="center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44BDF7BC" w14:textId="77777777" w:rsidR="000B513E" w:rsidRDefault="000B513E" w:rsidP="00D33FF1">
                            <w:r>
                              <w:t>Access</w:t>
                            </w:r>
                          </w:p>
                        </w:tc>
                        <w:tc>
                          <w:tcPr>
                            <w:tcW w:w="3478" w:type="dxa"/>
                            <w:vAlign w:val="center"/>
                          </w:tcPr>
                          <w:p w14:paraId="46D5B9F1" w14:textId="6497E4FA" w:rsidR="000B513E" w:rsidRDefault="000B513E" w:rsidP="00D33FF1">
                            <w:r>
                              <w:t xml:space="preserve">Santander Consumer Internal </w:t>
                            </w:r>
                          </w:p>
                        </w:tc>
                      </w:tr>
                    </w:tbl>
                    <w:p w14:paraId="30F552DA" w14:textId="77777777" w:rsidR="000B513E" w:rsidRDefault="000B513E" w:rsidP="0057741D"/>
                  </w:txbxContent>
                </v:textbox>
                <w10:wrap anchorx="margin"/>
              </v:shape>
            </w:pict>
          </mc:Fallback>
        </mc:AlternateContent>
      </w:r>
    </w:p>
    <w:p w14:paraId="3A5D196A" w14:textId="77777777" w:rsidR="0057741D" w:rsidRPr="00C81925" w:rsidRDefault="0057741D" w:rsidP="0057741D">
      <w:pPr>
        <w:pStyle w:val="TOC1-GEInsipira"/>
        <w:numPr>
          <w:ilvl w:val="0"/>
          <w:numId w:val="0"/>
        </w:numPr>
      </w:pPr>
    </w:p>
    <w:p w14:paraId="3D21E851" w14:textId="11F5CAB8" w:rsidR="00D13000" w:rsidRPr="00C81925" w:rsidRDefault="00D13000" w:rsidP="00D13000">
      <w:pPr>
        <w:spacing w:after="0"/>
        <w:rPr>
          <w:rFonts w:ascii="GE Inspira" w:hAnsi="GE Inspira"/>
          <w:b/>
          <w:color w:val="FFFFFF"/>
          <w:sz w:val="36"/>
          <w:szCs w:val="20"/>
        </w:rPr>
      </w:pPr>
      <w:r w:rsidRPr="00C81925">
        <w:br w:type="page"/>
      </w:r>
    </w:p>
    <w:p w14:paraId="59F60616" w14:textId="690729A8" w:rsidR="00D13000" w:rsidRPr="00C81925" w:rsidRDefault="00D13000" w:rsidP="00616F60">
      <w:pPr>
        <w:pStyle w:val="Heading1"/>
        <w:framePr w:wrap="around"/>
      </w:pPr>
      <w:bookmarkStart w:id="0" w:name="_Toc71272625"/>
      <w:r w:rsidRPr="00C81925">
        <w:t>Content</w:t>
      </w:r>
      <w:bookmarkEnd w:id="0"/>
      <w:r w:rsidRPr="00C81925">
        <w:t xml:space="preserve"> </w:t>
      </w:r>
    </w:p>
    <w:p w14:paraId="5655E04D" w14:textId="77777777" w:rsidR="00D13000" w:rsidRPr="00C81925" w:rsidRDefault="00D13000" w:rsidP="0057741D">
      <w:pPr>
        <w:pStyle w:val="TOC1"/>
        <w:tabs>
          <w:tab w:val="left" w:pos="480"/>
          <w:tab w:val="right" w:leader="dot" w:pos="10790"/>
        </w:tabs>
        <w:rPr>
          <w:rFonts w:ascii="GE Inspira" w:hAnsi="GE Inspira"/>
          <w:bCs w:val="0"/>
          <w:i w:val="0"/>
          <w:iCs w:val="0"/>
        </w:rPr>
      </w:pPr>
    </w:p>
    <w:p w14:paraId="46BEFA4A" w14:textId="68F46587" w:rsidR="00DA43BF" w:rsidRDefault="0057741D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r w:rsidRPr="00C81925">
        <w:rPr>
          <w:rFonts w:ascii="GE Inspira" w:hAnsi="GE Inspira"/>
          <w:bCs w:val="0"/>
          <w:i w:val="0"/>
          <w:iCs w:val="0"/>
        </w:rPr>
        <w:fldChar w:fldCharType="begin"/>
      </w:r>
      <w:r w:rsidRPr="00C81925">
        <w:rPr>
          <w:rFonts w:ascii="GE Inspira" w:hAnsi="GE Inspira"/>
          <w:bCs w:val="0"/>
          <w:i w:val="0"/>
          <w:iCs w:val="0"/>
        </w:rPr>
        <w:instrText xml:space="preserve"> TOC \o "1-3" \h \z \t "TOC 1 - GE Insipira;1" </w:instrText>
      </w:r>
      <w:r w:rsidRPr="00C81925">
        <w:rPr>
          <w:rFonts w:ascii="GE Inspira" w:hAnsi="GE Inspira"/>
          <w:bCs w:val="0"/>
          <w:i w:val="0"/>
          <w:iCs w:val="0"/>
        </w:rPr>
        <w:fldChar w:fldCharType="separate"/>
      </w:r>
      <w:hyperlink w:anchor="_Toc71272625" w:history="1">
        <w:r w:rsidR="00DA43BF" w:rsidRPr="00327F66">
          <w:rPr>
            <w:rStyle w:val="Hyperlink"/>
            <w:noProof/>
          </w:rPr>
          <w:t>1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Content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_Toc71272625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2</w:t>
        </w:r>
        <w:r w:rsidR="00DA43BF">
          <w:rPr>
            <w:noProof/>
            <w:webHidden/>
          </w:rPr>
          <w:fldChar w:fldCharType="end"/>
        </w:r>
      </w:hyperlink>
    </w:p>
    <w:p w14:paraId="2794CA97" w14:textId="0ABD5DB4" w:rsidR="00DA43BF" w:rsidRDefault="00F04B5C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26" w:history="1">
        <w:r w:rsidR="00DA43BF" w:rsidRPr="00327F66">
          <w:rPr>
            <w:rStyle w:val="Hyperlink"/>
            <w:noProof/>
          </w:rPr>
          <w:t>2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Introduction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_Toc71272626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3</w:t>
        </w:r>
        <w:r w:rsidR="00DA43BF">
          <w:rPr>
            <w:noProof/>
            <w:webHidden/>
          </w:rPr>
          <w:fldChar w:fldCharType="end"/>
        </w:r>
      </w:hyperlink>
    </w:p>
    <w:p w14:paraId="122CD74E" w14:textId="49960515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27" w:history="1">
        <w:r w:rsidR="00DA43BF" w:rsidRPr="00327F66">
          <w:rPr>
            <w:rStyle w:val="Hyperlink"/>
            <w:noProof/>
          </w:rPr>
          <w:t>2.1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Purpose of Document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_Toc71272627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3</w:t>
        </w:r>
        <w:r w:rsidR="00DA43BF">
          <w:rPr>
            <w:noProof/>
            <w:webHidden/>
          </w:rPr>
          <w:fldChar w:fldCharType="end"/>
        </w:r>
      </w:hyperlink>
    </w:p>
    <w:p w14:paraId="5D4C73A5" w14:textId="32787B26" w:rsidR="00DA43BF" w:rsidRDefault="00F04B5C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28" w:history="1">
        <w:r w:rsidR="00DA43BF" w:rsidRPr="00327F66">
          <w:rPr>
            <w:rStyle w:val="Hyperlink"/>
            <w:noProof/>
          </w:rPr>
          <w:t>3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Functional Overview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_Toc71272628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4</w:t>
        </w:r>
        <w:r w:rsidR="00DA43BF">
          <w:rPr>
            <w:noProof/>
            <w:webHidden/>
          </w:rPr>
          <w:fldChar w:fldCharType="end"/>
        </w:r>
      </w:hyperlink>
    </w:p>
    <w:p w14:paraId="58FD7681" w14:textId="095C793E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29" w:history="1">
        <w:r w:rsidR="00DA43BF" w:rsidRPr="00327F66">
          <w:rPr>
            <w:rStyle w:val="Hyperlink"/>
            <w:noProof/>
          </w:rPr>
          <w:t>3.1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Background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_Toc71272629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4</w:t>
        </w:r>
        <w:r w:rsidR="00DA43BF">
          <w:rPr>
            <w:noProof/>
            <w:webHidden/>
          </w:rPr>
          <w:fldChar w:fldCharType="end"/>
        </w:r>
      </w:hyperlink>
    </w:p>
    <w:p w14:paraId="0EB80C7B" w14:textId="528563AF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30" w:history="1">
        <w:r w:rsidR="00DA43BF" w:rsidRPr="00327F66">
          <w:rPr>
            <w:rStyle w:val="Hyperlink"/>
            <w:noProof/>
          </w:rPr>
          <w:t>3.2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Requirements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_Toc71272630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5</w:t>
        </w:r>
        <w:r w:rsidR="00DA43BF">
          <w:rPr>
            <w:noProof/>
            <w:webHidden/>
          </w:rPr>
          <w:fldChar w:fldCharType="end"/>
        </w:r>
      </w:hyperlink>
    </w:p>
    <w:p w14:paraId="45C38773" w14:textId="7B9571D0" w:rsidR="00DA43BF" w:rsidRDefault="00F04B5C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31" w:history="1">
        <w:r w:rsidR="00DA43BF" w:rsidRPr="00327F66">
          <w:rPr>
            <w:rStyle w:val="Hyperlink"/>
            <w:noProof/>
          </w:rPr>
          <w:t>4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High Level Solution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_Toc71272631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7</w:t>
        </w:r>
        <w:r w:rsidR="00DA43BF">
          <w:rPr>
            <w:noProof/>
            <w:webHidden/>
          </w:rPr>
          <w:fldChar w:fldCharType="end"/>
        </w:r>
      </w:hyperlink>
    </w:p>
    <w:p w14:paraId="79302C87" w14:textId="785B6E45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32" w:history="1">
        <w:r w:rsidR="00DA43BF" w:rsidRPr="00327F66">
          <w:rPr>
            <w:rStyle w:val="Hyperlink"/>
            <w:noProof/>
          </w:rPr>
          <w:t>4.1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Changes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_Toc71272632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7</w:t>
        </w:r>
        <w:r w:rsidR="00DA43BF">
          <w:rPr>
            <w:noProof/>
            <w:webHidden/>
          </w:rPr>
          <w:fldChar w:fldCharType="end"/>
        </w:r>
      </w:hyperlink>
    </w:p>
    <w:p w14:paraId="48292A82" w14:textId="535AB9A9" w:rsidR="00DA43BF" w:rsidRDefault="00F04B5C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33" w:history="1">
        <w:r w:rsidR="00DA43BF" w:rsidRPr="00327F6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Create stylable calculator widget to be inserted in webshops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_Toc71272633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7</w:t>
        </w:r>
        <w:r w:rsidR="00DA43BF">
          <w:rPr>
            <w:noProof/>
            <w:webHidden/>
          </w:rPr>
          <w:fldChar w:fldCharType="end"/>
        </w:r>
      </w:hyperlink>
    </w:p>
    <w:p w14:paraId="6E50939E" w14:textId="5DF4E6D1" w:rsidR="00DA43BF" w:rsidRDefault="00F04B5C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34" w:history="1">
        <w:r w:rsidR="00DA43BF" w:rsidRPr="00327F6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Create a calculator preview page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_Toc71272634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8</w:t>
        </w:r>
        <w:r w:rsidR="00DA43BF">
          <w:rPr>
            <w:noProof/>
            <w:webHidden/>
          </w:rPr>
          <w:fldChar w:fldCharType="end"/>
        </w:r>
      </w:hyperlink>
    </w:p>
    <w:p w14:paraId="243BFECC" w14:textId="4DDAF81C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35" w:history="1">
        <w:r w:rsidR="00DA43BF" w:rsidRPr="00327F66">
          <w:rPr>
            <w:rStyle w:val="Hyperlink"/>
            <w:noProof/>
          </w:rPr>
          <w:t>4.2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Technical description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_Toc71272635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8</w:t>
        </w:r>
        <w:r w:rsidR="00DA43BF">
          <w:rPr>
            <w:noProof/>
            <w:webHidden/>
          </w:rPr>
          <w:fldChar w:fldCharType="end"/>
        </w:r>
      </w:hyperlink>
    </w:p>
    <w:p w14:paraId="2CAAAF41" w14:textId="47397823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36" w:history="1">
        <w:r w:rsidR="00DA43BF" w:rsidRPr="00327F66">
          <w:rPr>
            <w:rStyle w:val="Hyperlink"/>
            <w:noProof/>
          </w:rPr>
          <w:t>4.3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Estimate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_Toc71272636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9</w:t>
        </w:r>
        <w:r w:rsidR="00DA43BF">
          <w:rPr>
            <w:noProof/>
            <w:webHidden/>
          </w:rPr>
          <w:fldChar w:fldCharType="end"/>
        </w:r>
      </w:hyperlink>
    </w:p>
    <w:p w14:paraId="2B120D9B" w14:textId="18494989" w:rsidR="00DA43BF" w:rsidRDefault="00F04B5C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nb-NO" w:eastAsia="nb-NO"/>
        </w:rPr>
      </w:pPr>
      <w:hyperlink w:anchor="_Toc71272637" w:history="1">
        <w:r w:rsidR="00DA43BF" w:rsidRPr="00327F66">
          <w:rPr>
            <w:rStyle w:val="Hyperlink"/>
            <w:noProof/>
          </w:rPr>
          <w:t>5</w:t>
        </w:r>
        <w:r w:rsidR="00DA43B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Testing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_Toc71272637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10</w:t>
        </w:r>
        <w:r w:rsidR="00DA43BF">
          <w:rPr>
            <w:noProof/>
            <w:webHidden/>
          </w:rPr>
          <w:fldChar w:fldCharType="end"/>
        </w:r>
      </w:hyperlink>
    </w:p>
    <w:p w14:paraId="6EA0C79A" w14:textId="69BD45A2" w:rsidR="00DA43BF" w:rsidRDefault="00F04B5C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nb-NO" w:eastAsia="nb-NO"/>
        </w:rPr>
      </w:pPr>
      <w:hyperlink w:anchor="_Toc71272638" w:history="1">
        <w:r w:rsidR="00DA43BF" w:rsidRPr="00327F66">
          <w:rPr>
            <w:rStyle w:val="Hyperlink"/>
            <w:noProof/>
          </w:rPr>
          <w:t>5.1</w:t>
        </w:r>
        <w:r w:rsidR="00DA43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nb-NO" w:eastAsia="nb-NO"/>
          </w:rPr>
          <w:tab/>
        </w:r>
        <w:r w:rsidR="00DA43BF" w:rsidRPr="00327F66">
          <w:rPr>
            <w:rStyle w:val="Hyperlink"/>
            <w:noProof/>
          </w:rPr>
          <w:t>Test description</w:t>
        </w:r>
        <w:r w:rsidR="00DA43BF">
          <w:rPr>
            <w:noProof/>
            <w:webHidden/>
          </w:rPr>
          <w:tab/>
        </w:r>
        <w:r w:rsidR="00DA43BF">
          <w:rPr>
            <w:noProof/>
            <w:webHidden/>
          </w:rPr>
          <w:fldChar w:fldCharType="begin"/>
        </w:r>
        <w:r w:rsidR="00DA43BF">
          <w:rPr>
            <w:noProof/>
            <w:webHidden/>
          </w:rPr>
          <w:instrText xml:space="preserve"> PAGEREF _Toc71272638 \h </w:instrText>
        </w:r>
        <w:r w:rsidR="00DA43BF">
          <w:rPr>
            <w:noProof/>
            <w:webHidden/>
          </w:rPr>
        </w:r>
        <w:r w:rsidR="00DA43BF">
          <w:rPr>
            <w:noProof/>
            <w:webHidden/>
          </w:rPr>
          <w:fldChar w:fldCharType="separate"/>
        </w:r>
        <w:r w:rsidR="00DA43BF">
          <w:rPr>
            <w:noProof/>
            <w:webHidden/>
          </w:rPr>
          <w:t>10</w:t>
        </w:r>
        <w:r w:rsidR="00DA43BF">
          <w:rPr>
            <w:noProof/>
            <w:webHidden/>
          </w:rPr>
          <w:fldChar w:fldCharType="end"/>
        </w:r>
      </w:hyperlink>
    </w:p>
    <w:p w14:paraId="19AAFE50" w14:textId="2916460C" w:rsidR="00D13000" w:rsidRPr="00C81925" w:rsidRDefault="0057741D" w:rsidP="00D646BE">
      <w:pPr>
        <w:rPr>
          <w:bCs/>
          <w:i/>
          <w:iCs/>
          <w:szCs w:val="28"/>
        </w:rPr>
      </w:pPr>
      <w:r w:rsidRPr="00C81925">
        <w:rPr>
          <w:bCs/>
          <w:i/>
          <w:iCs/>
          <w:szCs w:val="28"/>
        </w:rPr>
        <w:fldChar w:fldCharType="end"/>
      </w:r>
    </w:p>
    <w:p w14:paraId="38C2F2C3" w14:textId="77777777" w:rsidR="00D13000" w:rsidRPr="00C81925" w:rsidRDefault="00D13000" w:rsidP="00D13000">
      <w:pPr>
        <w:pStyle w:val="TOC1-GEInsipira"/>
        <w:numPr>
          <w:ilvl w:val="0"/>
          <w:numId w:val="0"/>
        </w:numPr>
        <w:rPr>
          <w:rFonts w:cs="Arial"/>
          <w:sz w:val="64"/>
          <w:szCs w:val="64"/>
        </w:rPr>
      </w:pPr>
    </w:p>
    <w:p w14:paraId="1E81ECC4" w14:textId="03802C28" w:rsidR="00D13000" w:rsidRPr="00C81925" w:rsidRDefault="00D13000" w:rsidP="0059494E">
      <w:pPr>
        <w:spacing w:after="0"/>
        <w:rPr>
          <w:rFonts w:cs="Arial"/>
        </w:rPr>
      </w:pPr>
      <w:r w:rsidRPr="00C81925">
        <w:rPr>
          <w:rFonts w:cs="Arial"/>
        </w:rPr>
        <w:br w:type="page"/>
      </w:r>
    </w:p>
    <w:p w14:paraId="68ED61EF" w14:textId="04375FE9" w:rsidR="00D13000" w:rsidRPr="00C81925" w:rsidRDefault="00E75DBD" w:rsidP="00616F60">
      <w:pPr>
        <w:pStyle w:val="Heading1"/>
        <w:framePr w:wrap="around"/>
      </w:pPr>
      <w:bookmarkStart w:id="1" w:name="_Toc71272626"/>
      <w:r w:rsidRPr="00C81925">
        <w:t>Introduction</w:t>
      </w:r>
      <w:bookmarkEnd w:id="1"/>
    </w:p>
    <w:p w14:paraId="5B671AAD" w14:textId="77777777" w:rsidR="00E75DBD" w:rsidRPr="00C81925" w:rsidRDefault="00E75DBD" w:rsidP="00E75DBD">
      <w:pPr>
        <w:pStyle w:val="Heading2"/>
        <w:numPr>
          <w:ilvl w:val="0"/>
          <w:numId w:val="0"/>
        </w:numPr>
        <w:ind w:left="720"/>
      </w:pPr>
      <w:bookmarkStart w:id="2" w:name="_Toc406404532"/>
    </w:p>
    <w:p w14:paraId="75D2FBD1" w14:textId="77777777" w:rsidR="00D13000" w:rsidRPr="00C81925" w:rsidRDefault="00D13000" w:rsidP="0059494E">
      <w:pPr>
        <w:pStyle w:val="Heading2"/>
      </w:pPr>
      <w:bookmarkStart w:id="3" w:name="_Toc71272627"/>
      <w:r w:rsidRPr="00C81925">
        <w:t>Purpose of Document</w:t>
      </w:r>
      <w:bookmarkEnd w:id="2"/>
      <w:bookmarkEnd w:id="3"/>
    </w:p>
    <w:p w14:paraId="3A1373A4" w14:textId="77777777" w:rsidR="00D13000" w:rsidRPr="00C81925" w:rsidRDefault="00D13000" w:rsidP="00D13000">
      <w:pPr>
        <w:pStyle w:val="BodyTextIndent"/>
        <w:rPr>
          <w:rFonts w:cs="Arial"/>
        </w:rPr>
      </w:pPr>
    </w:p>
    <w:p w14:paraId="546CC352" w14:textId="75FFEB79" w:rsidR="009D7629" w:rsidRPr="001C2AFF" w:rsidRDefault="009E6761" w:rsidP="003576A0">
      <w:pPr>
        <w:rPr>
          <w:rFonts w:cs="Arial"/>
        </w:rPr>
      </w:pPr>
      <w:r>
        <w:rPr>
          <w:rFonts w:cs="Arial"/>
        </w:rPr>
        <w:t xml:space="preserve">The purpose of this document is to specify a solution </w:t>
      </w:r>
      <w:r w:rsidR="00F7764F">
        <w:rPr>
          <w:rFonts w:cs="Arial"/>
        </w:rPr>
        <w:t>for creating a calculator widget to be used in partner websites.</w:t>
      </w:r>
    </w:p>
    <w:p w14:paraId="16FC2F53" w14:textId="77777777" w:rsidR="009D7629" w:rsidRPr="001C2AFF" w:rsidRDefault="009D7629" w:rsidP="009D7629">
      <w:pPr>
        <w:pStyle w:val="ListParagraph"/>
        <w:ind w:left="720"/>
        <w:rPr>
          <w:rFonts w:cs="Arial"/>
        </w:rPr>
      </w:pPr>
    </w:p>
    <w:p w14:paraId="44D780DA" w14:textId="77777777" w:rsidR="00570F8C" w:rsidRPr="001C2AFF" w:rsidRDefault="00570F8C" w:rsidP="00D13000">
      <w:pPr>
        <w:rPr>
          <w:rFonts w:cs="Arial"/>
        </w:rPr>
      </w:pPr>
    </w:p>
    <w:p w14:paraId="014ECBDA" w14:textId="77777777" w:rsidR="00FC7BD0" w:rsidRPr="001C2AFF" w:rsidRDefault="00FC7BD0" w:rsidP="00D13000">
      <w:pPr>
        <w:rPr>
          <w:rFonts w:cs="Arial"/>
        </w:rPr>
      </w:pPr>
    </w:p>
    <w:p w14:paraId="46EF167A" w14:textId="77777777" w:rsidR="00FC7BD0" w:rsidRPr="001C2AFF" w:rsidRDefault="00FC7BD0" w:rsidP="00D13000">
      <w:pPr>
        <w:rPr>
          <w:rFonts w:cs="Arial"/>
        </w:rPr>
      </w:pPr>
    </w:p>
    <w:p w14:paraId="5D3E2D92" w14:textId="77777777" w:rsidR="00FC7BD0" w:rsidRPr="001C2AFF" w:rsidRDefault="00FC7BD0" w:rsidP="00D13000">
      <w:pPr>
        <w:rPr>
          <w:rFonts w:cs="Arial"/>
        </w:rPr>
      </w:pPr>
    </w:p>
    <w:p w14:paraId="35672AE2" w14:textId="77777777" w:rsidR="00FC7BD0" w:rsidRPr="001C2AFF" w:rsidRDefault="00FC7BD0" w:rsidP="00D13000">
      <w:pPr>
        <w:rPr>
          <w:rFonts w:cs="Arial"/>
        </w:rPr>
      </w:pPr>
    </w:p>
    <w:p w14:paraId="51E4E8B5" w14:textId="77777777" w:rsidR="00FC7BD0" w:rsidRPr="001C2AFF" w:rsidRDefault="00FC7BD0" w:rsidP="00D13000">
      <w:pPr>
        <w:rPr>
          <w:rFonts w:cs="Arial"/>
        </w:rPr>
      </w:pPr>
    </w:p>
    <w:p w14:paraId="499C2CB0" w14:textId="1A80AEDD" w:rsidR="00FC7BD0" w:rsidRPr="001C2AFF" w:rsidRDefault="00FC7BD0" w:rsidP="00852B45">
      <w:pPr>
        <w:pStyle w:val="BodyTextIndent"/>
        <w:ind w:left="0"/>
      </w:pPr>
    </w:p>
    <w:p w14:paraId="2AD5C022" w14:textId="4BDE2B37" w:rsidR="00D13000" w:rsidRPr="00C81925" w:rsidRDefault="00FC7BD0" w:rsidP="00FC7BD0">
      <w:pPr>
        <w:pStyle w:val="Heading1"/>
        <w:framePr w:wrap="around"/>
      </w:pPr>
      <w:bookmarkStart w:id="4" w:name="_Toc71272628"/>
      <w:r>
        <w:t>F</w:t>
      </w:r>
      <w:r w:rsidR="00D646BE" w:rsidRPr="00FC7BD0">
        <w:t>unctional</w:t>
      </w:r>
      <w:r w:rsidR="00D646BE" w:rsidRPr="00C81925">
        <w:t xml:space="preserve"> Overview</w:t>
      </w:r>
      <w:bookmarkEnd w:id="4"/>
    </w:p>
    <w:p w14:paraId="0B568686" w14:textId="77777777" w:rsidR="00D646BE" w:rsidRDefault="00D646BE" w:rsidP="00E75DBD">
      <w:pPr>
        <w:ind w:left="720"/>
      </w:pPr>
    </w:p>
    <w:p w14:paraId="099EB575" w14:textId="38426D98" w:rsidR="00FC7BD0" w:rsidRDefault="0067615A" w:rsidP="00FC7BD0">
      <w:pPr>
        <w:pStyle w:val="Heading2"/>
      </w:pPr>
      <w:bookmarkStart w:id="5" w:name="_Toc71272629"/>
      <w:r>
        <w:t>Background</w:t>
      </w:r>
      <w:bookmarkEnd w:id="5"/>
    </w:p>
    <w:p w14:paraId="7FB2E33F" w14:textId="10068920" w:rsidR="008073E4" w:rsidRDefault="008073E4">
      <w:pPr>
        <w:spacing w:after="0"/>
      </w:pPr>
    </w:p>
    <w:p w14:paraId="6E92AA34" w14:textId="43C6432C" w:rsidR="000E2C7B" w:rsidRDefault="006D2084">
      <w:pPr>
        <w:spacing w:after="0"/>
      </w:pPr>
      <w:r>
        <w:t xml:space="preserve">An important </w:t>
      </w:r>
      <w:r w:rsidR="000E2C7B">
        <w:t>tool in selling consumer goods</w:t>
      </w:r>
      <w:r w:rsidR="00184FA6">
        <w:t xml:space="preserve"> in </w:t>
      </w:r>
      <w:proofErr w:type="spellStart"/>
      <w:r w:rsidR="00184FA6">
        <w:t>webshops</w:t>
      </w:r>
      <w:proofErr w:type="spellEnd"/>
      <w:r w:rsidR="000E2C7B">
        <w:t xml:space="preserve"> is to offer financing. </w:t>
      </w:r>
      <w:r w:rsidR="00CB1604">
        <w:t xml:space="preserve">The current solution for this </w:t>
      </w:r>
      <w:r w:rsidR="00BA666B">
        <w:t>is a widget/snippet provided by Payever. When a</w:t>
      </w:r>
      <w:r w:rsidR="003778AD">
        <w:t xml:space="preserve"> </w:t>
      </w:r>
      <w:proofErr w:type="spellStart"/>
      <w:r w:rsidR="003778AD">
        <w:t>webshop</w:t>
      </w:r>
      <w:proofErr w:type="spellEnd"/>
      <w:r w:rsidR="00BA666B">
        <w:t xml:space="preserve"> </w:t>
      </w:r>
      <w:r w:rsidR="003778AD">
        <w:t xml:space="preserve">page is loaded </w:t>
      </w:r>
      <w:r w:rsidR="00496571">
        <w:t xml:space="preserve">a request towards Payever is initiated and </w:t>
      </w:r>
      <w:r w:rsidR="006E586C">
        <w:t xml:space="preserve">simple “calculator” </w:t>
      </w:r>
      <w:r w:rsidR="008A28D7">
        <w:t xml:space="preserve">is injected in the </w:t>
      </w:r>
      <w:proofErr w:type="spellStart"/>
      <w:r w:rsidR="008A28D7">
        <w:t>webshop</w:t>
      </w:r>
      <w:proofErr w:type="spellEnd"/>
      <w:r w:rsidR="008A28D7">
        <w:t xml:space="preserve"> where different </w:t>
      </w:r>
      <w:r w:rsidR="001B47E2">
        <w:t xml:space="preserve">monthly </w:t>
      </w:r>
      <w:r w:rsidR="003F782F">
        <w:t>payments have been pre-calculated.</w:t>
      </w:r>
    </w:p>
    <w:p w14:paraId="372B16AD" w14:textId="3247263C" w:rsidR="00DF246B" w:rsidRDefault="000E2C7B">
      <w:pPr>
        <w:spacing w:after="0"/>
      </w:pPr>
      <w:r>
        <w:t xml:space="preserve"> </w:t>
      </w:r>
    </w:p>
    <w:p w14:paraId="4C83E884" w14:textId="5880FD93" w:rsidR="006D2084" w:rsidRDefault="006D2084">
      <w:pPr>
        <w:spacing w:after="0"/>
      </w:pPr>
      <w:r>
        <w:rPr>
          <w:noProof/>
        </w:rPr>
        <w:drawing>
          <wp:inline distT="0" distB="0" distL="0" distR="0" wp14:anchorId="678CE151" wp14:editId="06DF995F">
            <wp:extent cx="5943600" cy="515002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977" cy="51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D8B" w14:textId="77777777" w:rsidR="00184FA6" w:rsidRDefault="007E1F22" w:rsidP="00184FA6">
      <w:pPr>
        <w:spacing w:after="0"/>
      </w:pPr>
      <w:r>
        <w:br/>
      </w:r>
      <w:r w:rsidR="00184FA6">
        <w:t xml:space="preserve">This solution works fine but Santander is now in the process of replacing Payever with </w:t>
      </w:r>
      <w:proofErr w:type="spellStart"/>
      <w:r w:rsidR="00184FA6">
        <w:t>Bamboora</w:t>
      </w:r>
      <w:proofErr w:type="spellEnd"/>
      <w:r w:rsidR="00184FA6">
        <w:t xml:space="preserve">. </w:t>
      </w:r>
      <w:proofErr w:type="spellStart"/>
      <w:r w:rsidR="00184FA6">
        <w:t>Bamboora</w:t>
      </w:r>
      <w:proofErr w:type="spellEnd"/>
      <w:r w:rsidR="00184FA6">
        <w:t xml:space="preserve"> does not have widget support and Santander is therefore looking for a solution for this. </w:t>
      </w:r>
    </w:p>
    <w:p w14:paraId="0471A3D7" w14:textId="0E2744DF" w:rsidR="00821348" w:rsidRPr="00184FA6" w:rsidRDefault="00821348" w:rsidP="00273995">
      <w:pPr>
        <w:spacing w:after="0"/>
      </w:pPr>
    </w:p>
    <w:p w14:paraId="612DEBAB" w14:textId="43C2DABB" w:rsidR="00273995" w:rsidRDefault="00273995">
      <w:pPr>
        <w:spacing w:after="0"/>
      </w:pPr>
      <w:r>
        <w:br w:type="page"/>
      </w:r>
    </w:p>
    <w:p w14:paraId="1200AF54" w14:textId="4C90013E" w:rsidR="00885FE2" w:rsidRDefault="00273995" w:rsidP="000A325B">
      <w:pPr>
        <w:pStyle w:val="Heading2"/>
      </w:pPr>
      <w:bookmarkStart w:id="6" w:name="_Toc71272630"/>
      <w:r>
        <w:t>Requirements</w:t>
      </w:r>
      <w:bookmarkEnd w:id="6"/>
    </w:p>
    <w:p w14:paraId="4B8C7B98" w14:textId="151562D7" w:rsidR="00273995" w:rsidRDefault="003F3292" w:rsidP="00273995">
      <w:pPr>
        <w:pStyle w:val="BodyTextIndent"/>
        <w:ind w:left="0"/>
      </w:pPr>
      <w:r>
        <w:t>The solution should support the following requirements:</w:t>
      </w:r>
    </w:p>
    <w:p w14:paraId="742E1D50" w14:textId="5A4DC228" w:rsidR="00E01E68" w:rsidRDefault="000007FD" w:rsidP="00E2666F">
      <w:pPr>
        <w:pStyle w:val="ListParagraph"/>
        <w:numPr>
          <w:ilvl w:val="0"/>
          <w:numId w:val="31"/>
        </w:numPr>
      </w:pPr>
      <w:r w:rsidRPr="00E2666F">
        <w:t xml:space="preserve">The widget </w:t>
      </w:r>
      <w:r w:rsidR="00E2666F">
        <w:t>shall</w:t>
      </w:r>
      <w:r w:rsidRPr="00E2666F">
        <w:t xml:space="preserve"> </w:t>
      </w:r>
      <w:proofErr w:type="spellStart"/>
      <w:r w:rsidR="000F71F5" w:rsidRPr="00E2666F">
        <w:t>precalculate</w:t>
      </w:r>
      <w:proofErr w:type="spellEnd"/>
      <w:r w:rsidR="000F71F5" w:rsidRPr="00E2666F">
        <w:t xml:space="preserve"> </w:t>
      </w:r>
      <w:proofErr w:type="spellStart"/>
      <w:r w:rsidR="00324651" w:rsidRPr="00E2666F">
        <w:t>downpayment</w:t>
      </w:r>
      <w:proofErr w:type="spellEnd"/>
      <w:r w:rsidR="00324651" w:rsidRPr="00E2666F">
        <w:t xml:space="preserve"> and monthly </w:t>
      </w:r>
      <w:r w:rsidR="00F16D58" w:rsidRPr="00E2666F">
        <w:t>amount</w:t>
      </w:r>
      <w:r w:rsidR="002C1F21">
        <w:t xml:space="preserve"> given a fixed </w:t>
      </w:r>
      <w:r w:rsidR="00C90160">
        <w:t>interest using the matrix provided below</w:t>
      </w:r>
    </w:p>
    <w:p w14:paraId="0A389071" w14:textId="6A7A1E4B" w:rsidR="00E2666F" w:rsidRDefault="00E2666F" w:rsidP="00E2666F">
      <w:pPr>
        <w:pStyle w:val="ListParagraph"/>
        <w:ind w:left="720"/>
      </w:pPr>
      <w:r>
        <w:rPr>
          <w:noProof/>
        </w:rPr>
        <w:drawing>
          <wp:inline distT="0" distB="0" distL="0" distR="0" wp14:anchorId="4335C619" wp14:editId="00FD8F9E">
            <wp:extent cx="3614776" cy="1337132"/>
            <wp:effectExtent l="0" t="0" r="508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751" cy="13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10C" w14:textId="00B298C8" w:rsidR="00E2666F" w:rsidRPr="00E2666F" w:rsidRDefault="00E2666F" w:rsidP="00E2666F">
      <w:pPr>
        <w:pStyle w:val="ListParagraph"/>
        <w:ind w:left="720"/>
      </w:pPr>
      <w:r w:rsidRPr="00DC1E2A">
        <w:rPr>
          <w:noProof/>
        </w:rPr>
        <w:drawing>
          <wp:inline distT="0" distB="0" distL="0" distR="0" wp14:anchorId="5E9BDD76" wp14:editId="1C8BE989">
            <wp:extent cx="3696284" cy="1536268"/>
            <wp:effectExtent l="0" t="0" r="0" b="6985"/>
            <wp:docPr id="1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97E5004-018E-4F6F-BC10-F46B072614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97E5004-018E-4F6F-BC10-F46B072614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486" cy="1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1309" w14:textId="47BE7F31" w:rsidR="00E2666F" w:rsidRDefault="00E2666F" w:rsidP="00E2666F">
      <w:pPr>
        <w:pStyle w:val="BodyTextIndent"/>
        <w:numPr>
          <w:ilvl w:val="0"/>
          <w:numId w:val="31"/>
        </w:numPr>
      </w:pPr>
      <w:r>
        <w:t xml:space="preserve">The widget shall have high performance and load really fast in </w:t>
      </w:r>
      <w:proofErr w:type="spellStart"/>
      <w:r w:rsidR="00335C96">
        <w:t>webshop</w:t>
      </w:r>
      <w:proofErr w:type="spellEnd"/>
      <w:r w:rsidR="00335C96">
        <w:t>/parent</w:t>
      </w:r>
    </w:p>
    <w:p w14:paraId="576FA7F2" w14:textId="2858ECB6" w:rsidR="00335C96" w:rsidRDefault="00335C96" w:rsidP="00393AD5">
      <w:pPr>
        <w:pStyle w:val="BodyTextIndent"/>
        <w:numPr>
          <w:ilvl w:val="0"/>
          <w:numId w:val="31"/>
        </w:numPr>
      </w:pPr>
      <w:r>
        <w:t xml:space="preserve">The </w:t>
      </w:r>
      <w:proofErr w:type="spellStart"/>
      <w:r>
        <w:t>widghet</w:t>
      </w:r>
      <w:proofErr w:type="spellEnd"/>
      <w:r>
        <w:t xml:space="preserve"> shall support “refresh” when purchase amount changes in </w:t>
      </w:r>
      <w:proofErr w:type="spellStart"/>
      <w:r>
        <w:t>webshop</w:t>
      </w:r>
      <w:proofErr w:type="spellEnd"/>
      <w:r>
        <w:t>/parent</w:t>
      </w:r>
    </w:p>
    <w:p w14:paraId="35B0666D" w14:textId="22BA12CB" w:rsidR="00393AD5" w:rsidRDefault="00393AD5" w:rsidP="00393AD5">
      <w:pPr>
        <w:pStyle w:val="BodyTextIndent"/>
        <w:numPr>
          <w:ilvl w:val="0"/>
          <w:numId w:val="31"/>
        </w:numPr>
      </w:pPr>
      <w:r>
        <w:t>The widget shall support styling:</w:t>
      </w:r>
    </w:p>
    <w:p w14:paraId="4B563F29" w14:textId="77777777" w:rsidR="00393AD5" w:rsidRDefault="00393AD5" w:rsidP="00393AD5">
      <w:pPr>
        <w:pStyle w:val="BodyTextIndent"/>
        <w:numPr>
          <w:ilvl w:val="0"/>
          <w:numId w:val="32"/>
        </w:numPr>
      </w:pPr>
      <w:r>
        <w:t>Santander logo visible/</w:t>
      </w:r>
      <w:proofErr w:type="gramStart"/>
      <w:r>
        <w:t>not-visible</w:t>
      </w:r>
      <w:proofErr w:type="gramEnd"/>
    </w:p>
    <w:p w14:paraId="46C1F763" w14:textId="77777777" w:rsidR="00393AD5" w:rsidRDefault="00393AD5" w:rsidP="00393AD5">
      <w:pPr>
        <w:pStyle w:val="BodyTextIndent"/>
        <w:numPr>
          <w:ilvl w:val="0"/>
          <w:numId w:val="32"/>
        </w:numPr>
      </w:pPr>
      <w:r>
        <w:t>Background and border color</w:t>
      </w:r>
    </w:p>
    <w:p w14:paraId="1A3C7599" w14:textId="77777777" w:rsidR="00393AD5" w:rsidRDefault="00393AD5" w:rsidP="00393AD5">
      <w:pPr>
        <w:pStyle w:val="BodyTextIndent"/>
        <w:numPr>
          <w:ilvl w:val="0"/>
          <w:numId w:val="32"/>
        </w:numPr>
        <w:rPr>
          <w:lang w:val="nb-NO"/>
        </w:rPr>
      </w:pPr>
      <w:r>
        <w:rPr>
          <w:lang w:val="nb-NO"/>
        </w:rPr>
        <w:t xml:space="preserve">Heading </w:t>
      </w:r>
      <w:r w:rsidRPr="004C4EB4">
        <w:rPr>
          <w:lang w:val="nb-NO"/>
        </w:rPr>
        <w:t>“Delbetaling kan velg</w:t>
      </w:r>
      <w:r>
        <w:rPr>
          <w:lang w:val="nb-NO"/>
        </w:rPr>
        <w:t xml:space="preserve">es i kassen» font face and </w:t>
      </w:r>
      <w:proofErr w:type="spellStart"/>
      <w:r>
        <w:rPr>
          <w:lang w:val="nb-NO"/>
        </w:rPr>
        <w:t>size</w:t>
      </w:r>
      <w:proofErr w:type="spellEnd"/>
    </w:p>
    <w:p w14:paraId="1C781FE3" w14:textId="1A4718C3" w:rsidR="00393AD5" w:rsidRDefault="00393AD5" w:rsidP="00393AD5">
      <w:pPr>
        <w:pStyle w:val="BodyTextIndent"/>
        <w:numPr>
          <w:ilvl w:val="0"/>
          <w:numId w:val="32"/>
        </w:numPr>
        <w:rPr>
          <w:lang w:val="en-GB"/>
        </w:rPr>
      </w:pPr>
      <w:r w:rsidRPr="00541560">
        <w:rPr>
          <w:lang w:val="en-GB"/>
        </w:rPr>
        <w:t>Language support (NO/SEK/DK</w:t>
      </w:r>
      <w:r>
        <w:rPr>
          <w:lang w:val="en-GB"/>
        </w:rPr>
        <w:t>) for text</w:t>
      </w:r>
    </w:p>
    <w:p w14:paraId="348DBE18" w14:textId="06C42407" w:rsidR="002338C7" w:rsidRDefault="002338C7" w:rsidP="00393AD5">
      <w:pPr>
        <w:pStyle w:val="BodyTextIndent"/>
        <w:numPr>
          <w:ilvl w:val="0"/>
          <w:numId w:val="32"/>
        </w:numPr>
        <w:rPr>
          <w:lang w:val="en-GB"/>
        </w:rPr>
      </w:pPr>
      <w:r>
        <w:rPr>
          <w:lang w:val="en-GB"/>
        </w:rPr>
        <w:t>Set width and hight</w:t>
      </w:r>
    </w:p>
    <w:p w14:paraId="476C0EDF" w14:textId="77777777" w:rsidR="00393AD5" w:rsidRDefault="00393AD5" w:rsidP="00393AD5">
      <w:pPr>
        <w:pStyle w:val="BodyTextIndent"/>
        <w:numPr>
          <w:ilvl w:val="0"/>
          <w:numId w:val="32"/>
        </w:numPr>
        <w:rPr>
          <w:lang w:val="en-GB"/>
        </w:rPr>
      </w:pPr>
      <w:r>
        <w:rPr>
          <w:lang w:val="en-GB"/>
        </w:rPr>
        <w:t>Modern vs classic look (left vs right below)</w:t>
      </w:r>
    </w:p>
    <w:p w14:paraId="17835ED3" w14:textId="77777777" w:rsidR="00393AD5" w:rsidRDefault="00393AD5" w:rsidP="00393AD5">
      <w:pPr>
        <w:pStyle w:val="BodyTextIndent"/>
        <w:ind w:left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43C03F" wp14:editId="3332EC9B">
            <wp:simplePos x="0" y="0"/>
            <wp:positionH relativeFrom="column">
              <wp:posOffset>3492424</wp:posOffset>
            </wp:positionH>
            <wp:positionV relativeFrom="paragraph">
              <wp:posOffset>381407</wp:posOffset>
            </wp:positionV>
            <wp:extent cx="34747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434" y="21234"/>
                <wp:lineTo x="21434" y="0"/>
                <wp:lineTo x="0" y="0"/>
              </wp:wrapPolygon>
            </wp:wrapTight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560">
        <w:rPr>
          <w:lang w:val="en-GB"/>
        </w:rPr>
        <w:br/>
      </w:r>
      <w:r>
        <w:rPr>
          <w:noProof/>
        </w:rPr>
        <w:drawing>
          <wp:inline distT="0" distB="0" distL="0" distR="0" wp14:anchorId="43ABC73B" wp14:editId="300702DE">
            <wp:extent cx="3156565" cy="731520"/>
            <wp:effectExtent l="0" t="0" r="635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137" cy="7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804" w14:textId="77777777" w:rsidR="00393AD5" w:rsidRDefault="00393AD5" w:rsidP="00393AD5">
      <w:pPr>
        <w:pStyle w:val="BodyTextIndent"/>
        <w:ind w:left="0"/>
      </w:pPr>
      <w:r>
        <w:rPr>
          <w:noProof/>
        </w:rPr>
        <w:drawing>
          <wp:inline distT="0" distB="0" distL="0" distR="0" wp14:anchorId="1805CFB9" wp14:editId="31FEB437">
            <wp:extent cx="3052389" cy="965606"/>
            <wp:effectExtent l="0" t="0" r="0" b="635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462" cy="9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9CB" w14:textId="6CB62CE3" w:rsidR="00393AD5" w:rsidRDefault="00A45AFE" w:rsidP="00E2666F">
      <w:pPr>
        <w:pStyle w:val="BodyTextIndent"/>
        <w:numPr>
          <w:ilvl w:val="0"/>
          <w:numId w:val="31"/>
        </w:numPr>
      </w:pPr>
      <w:r>
        <w:t>A sandbox</w:t>
      </w:r>
      <w:r w:rsidR="00E5137E">
        <w:t>/</w:t>
      </w:r>
      <w:r w:rsidR="00E5137E" w:rsidRPr="00E5137E">
        <w:t xml:space="preserve"> WYSIWYG</w:t>
      </w:r>
      <w:r w:rsidR="00E5137E">
        <w:t xml:space="preserve"> page should be included. </w:t>
      </w:r>
      <w:r w:rsidR="009C77C3">
        <w:t xml:space="preserve">This should be a page where the user </w:t>
      </w:r>
      <w:r w:rsidR="002C067B">
        <w:t xml:space="preserve">visually can change the component and preview the changes. When </w:t>
      </w:r>
      <w:r w:rsidR="006D377E">
        <w:t xml:space="preserve">finished, the user can “copy code” and get </w:t>
      </w:r>
      <w:r w:rsidR="00B85769">
        <w:t xml:space="preserve">working </w:t>
      </w:r>
      <w:proofErr w:type="spellStart"/>
      <w:r w:rsidR="00B85769">
        <w:t>javascript</w:t>
      </w:r>
      <w:proofErr w:type="spellEnd"/>
      <w:r w:rsidR="00B85769">
        <w:t xml:space="preserve"> code that can be pasted into </w:t>
      </w:r>
      <w:proofErr w:type="spellStart"/>
      <w:r w:rsidR="00B85769">
        <w:t>webshop</w:t>
      </w:r>
      <w:proofErr w:type="spellEnd"/>
      <w:r w:rsidR="00B85769">
        <w:t>/parent</w:t>
      </w:r>
    </w:p>
    <w:p w14:paraId="23E4F3C8" w14:textId="1DA2F052" w:rsidR="004E21CA" w:rsidRDefault="008A7E1F" w:rsidP="00E2666F">
      <w:pPr>
        <w:pStyle w:val="BodyTextIndent"/>
        <w:numPr>
          <w:ilvl w:val="0"/>
          <w:numId w:val="31"/>
        </w:numPr>
      </w:pPr>
      <w:r>
        <w:t>The widget should ea</w:t>
      </w:r>
      <w:r w:rsidR="00C440BC">
        <w:t xml:space="preserve">sily be embedded in partners </w:t>
      </w:r>
      <w:proofErr w:type="spellStart"/>
      <w:r w:rsidR="00C440BC">
        <w:t>webshop</w:t>
      </w:r>
      <w:proofErr w:type="spellEnd"/>
      <w:r w:rsidR="00C440BC">
        <w:t xml:space="preserve"> regardless of the coding framework used</w:t>
      </w:r>
    </w:p>
    <w:p w14:paraId="15560D6C" w14:textId="214D9C50" w:rsidR="008B0936" w:rsidRDefault="008B0936" w:rsidP="00912801"/>
    <w:p w14:paraId="230F25D5" w14:textId="1DFDE39B" w:rsidR="00D646BE" w:rsidRPr="00C81925" w:rsidRDefault="00346B11" w:rsidP="00D646BE">
      <w:pPr>
        <w:pStyle w:val="Heading1"/>
        <w:framePr w:wrap="around"/>
      </w:pPr>
      <w:bookmarkStart w:id="7" w:name="_Toc71272631"/>
      <w:r>
        <w:t>High Level Solution</w:t>
      </w:r>
      <w:bookmarkEnd w:id="7"/>
    </w:p>
    <w:p w14:paraId="172B1F38" w14:textId="02E1795C" w:rsidR="00D646BE" w:rsidRPr="00C81925" w:rsidRDefault="00D646BE" w:rsidP="00D646BE">
      <w:pPr>
        <w:pStyle w:val="BodyTextIndent"/>
      </w:pPr>
    </w:p>
    <w:p w14:paraId="6AA960CE" w14:textId="0D381E19" w:rsidR="00BE730E" w:rsidRDefault="00C75E5D" w:rsidP="00522094">
      <w:pPr>
        <w:pStyle w:val="Heading2"/>
      </w:pPr>
      <w:bookmarkStart w:id="8" w:name="_Toc71272632"/>
      <w:r>
        <w:t>Changes</w:t>
      </w:r>
      <w:bookmarkEnd w:id="8"/>
    </w:p>
    <w:p w14:paraId="3CE762F9" w14:textId="77777777" w:rsidR="00C75E5D" w:rsidRPr="00C75E5D" w:rsidRDefault="00C75E5D" w:rsidP="00C75E5D">
      <w:pPr>
        <w:pStyle w:val="BodyTextIndent"/>
      </w:pPr>
    </w:p>
    <w:p w14:paraId="3E16D6B8" w14:textId="1A1D2D07" w:rsidR="00C75E5D" w:rsidRDefault="005C3408" w:rsidP="00C75E5D">
      <w:pPr>
        <w:pStyle w:val="Heading3"/>
      </w:pPr>
      <w:bookmarkStart w:id="9" w:name="_Toc71272633"/>
      <w:r>
        <w:t xml:space="preserve">Create </w:t>
      </w:r>
      <w:proofErr w:type="spellStart"/>
      <w:r>
        <w:t>stylable</w:t>
      </w:r>
      <w:proofErr w:type="spellEnd"/>
      <w:r w:rsidR="00D9419D">
        <w:t xml:space="preserve"> calculator</w:t>
      </w:r>
      <w:r>
        <w:t xml:space="preserve"> widget to be inserted in </w:t>
      </w:r>
      <w:proofErr w:type="spellStart"/>
      <w:r>
        <w:t>webshops</w:t>
      </w:r>
      <w:bookmarkEnd w:id="9"/>
      <w:proofErr w:type="spellEnd"/>
    </w:p>
    <w:p w14:paraId="25B73E1C" w14:textId="0C8B6D9F" w:rsidR="00D9419D" w:rsidRPr="00D9419D" w:rsidRDefault="00325382" w:rsidP="00F57529">
      <w:pPr>
        <w:pStyle w:val="ListParagraph"/>
        <w:numPr>
          <w:ilvl w:val="0"/>
          <w:numId w:val="33"/>
        </w:numPr>
      </w:pPr>
      <w:r w:rsidRPr="00D9419D">
        <w:rPr>
          <w:noProof/>
        </w:rPr>
        <w:drawing>
          <wp:anchor distT="0" distB="0" distL="114300" distR="114300" simplePos="0" relativeHeight="251669504" behindDoc="1" locked="0" layoutInCell="1" allowOverlap="1" wp14:anchorId="51213DF5" wp14:editId="0C413FFF">
            <wp:simplePos x="0" y="0"/>
            <wp:positionH relativeFrom="column">
              <wp:posOffset>3265755</wp:posOffset>
            </wp:positionH>
            <wp:positionV relativeFrom="paragraph">
              <wp:posOffset>261290</wp:posOffset>
            </wp:positionV>
            <wp:extent cx="3123590" cy="1020289"/>
            <wp:effectExtent l="0" t="0" r="635" b="8890"/>
            <wp:wrapTight wrapText="bothSides">
              <wp:wrapPolygon edited="0">
                <wp:start x="0" y="0"/>
                <wp:lineTo x="0" y="21385"/>
                <wp:lineTo x="21473" y="21385"/>
                <wp:lineTo x="21473" y="0"/>
                <wp:lineTo x="0" y="0"/>
              </wp:wrapPolygon>
            </wp:wrapTight>
            <wp:docPr id="2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792C561-A324-42EC-AB92-B4DF93D6B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792C561-A324-42EC-AB92-B4DF93D6BF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90" cy="102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9D">
        <w:t xml:space="preserve">A widget should be created </w:t>
      </w:r>
      <w:r>
        <w:t xml:space="preserve">where monthly amount is </w:t>
      </w:r>
      <w:r w:rsidR="00281DC8">
        <w:t>a dropdown with pre-calculated values</w:t>
      </w:r>
    </w:p>
    <w:p w14:paraId="78AAB336" w14:textId="5F12CB32" w:rsidR="005C3408" w:rsidRDefault="00325382" w:rsidP="005C3408">
      <w:r>
        <w:rPr>
          <w:noProof/>
        </w:rPr>
        <w:drawing>
          <wp:inline distT="0" distB="0" distL="0" distR="0" wp14:anchorId="249732C3" wp14:editId="176BB0F4">
            <wp:extent cx="2662732" cy="842340"/>
            <wp:effectExtent l="0" t="0" r="4445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052" cy="8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FE8" w14:textId="1CB85227" w:rsidR="00D9419D" w:rsidRPr="005C3408" w:rsidRDefault="00D9419D" w:rsidP="005C3408"/>
    <w:p w14:paraId="2F84820F" w14:textId="2A252EB1" w:rsidR="00BE730E" w:rsidRPr="00BE730E" w:rsidRDefault="00C44B38" w:rsidP="00F57529">
      <w:pPr>
        <w:pStyle w:val="BodyTextIndent"/>
        <w:numPr>
          <w:ilvl w:val="0"/>
          <w:numId w:val="33"/>
        </w:numPr>
      </w:pPr>
      <w:r>
        <w:t xml:space="preserve">The </w:t>
      </w:r>
      <w:r w:rsidR="00C22B2D">
        <w:t>POS client calculator should be</w:t>
      </w:r>
      <w:r>
        <w:t xml:space="preserve"> re-</w:t>
      </w:r>
      <w:r w:rsidR="00C22B2D">
        <w:t xml:space="preserve">used </w:t>
      </w:r>
      <w:r>
        <w:t>in order to maintain “one source of truth” when it comes to calculation and its business rules</w:t>
      </w:r>
    </w:p>
    <w:p w14:paraId="5FA7F7DA" w14:textId="6F7D02CE" w:rsidR="00BE730E" w:rsidRDefault="00BE730E" w:rsidP="00BE730E">
      <w:pPr>
        <w:pStyle w:val="BodyTextIndent"/>
      </w:pPr>
      <w:r>
        <w:rPr>
          <w:noProof/>
        </w:rPr>
        <w:drawing>
          <wp:inline distT="0" distB="0" distL="0" distR="0" wp14:anchorId="248B28AC" wp14:editId="09A415F8">
            <wp:extent cx="2873375" cy="2959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61E" w14:textId="0741AC83" w:rsidR="00C44B38" w:rsidRDefault="00C44B38" w:rsidP="00F57529">
      <w:pPr>
        <w:pStyle w:val="BodyTextIndent"/>
        <w:numPr>
          <w:ilvl w:val="0"/>
          <w:numId w:val="33"/>
        </w:numPr>
      </w:pPr>
      <w:r>
        <w:t xml:space="preserve">The new widget should be hosted as part of the POS solution in order to </w:t>
      </w:r>
      <w:r w:rsidR="00F57529">
        <w:t xml:space="preserve">avoid introducing new sites and </w:t>
      </w:r>
      <w:r w:rsidR="00A0700F">
        <w:t>setup</w:t>
      </w:r>
    </w:p>
    <w:p w14:paraId="7D83E4C5" w14:textId="2D4C17CA" w:rsidR="00A0700F" w:rsidRDefault="00695604" w:rsidP="00F57529">
      <w:pPr>
        <w:pStyle w:val="BodyTextIndent"/>
        <w:numPr>
          <w:ilvl w:val="0"/>
          <w:numId w:val="33"/>
        </w:numPr>
      </w:pPr>
      <w:r>
        <w:t xml:space="preserve">In version 1, there will only be one calculator with </w:t>
      </w:r>
      <w:r w:rsidR="006D42A6">
        <w:t>common conditions (interest and fees) for all partners/</w:t>
      </w:r>
      <w:proofErr w:type="spellStart"/>
      <w:r w:rsidR="006D42A6">
        <w:t>webshops</w:t>
      </w:r>
      <w:proofErr w:type="spellEnd"/>
    </w:p>
    <w:p w14:paraId="23986AD3" w14:textId="77777777" w:rsidR="008B0B88" w:rsidRDefault="008B0B88">
      <w:pPr>
        <w:spacing w:after="0"/>
        <w:rPr>
          <w:i/>
          <w:iCs/>
        </w:rPr>
      </w:pPr>
      <w:r>
        <w:br w:type="page"/>
      </w:r>
    </w:p>
    <w:p w14:paraId="7BE32C72" w14:textId="79FCC5DA" w:rsidR="00375FBA" w:rsidRDefault="00375FBA" w:rsidP="00375FBA">
      <w:pPr>
        <w:pStyle w:val="Heading3"/>
      </w:pPr>
      <w:bookmarkStart w:id="10" w:name="_Toc71272634"/>
      <w:r>
        <w:t xml:space="preserve">Create a </w:t>
      </w:r>
      <w:r w:rsidR="0033583D">
        <w:t>calculator preview page</w:t>
      </w:r>
      <w:bookmarkEnd w:id="10"/>
    </w:p>
    <w:p w14:paraId="713F2FF5" w14:textId="66FFE284" w:rsidR="008B0B88" w:rsidRPr="008B0B88" w:rsidRDefault="00E5237C" w:rsidP="008B0B88">
      <w:r>
        <w:t>Within the existing POS solution (for instance pos.scb.no/partner)</w:t>
      </w:r>
      <w:r w:rsidR="009A3F50">
        <w:t xml:space="preserve"> a </w:t>
      </w:r>
      <w:r w:rsidR="00A725EE">
        <w:t xml:space="preserve">preview of the calculator will be displayed. </w:t>
      </w:r>
      <w:r w:rsidR="00313D3C">
        <w:t xml:space="preserve">This will be </w:t>
      </w:r>
      <w:r w:rsidR="000C79A9">
        <w:t>publicly available, i.e. it will not be protected behind a login.</w:t>
      </w:r>
      <w:r w:rsidR="00313D3C">
        <w:t xml:space="preserve"> </w:t>
      </w:r>
      <w:r w:rsidR="000C79A9">
        <w:br/>
      </w:r>
      <w:r w:rsidR="000C79A9">
        <w:br/>
      </w:r>
      <w:r w:rsidR="00A725EE">
        <w:t>Next to the calc</w:t>
      </w:r>
      <w:r w:rsidR="00123F43">
        <w:t>ulator</w:t>
      </w:r>
      <w:r w:rsidR="00C152AF">
        <w:t>,</w:t>
      </w:r>
      <w:r w:rsidR="00123F43">
        <w:t xml:space="preserve"> a panel will be displayed where UI styles and layout can be changed</w:t>
      </w:r>
      <w:r w:rsidR="00E070A6">
        <w:t xml:space="preserve">. When the user is content with the layout changes the </w:t>
      </w:r>
      <w:proofErr w:type="spellStart"/>
      <w:r w:rsidR="00E070A6">
        <w:t>javascript</w:t>
      </w:r>
      <w:proofErr w:type="spellEnd"/>
      <w:r w:rsidR="00E070A6">
        <w:t xml:space="preserve"> code can be copied</w:t>
      </w:r>
      <w:r w:rsidR="00C152AF">
        <w:t xml:space="preserve"> and pasted into the </w:t>
      </w:r>
      <w:proofErr w:type="spellStart"/>
      <w:r w:rsidR="00C152AF">
        <w:t>webshop</w:t>
      </w:r>
      <w:proofErr w:type="spellEnd"/>
      <w:r w:rsidR="00C152AF">
        <w:t>/partner site</w:t>
      </w:r>
      <w:r w:rsidR="00E070A6">
        <w:t>.</w:t>
      </w:r>
    </w:p>
    <w:p w14:paraId="2204B0F5" w14:textId="14D1238E" w:rsidR="008B0B88" w:rsidRPr="008B0B88" w:rsidRDefault="008B0B88" w:rsidP="008B0B88">
      <w:r>
        <w:rPr>
          <w:noProof/>
        </w:rPr>
        <w:drawing>
          <wp:inline distT="0" distB="0" distL="0" distR="0" wp14:anchorId="364DAE2B" wp14:editId="6189AE9E">
            <wp:extent cx="4642730" cy="3188868"/>
            <wp:effectExtent l="0" t="0" r="5715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8400" cy="32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8B5" w14:textId="77777777" w:rsidR="000E4975" w:rsidRDefault="000E4975" w:rsidP="000E4975">
      <w:pPr>
        <w:pStyle w:val="Heading2"/>
      </w:pPr>
      <w:r>
        <w:t>Estimate</w:t>
      </w:r>
    </w:p>
    <w:tbl>
      <w:tblPr>
        <w:tblStyle w:val="LightGrid"/>
        <w:tblpPr w:leftFromText="141" w:rightFromText="141" w:vertAnchor="page" w:horzAnchor="margin" w:tblpY="9367"/>
        <w:tblW w:w="10782" w:type="dxa"/>
        <w:tblLook w:val="04A0" w:firstRow="1" w:lastRow="0" w:firstColumn="1" w:lastColumn="0" w:noHBand="0" w:noVBand="1"/>
      </w:tblPr>
      <w:tblGrid>
        <w:gridCol w:w="1975"/>
        <w:gridCol w:w="7403"/>
        <w:gridCol w:w="1404"/>
      </w:tblGrid>
      <w:tr w:rsidR="000E4975" w:rsidRPr="00C81925" w14:paraId="47219C6D" w14:textId="77777777" w:rsidTr="000E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0F587DC" w14:textId="77777777" w:rsidR="000E4975" w:rsidRPr="00C81925" w:rsidRDefault="000E4975" w:rsidP="000E4975">
            <w:pPr>
              <w:pStyle w:val="BodyTextIndent"/>
              <w:spacing w:after="0"/>
              <w:ind w:left="0"/>
            </w:pPr>
            <w:bookmarkStart w:id="11" w:name="_Toc71272636"/>
            <w:bookmarkStart w:id="12" w:name="_Hlk535491076"/>
            <w:r w:rsidRPr="00C81925">
              <w:t>System</w:t>
            </w:r>
          </w:p>
        </w:tc>
        <w:tc>
          <w:tcPr>
            <w:tcW w:w="7403" w:type="dxa"/>
          </w:tcPr>
          <w:p w14:paraId="4669EAD9" w14:textId="77777777" w:rsidR="000E4975" w:rsidRPr="00C81925" w:rsidRDefault="000E4975" w:rsidP="000E4975">
            <w:pPr>
              <w:pStyle w:val="BodyTextIndent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925">
              <w:t>Task</w:t>
            </w:r>
          </w:p>
        </w:tc>
        <w:tc>
          <w:tcPr>
            <w:tcW w:w="1404" w:type="dxa"/>
          </w:tcPr>
          <w:p w14:paraId="68635E32" w14:textId="77777777" w:rsidR="000E4975" w:rsidRPr="00C81925" w:rsidRDefault="000E4975" w:rsidP="000E4975">
            <w:pPr>
              <w:pStyle w:val="BodyTextIndent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925">
              <w:t>Estimate</w:t>
            </w:r>
          </w:p>
        </w:tc>
      </w:tr>
      <w:tr w:rsidR="000E4975" w:rsidRPr="00281FB4" w14:paraId="31AFFC30" w14:textId="77777777" w:rsidTr="000E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BF7C56" w14:textId="77777777" w:rsidR="000E4975" w:rsidRDefault="000E4975" w:rsidP="000E4975"/>
        </w:tc>
        <w:tc>
          <w:tcPr>
            <w:tcW w:w="7403" w:type="dxa"/>
          </w:tcPr>
          <w:p w14:paraId="5211C1AA" w14:textId="0126ED2C" w:rsidR="000E4975" w:rsidRDefault="00D07176" w:rsidP="000E49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pluggable widget component and host it along with POS</w:t>
            </w:r>
          </w:p>
        </w:tc>
        <w:tc>
          <w:tcPr>
            <w:tcW w:w="1404" w:type="dxa"/>
            <w:vAlign w:val="center"/>
          </w:tcPr>
          <w:p w14:paraId="0E3F691B" w14:textId="3A1D0488" w:rsidR="000E4975" w:rsidRPr="00F44F19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975" w:rsidRPr="00281FB4" w14:paraId="3DD36C01" w14:textId="77777777" w:rsidTr="000E4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6A8CF0" w14:textId="77777777" w:rsidR="000E4975" w:rsidRPr="000F0453" w:rsidRDefault="000E4975" w:rsidP="000E4975"/>
        </w:tc>
        <w:tc>
          <w:tcPr>
            <w:tcW w:w="7403" w:type="dxa"/>
          </w:tcPr>
          <w:p w14:paraId="5DADA24F" w14:textId="3C3119EC" w:rsidR="000E4975" w:rsidRDefault="00E63431" w:rsidP="000E497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Develop a web-app </w:t>
            </w:r>
            <w:r w:rsidR="000E2203">
              <w:t>as playground to show how the widget can be configured visually</w:t>
            </w:r>
            <w:r w:rsidR="001D76A0">
              <w:t xml:space="preserve"> and host it along with POS</w:t>
            </w:r>
          </w:p>
        </w:tc>
        <w:tc>
          <w:tcPr>
            <w:tcW w:w="1404" w:type="dxa"/>
            <w:vAlign w:val="center"/>
          </w:tcPr>
          <w:p w14:paraId="6938A9B5" w14:textId="06439ACB" w:rsidR="000E4975" w:rsidRPr="00F44F19" w:rsidRDefault="000E4975" w:rsidP="000E4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4975" w:rsidRPr="00281FB4" w14:paraId="23BEF79E" w14:textId="77777777" w:rsidTr="000E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B5BDFE" w14:textId="77777777" w:rsidR="000E4975" w:rsidRPr="000F0453" w:rsidRDefault="000E4975" w:rsidP="000E4975"/>
        </w:tc>
        <w:tc>
          <w:tcPr>
            <w:tcW w:w="7403" w:type="dxa"/>
          </w:tcPr>
          <w:p w14:paraId="16469B5C" w14:textId="77777777" w:rsidR="000E4975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A83">
              <w:rPr>
                <w:b/>
                <w:bCs/>
              </w:rPr>
              <w:t>Sum development</w:t>
            </w:r>
          </w:p>
        </w:tc>
        <w:tc>
          <w:tcPr>
            <w:tcW w:w="1404" w:type="dxa"/>
            <w:vAlign w:val="center"/>
          </w:tcPr>
          <w:p w14:paraId="2DC2C2FC" w14:textId="6A9618DD" w:rsidR="000E4975" w:rsidRPr="00F44F19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975" w:rsidRPr="00281FB4" w14:paraId="1D3D66F1" w14:textId="77777777" w:rsidTr="000E4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2E3978" w14:textId="77777777" w:rsidR="000E4975" w:rsidRPr="000F0453" w:rsidRDefault="000E4975" w:rsidP="000E4975"/>
        </w:tc>
        <w:tc>
          <w:tcPr>
            <w:tcW w:w="7403" w:type="dxa"/>
          </w:tcPr>
          <w:p w14:paraId="385F9EF7" w14:textId="77777777" w:rsidR="000E4975" w:rsidRPr="00773A83" w:rsidRDefault="000E4975" w:rsidP="000E4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vAlign w:val="center"/>
          </w:tcPr>
          <w:p w14:paraId="476232A3" w14:textId="1B44BC31" w:rsidR="000E4975" w:rsidRPr="00F44F19" w:rsidRDefault="000E4975" w:rsidP="000E4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4975" w:rsidRPr="00281FB4" w14:paraId="31E8AA50" w14:textId="77777777" w:rsidTr="000E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7A2E937" w14:textId="77777777" w:rsidR="000E4975" w:rsidRPr="000F0453" w:rsidRDefault="000E4975" w:rsidP="000E4975"/>
        </w:tc>
        <w:tc>
          <w:tcPr>
            <w:tcW w:w="7403" w:type="dxa"/>
          </w:tcPr>
          <w:p w14:paraId="1FD9CFA1" w14:textId="77777777" w:rsidR="000E4975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404" w:type="dxa"/>
            <w:vAlign w:val="center"/>
          </w:tcPr>
          <w:p w14:paraId="01FF1581" w14:textId="36F4587A" w:rsidR="000E4975" w:rsidRPr="00F44F19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975" w:rsidRPr="00C81925" w14:paraId="0E647BF6" w14:textId="77777777" w:rsidTr="000E4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DA9E99" w14:textId="77777777" w:rsidR="000E4975" w:rsidRPr="00F44F19" w:rsidRDefault="000E4975" w:rsidP="000E4975"/>
        </w:tc>
        <w:tc>
          <w:tcPr>
            <w:tcW w:w="7403" w:type="dxa"/>
          </w:tcPr>
          <w:p w14:paraId="6F0334C3" w14:textId="77777777" w:rsidR="000E4975" w:rsidRPr="00F44F19" w:rsidRDefault="000E4975" w:rsidP="000E4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81925">
              <w:t>Documentation</w:t>
            </w:r>
          </w:p>
        </w:tc>
        <w:tc>
          <w:tcPr>
            <w:tcW w:w="1404" w:type="dxa"/>
            <w:vAlign w:val="center"/>
          </w:tcPr>
          <w:p w14:paraId="690C0D3B" w14:textId="56F30E65" w:rsidR="000E4975" w:rsidRPr="00F44F19" w:rsidRDefault="000E4975" w:rsidP="000E4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4975" w:rsidRPr="00C81925" w14:paraId="5F17C6ED" w14:textId="77777777" w:rsidTr="000E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F43295" w14:textId="77777777" w:rsidR="000E4975" w:rsidRPr="00F44F19" w:rsidRDefault="000E4975" w:rsidP="000E4975"/>
        </w:tc>
        <w:tc>
          <w:tcPr>
            <w:tcW w:w="7403" w:type="dxa"/>
          </w:tcPr>
          <w:p w14:paraId="16454A09" w14:textId="77777777" w:rsidR="000E4975" w:rsidRPr="00BE730E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</w:rPr>
            </w:pPr>
            <w:r w:rsidRPr="00BE730E">
              <w:rPr>
                <w:b/>
                <w:bCs/>
              </w:rPr>
              <w:t>Total</w:t>
            </w:r>
          </w:p>
        </w:tc>
        <w:tc>
          <w:tcPr>
            <w:tcW w:w="1404" w:type="dxa"/>
            <w:vAlign w:val="center"/>
          </w:tcPr>
          <w:p w14:paraId="7B35EED1" w14:textId="457C1CDF" w:rsidR="000E4975" w:rsidRPr="00F44F19" w:rsidRDefault="000E4975" w:rsidP="000E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1"/>
    </w:tbl>
    <w:p w14:paraId="3D715161" w14:textId="741E60AE" w:rsidR="00BE71BB" w:rsidRDefault="00BE71BB">
      <w:pPr>
        <w:spacing w:after="0"/>
        <w:rPr>
          <w:rFonts w:ascii="Arial" w:hAnsi="Arial"/>
          <w:b/>
          <w:sz w:val="32"/>
          <w:szCs w:val="32"/>
        </w:rPr>
      </w:pPr>
    </w:p>
    <w:bookmarkEnd w:id="12"/>
    <w:p w14:paraId="1C47CD15" w14:textId="31152FC4" w:rsidR="009654A3" w:rsidRDefault="009654A3" w:rsidP="009654A3">
      <w:pPr>
        <w:spacing w:after="0"/>
      </w:pPr>
    </w:p>
    <w:p w14:paraId="3E643790" w14:textId="1A1BFE41" w:rsidR="00346B11" w:rsidRDefault="00346B11" w:rsidP="00346B11">
      <w:pPr>
        <w:pStyle w:val="Heading1"/>
        <w:framePr w:wrap="around"/>
      </w:pPr>
      <w:bookmarkStart w:id="13" w:name="_Toc71272637"/>
      <w:r>
        <w:t>Testing</w:t>
      </w:r>
      <w:bookmarkEnd w:id="13"/>
    </w:p>
    <w:p w14:paraId="292C51D6" w14:textId="0E4A820B" w:rsidR="00346B11" w:rsidRDefault="00346B11">
      <w:pPr>
        <w:spacing w:after="0"/>
      </w:pPr>
    </w:p>
    <w:p w14:paraId="0CC4171A" w14:textId="35B7E9C0" w:rsidR="00346B11" w:rsidRDefault="00346B11" w:rsidP="00346B11">
      <w:pPr>
        <w:pStyle w:val="Heading2"/>
      </w:pPr>
      <w:bookmarkStart w:id="14" w:name="_Toc71272638"/>
      <w:r>
        <w:t>Test description</w:t>
      </w:r>
      <w:bookmarkEnd w:id="14"/>
    </w:p>
    <w:p w14:paraId="70EAB67F" w14:textId="12CB6CE3" w:rsidR="00340290" w:rsidRDefault="00340290">
      <w:pPr>
        <w:spacing w:after="0"/>
      </w:pPr>
    </w:p>
    <w:p w14:paraId="514B64D7" w14:textId="44895D3A" w:rsidR="00D6197D" w:rsidRDefault="00D6197D" w:rsidP="005A5188">
      <w:pPr>
        <w:pStyle w:val="ListParagraph"/>
        <w:numPr>
          <w:ilvl w:val="0"/>
          <w:numId w:val="3"/>
        </w:numPr>
        <w:spacing w:after="0"/>
      </w:pPr>
      <w:r>
        <w:t>Test calculator</w:t>
      </w:r>
      <w:r w:rsidR="004E3E23">
        <w:t xml:space="preserve"> </w:t>
      </w:r>
      <w:r w:rsidR="005A5188">
        <w:t>according to business rules provided by Santander</w:t>
      </w:r>
    </w:p>
    <w:p w14:paraId="432CAA5B" w14:textId="77777777" w:rsidR="005A5188" w:rsidRPr="00340290" w:rsidRDefault="005A5188" w:rsidP="001731BB">
      <w:pPr>
        <w:spacing w:after="0"/>
      </w:pPr>
    </w:p>
    <w:sectPr w:rsidR="005A5188" w:rsidRPr="00340290" w:rsidSect="00616F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92B0F" w14:textId="77777777" w:rsidR="00F04B5C" w:rsidRDefault="00F04B5C">
      <w:r>
        <w:separator/>
      </w:r>
    </w:p>
  </w:endnote>
  <w:endnote w:type="continuationSeparator" w:id="0">
    <w:p w14:paraId="4090B30C" w14:textId="77777777" w:rsidR="00F04B5C" w:rsidRDefault="00F0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64EC" w14:textId="77777777" w:rsidR="00927C8A" w:rsidRDefault="00927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22A0D" w14:textId="0A59E1E0" w:rsidR="000B513E" w:rsidRDefault="000B513E">
    <w:pPr>
      <w:pStyle w:val="Footer"/>
      <w:tabs>
        <w:tab w:val="clear" w:pos="9072"/>
        <w:tab w:val="right" w:pos="10800"/>
      </w:tabs>
    </w:pPr>
    <w:r>
      <w:t>Version 1.1</w:t>
    </w:r>
    <w:r>
      <w:tab/>
      <w:t>Internal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C1429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C1429">
      <w:rPr>
        <w:noProof/>
      </w:rPr>
      <w:t>37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94137" w14:textId="77777777" w:rsidR="00927C8A" w:rsidRDefault="00927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6E62" w14:textId="77777777" w:rsidR="00F04B5C" w:rsidRDefault="00F04B5C">
      <w:r>
        <w:separator/>
      </w:r>
    </w:p>
  </w:footnote>
  <w:footnote w:type="continuationSeparator" w:id="0">
    <w:p w14:paraId="70E8C8D2" w14:textId="77777777" w:rsidR="00F04B5C" w:rsidRDefault="00F0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E671E" w14:textId="77777777" w:rsidR="00927C8A" w:rsidRDefault="00927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674F" w14:textId="6D5CFAAB" w:rsidR="000B513E" w:rsidRDefault="000B513E">
    <w:pPr>
      <w:pStyle w:val="Header"/>
      <w:tabs>
        <w:tab w:val="clear" w:pos="9072"/>
        <w:tab w:val="right" w:pos="10800"/>
      </w:tabs>
      <w:rPr>
        <w:u w:val="single"/>
      </w:rPr>
    </w:pPr>
    <w:r>
      <w:rPr>
        <w:u w:val="single"/>
      </w:rPr>
      <w:t>Santander Consumer Bank</w:t>
    </w:r>
    <w:r>
      <w:rPr>
        <w:u w:val="single"/>
      </w:rPr>
      <w:tab/>
    </w:r>
    <w:r>
      <w:rPr>
        <w:u w:val="single"/>
      </w:rPr>
      <w:tab/>
    </w:r>
    <w:r w:rsidR="00DB3C68">
      <w:rPr>
        <w:u w:val="single"/>
      </w:rPr>
      <w:t>Calculator Widget</w:t>
    </w:r>
  </w:p>
  <w:p w14:paraId="3DCBED66" w14:textId="77777777" w:rsidR="000B513E" w:rsidRDefault="000B513E">
    <w:pPr>
      <w:pStyle w:val="Header"/>
      <w:tabs>
        <w:tab w:val="clear" w:pos="9072"/>
        <w:tab w:val="right" w:pos="10800"/>
      </w:tabs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372EC" w14:textId="77777777" w:rsidR="00927C8A" w:rsidRDefault="00927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30BA"/>
    <w:multiLevelType w:val="hybridMultilevel"/>
    <w:tmpl w:val="1FAEDD5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DD3323"/>
    <w:multiLevelType w:val="hybridMultilevel"/>
    <w:tmpl w:val="F8F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801"/>
    <w:multiLevelType w:val="hybridMultilevel"/>
    <w:tmpl w:val="2254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059F"/>
    <w:multiLevelType w:val="hybridMultilevel"/>
    <w:tmpl w:val="A61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156A5"/>
    <w:multiLevelType w:val="hybridMultilevel"/>
    <w:tmpl w:val="7760F95C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1422228F"/>
    <w:multiLevelType w:val="hybridMultilevel"/>
    <w:tmpl w:val="213E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5F96"/>
    <w:multiLevelType w:val="hybridMultilevel"/>
    <w:tmpl w:val="9058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2F56"/>
    <w:multiLevelType w:val="hybridMultilevel"/>
    <w:tmpl w:val="640A6140"/>
    <w:lvl w:ilvl="0" w:tplc="064CCCB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6A7E"/>
    <w:multiLevelType w:val="hybridMultilevel"/>
    <w:tmpl w:val="6CDC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869D8"/>
    <w:multiLevelType w:val="hybridMultilevel"/>
    <w:tmpl w:val="C624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5AFB"/>
    <w:multiLevelType w:val="hybridMultilevel"/>
    <w:tmpl w:val="6DF0FF66"/>
    <w:lvl w:ilvl="0" w:tplc="03A40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01A72"/>
    <w:multiLevelType w:val="multilevel"/>
    <w:tmpl w:val="6CD6B160"/>
    <w:lvl w:ilvl="0">
      <w:start w:val="1"/>
      <w:numFmt w:val="decimal"/>
      <w:pStyle w:val="Heading1"/>
      <w:lvlText w:val="%1"/>
      <w:lvlJc w:val="left"/>
      <w:pPr>
        <w:ind w:left="1331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6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0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880"/>
      </w:pPr>
      <w:rPr>
        <w:rFonts w:hint="default"/>
      </w:rPr>
    </w:lvl>
  </w:abstractNum>
  <w:abstractNum w:abstractNumId="12" w15:restartNumberingAfterBreak="0">
    <w:nsid w:val="1CDB397B"/>
    <w:multiLevelType w:val="hybridMultilevel"/>
    <w:tmpl w:val="DD3A7392"/>
    <w:lvl w:ilvl="0" w:tplc="0D9A0D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17525"/>
    <w:multiLevelType w:val="hybridMultilevel"/>
    <w:tmpl w:val="CCAE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17645"/>
    <w:multiLevelType w:val="hybridMultilevel"/>
    <w:tmpl w:val="29C6E71A"/>
    <w:lvl w:ilvl="0" w:tplc="554243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1750"/>
    <w:multiLevelType w:val="hybridMultilevel"/>
    <w:tmpl w:val="03DE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00C75"/>
    <w:multiLevelType w:val="hybridMultilevel"/>
    <w:tmpl w:val="B1FEF3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80489"/>
    <w:multiLevelType w:val="hybridMultilevel"/>
    <w:tmpl w:val="70DA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87D1A"/>
    <w:multiLevelType w:val="hybridMultilevel"/>
    <w:tmpl w:val="9F0A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E18CB"/>
    <w:multiLevelType w:val="hybridMultilevel"/>
    <w:tmpl w:val="A16EA10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EC7D36"/>
    <w:multiLevelType w:val="multilevel"/>
    <w:tmpl w:val="08C6F254"/>
    <w:lvl w:ilvl="0">
      <w:start w:val="1"/>
      <w:numFmt w:val="decimal"/>
      <w:pStyle w:val="TOC1-GEInsipira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OC2-GEInspira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3240" w:hanging="360"/>
      </w:pPr>
      <w:rPr>
        <w:rFonts w:hint="default"/>
      </w:rPr>
    </w:lvl>
  </w:abstractNum>
  <w:abstractNum w:abstractNumId="21" w15:restartNumberingAfterBreak="0">
    <w:nsid w:val="4E0C75CE"/>
    <w:multiLevelType w:val="hybridMultilevel"/>
    <w:tmpl w:val="575A98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19F"/>
    <w:multiLevelType w:val="hybridMultilevel"/>
    <w:tmpl w:val="977A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16E3"/>
    <w:multiLevelType w:val="hybridMultilevel"/>
    <w:tmpl w:val="723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22B19"/>
    <w:multiLevelType w:val="hybridMultilevel"/>
    <w:tmpl w:val="53FA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24251"/>
    <w:multiLevelType w:val="hybridMultilevel"/>
    <w:tmpl w:val="99D8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245A9"/>
    <w:multiLevelType w:val="hybridMultilevel"/>
    <w:tmpl w:val="FEFA4B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00695"/>
    <w:multiLevelType w:val="hybridMultilevel"/>
    <w:tmpl w:val="1EF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27EE1"/>
    <w:multiLevelType w:val="hybridMultilevel"/>
    <w:tmpl w:val="B4DA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12074"/>
    <w:multiLevelType w:val="hybridMultilevel"/>
    <w:tmpl w:val="B1C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E671B"/>
    <w:multiLevelType w:val="hybridMultilevel"/>
    <w:tmpl w:val="6E2A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E2F92"/>
    <w:multiLevelType w:val="hybridMultilevel"/>
    <w:tmpl w:val="3C64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3"/>
  </w:num>
  <w:num w:numId="5">
    <w:abstractNumId w:val="31"/>
  </w:num>
  <w:num w:numId="6">
    <w:abstractNumId w:val="22"/>
  </w:num>
  <w:num w:numId="7">
    <w:abstractNumId w:val="9"/>
  </w:num>
  <w:num w:numId="8">
    <w:abstractNumId w:val="23"/>
  </w:num>
  <w:num w:numId="9">
    <w:abstractNumId w:val="29"/>
  </w:num>
  <w:num w:numId="10">
    <w:abstractNumId w:val="6"/>
  </w:num>
  <w:num w:numId="11">
    <w:abstractNumId w:val="2"/>
  </w:num>
  <w:num w:numId="12">
    <w:abstractNumId w:val="24"/>
  </w:num>
  <w:num w:numId="13">
    <w:abstractNumId w:val="25"/>
  </w:num>
  <w:num w:numId="14">
    <w:abstractNumId w:val="14"/>
  </w:num>
  <w:num w:numId="15">
    <w:abstractNumId w:val="7"/>
  </w:num>
  <w:num w:numId="16">
    <w:abstractNumId w:val="17"/>
  </w:num>
  <w:num w:numId="17">
    <w:abstractNumId w:val="4"/>
  </w:num>
  <w:num w:numId="18">
    <w:abstractNumId w:val="5"/>
  </w:num>
  <w:num w:numId="19">
    <w:abstractNumId w:val="15"/>
  </w:num>
  <w:num w:numId="20">
    <w:abstractNumId w:val="18"/>
  </w:num>
  <w:num w:numId="21">
    <w:abstractNumId w:val="28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3"/>
  </w:num>
  <w:num w:numId="25">
    <w:abstractNumId w:val="0"/>
  </w:num>
  <w:num w:numId="26">
    <w:abstractNumId w:val="8"/>
  </w:num>
  <w:num w:numId="27">
    <w:abstractNumId w:val="10"/>
  </w:num>
  <w:num w:numId="28">
    <w:abstractNumId w:val="30"/>
  </w:num>
  <w:num w:numId="29">
    <w:abstractNumId w:val="12"/>
  </w:num>
  <w:num w:numId="30">
    <w:abstractNumId w:val="16"/>
  </w:num>
  <w:num w:numId="31">
    <w:abstractNumId w:val="21"/>
  </w:num>
  <w:num w:numId="32">
    <w:abstractNumId w:val="19"/>
  </w:num>
  <w:num w:numId="3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b-NO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>
      <o:colormru v:ext="edit" colors="#66f,#ddd,#5173b6,#cd35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9F"/>
    <w:rsid w:val="000007FD"/>
    <w:rsid w:val="00007A23"/>
    <w:rsid w:val="00011100"/>
    <w:rsid w:val="00011B0B"/>
    <w:rsid w:val="0001457C"/>
    <w:rsid w:val="00014B0B"/>
    <w:rsid w:val="00017819"/>
    <w:rsid w:val="000306E9"/>
    <w:rsid w:val="00032FB5"/>
    <w:rsid w:val="00036FC9"/>
    <w:rsid w:val="0004210A"/>
    <w:rsid w:val="0004212E"/>
    <w:rsid w:val="00045C08"/>
    <w:rsid w:val="00045C78"/>
    <w:rsid w:val="000470E4"/>
    <w:rsid w:val="00056F67"/>
    <w:rsid w:val="00057ED5"/>
    <w:rsid w:val="00064991"/>
    <w:rsid w:val="000656C2"/>
    <w:rsid w:val="00070A7B"/>
    <w:rsid w:val="00070DBB"/>
    <w:rsid w:val="00073FB1"/>
    <w:rsid w:val="00085ED9"/>
    <w:rsid w:val="000871B0"/>
    <w:rsid w:val="00091A7B"/>
    <w:rsid w:val="00092354"/>
    <w:rsid w:val="00094196"/>
    <w:rsid w:val="0009522F"/>
    <w:rsid w:val="0009575B"/>
    <w:rsid w:val="00096D3D"/>
    <w:rsid w:val="000A0BB4"/>
    <w:rsid w:val="000A1C28"/>
    <w:rsid w:val="000A325B"/>
    <w:rsid w:val="000B09D6"/>
    <w:rsid w:val="000B3E40"/>
    <w:rsid w:val="000B513E"/>
    <w:rsid w:val="000B658E"/>
    <w:rsid w:val="000C2AD3"/>
    <w:rsid w:val="000C49FA"/>
    <w:rsid w:val="000C79A9"/>
    <w:rsid w:val="000D57CD"/>
    <w:rsid w:val="000E2203"/>
    <w:rsid w:val="000E2C7B"/>
    <w:rsid w:val="000E31CB"/>
    <w:rsid w:val="000E4560"/>
    <w:rsid w:val="000E46B5"/>
    <w:rsid w:val="000E4975"/>
    <w:rsid w:val="000E54CE"/>
    <w:rsid w:val="000F0453"/>
    <w:rsid w:val="000F658D"/>
    <w:rsid w:val="000F71F5"/>
    <w:rsid w:val="000F78B5"/>
    <w:rsid w:val="000F7C86"/>
    <w:rsid w:val="000F7D56"/>
    <w:rsid w:val="0010762B"/>
    <w:rsid w:val="0011546C"/>
    <w:rsid w:val="001160A9"/>
    <w:rsid w:val="00116185"/>
    <w:rsid w:val="00117679"/>
    <w:rsid w:val="00117EDD"/>
    <w:rsid w:val="00120991"/>
    <w:rsid w:val="00122AF9"/>
    <w:rsid w:val="00123F43"/>
    <w:rsid w:val="00124631"/>
    <w:rsid w:val="00124DB8"/>
    <w:rsid w:val="00130CA6"/>
    <w:rsid w:val="00133DAA"/>
    <w:rsid w:val="00136C90"/>
    <w:rsid w:val="00137EF7"/>
    <w:rsid w:val="001421CA"/>
    <w:rsid w:val="00152296"/>
    <w:rsid w:val="0015335C"/>
    <w:rsid w:val="00155DB4"/>
    <w:rsid w:val="001564E8"/>
    <w:rsid w:val="00163678"/>
    <w:rsid w:val="00165F63"/>
    <w:rsid w:val="001731BB"/>
    <w:rsid w:val="00175C8E"/>
    <w:rsid w:val="00177320"/>
    <w:rsid w:val="00182526"/>
    <w:rsid w:val="0018311D"/>
    <w:rsid w:val="00183B79"/>
    <w:rsid w:val="00184FA6"/>
    <w:rsid w:val="00185501"/>
    <w:rsid w:val="001936DC"/>
    <w:rsid w:val="001A28BB"/>
    <w:rsid w:val="001B2915"/>
    <w:rsid w:val="001B330F"/>
    <w:rsid w:val="001B4166"/>
    <w:rsid w:val="001B47E2"/>
    <w:rsid w:val="001B4C82"/>
    <w:rsid w:val="001B51B6"/>
    <w:rsid w:val="001C2AFF"/>
    <w:rsid w:val="001C3363"/>
    <w:rsid w:val="001C3755"/>
    <w:rsid w:val="001C511C"/>
    <w:rsid w:val="001D2AEC"/>
    <w:rsid w:val="001D2B00"/>
    <w:rsid w:val="001D624D"/>
    <w:rsid w:val="001D76A0"/>
    <w:rsid w:val="001E2455"/>
    <w:rsid w:val="001E3DE9"/>
    <w:rsid w:val="001E5CB5"/>
    <w:rsid w:val="001E6A22"/>
    <w:rsid w:val="001F0C34"/>
    <w:rsid w:val="001F279E"/>
    <w:rsid w:val="001F710C"/>
    <w:rsid w:val="00203893"/>
    <w:rsid w:val="0020415E"/>
    <w:rsid w:val="00206E3D"/>
    <w:rsid w:val="00210A46"/>
    <w:rsid w:val="002123EA"/>
    <w:rsid w:val="002154B4"/>
    <w:rsid w:val="00215ECF"/>
    <w:rsid w:val="00220E8B"/>
    <w:rsid w:val="0022682A"/>
    <w:rsid w:val="002338C7"/>
    <w:rsid w:val="0024319B"/>
    <w:rsid w:val="00243B8C"/>
    <w:rsid w:val="002510E2"/>
    <w:rsid w:val="00251CD4"/>
    <w:rsid w:val="00252170"/>
    <w:rsid w:val="00253D78"/>
    <w:rsid w:val="00256C12"/>
    <w:rsid w:val="00264EA5"/>
    <w:rsid w:val="002650E5"/>
    <w:rsid w:val="00265F0B"/>
    <w:rsid w:val="00266AE6"/>
    <w:rsid w:val="00267497"/>
    <w:rsid w:val="00267F5E"/>
    <w:rsid w:val="0027272C"/>
    <w:rsid w:val="00273995"/>
    <w:rsid w:val="002813ED"/>
    <w:rsid w:val="00281C1E"/>
    <w:rsid w:val="00281DC8"/>
    <w:rsid w:val="00283D9F"/>
    <w:rsid w:val="00293EC9"/>
    <w:rsid w:val="00295A55"/>
    <w:rsid w:val="00296154"/>
    <w:rsid w:val="00296D61"/>
    <w:rsid w:val="00297A4F"/>
    <w:rsid w:val="002A5994"/>
    <w:rsid w:val="002B0E39"/>
    <w:rsid w:val="002B53E5"/>
    <w:rsid w:val="002B582B"/>
    <w:rsid w:val="002B6EF3"/>
    <w:rsid w:val="002B705B"/>
    <w:rsid w:val="002B79FC"/>
    <w:rsid w:val="002C067B"/>
    <w:rsid w:val="002C1F21"/>
    <w:rsid w:val="002C3C9C"/>
    <w:rsid w:val="002C4B96"/>
    <w:rsid w:val="002C625B"/>
    <w:rsid w:val="002C6C60"/>
    <w:rsid w:val="002C7E2B"/>
    <w:rsid w:val="002D0BC5"/>
    <w:rsid w:val="002D323C"/>
    <w:rsid w:val="002E0AC3"/>
    <w:rsid w:val="002E678B"/>
    <w:rsid w:val="002E7A1C"/>
    <w:rsid w:val="002F187E"/>
    <w:rsid w:val="002F3172"/>
    <w:rsid w:val="002F4C55"/>
    <w:rsid w:val="002F6052"/>
    <w:rsid w:val="002F6E62"/>
    <w:rsid w:val="002F7764"/>
    <w:rsid w:val="00300F79"/>
    <w:rsid w:val="0030220D"/>
    <w:rsid w:val="00306A6A"/>
    <w:rsid w:val="00307A5F"/>
    <w:rsid w:val="00307B9F"/>
    <w:rsid w:val="00310717"/>
    <w:rsid w:val="00311B8B"/>
    <w:rsid w:val="00312C47"/>
    <w:rsid w:val="00313D3C"/>
    <w:rsid w:val="00316701"/>
    <w:rsid w:val="00321DA4"/>
    <w:rsid w:val="0032371B"/>
    <w:rsid w:val="00323AF9"/>
    <w:rsid w:val="00323EBB"/>
    <w:rsid w:val="00324651"/>
    <w:rsid w:val="00325382"/>
    <w:rsid w:val="0033583D"/>
    <w:rsid w:val="00335C96"/>
    <w:rsid w:val="00340290"/>
    <w:rsid w:val="00344756"/>
    <w:rsid w:val="00345422"/>
    <w:rsid w:val="00346B11"/>
    <w:rsid w:val="00347461"/>
    <w:rsid w:val="003576A0"/>
    <w:rsid w:val="0037143B"/>
    <w:rsid w:val="00373065"/>
    <w:rsid w:val="00373F0F"/>
    <w:rsid w:val="00375FBA"/>
    <w:rsid w:val="0037687D"/>
    <w:rsid w:val="003778AD"/>
    <w:rsid w:val="00387553"/>
    <w:rsid w:val="00392281"/>
    <w:rsid w:val="00393AD5"/>
    <w:rsid w:val="00394C4F"/>
    <w:rsid w:val="00397D07"/>
    <w:rsid w:val="003A0DD8"/>
    <w:rsid w:val="003A0F2C"/>
    <w:rsid w:val="003A3A29"/>
    <w:rsid w:val="003A4A9E"/>
    <w:rsid w:val="003A4B01"/>
    <w:rsid w:val="003A522F"/>
    <w:rsid w:val="003B3BC0"/>
    <w:rsid w:val="003B5FC6"/>
    <w:rsid w:val="003B645F"/>
    <w:rsid w:val="003B718C"/>
    <w:rsid w:val="003C282F"/>
    <w:rsid w:val="003C2BA9"/>
    <w:rsid w:val="003C708D"/>
    <w:rsid w:val="003D4AE7"/>
    <w:rsid w:val="003D594D"/>
    <w:rsid w:val="003E0045"/>
    <w:rsid w:val="003E6579"/>
    <w:rsid w:val="003E733F"/>
    <w:rsid w:val="003F1FDF"/>
    <w:rsid w:val="003F2CC1"/>
    <w:rsid w:val="003F3292"/>
    <w:rsid w:val="003F4841"/>
    <w:rsid w:val="003F782F"/>
    <w:rsid w:val="004035CD"/>
    <w:rsid w:val="0040630E"/>
    <w:rsid w:val="00407A16"/>
    <w:rsid w:val="004127FD"/>
    <w:rsid w:val="004146AA"/>
    <w:rsid w:val="004158A8"/>
    <w:rsid w:val="00422EF3"/>
    <w:rsid w:val="00425FC6"/>
    <w:rsid w:val="00426277"/>
    <w:rsid w:val="00427E08"/>
    <w:rsid w:val="004301CE"/>
    <w:rsid w:val="00433F5C"/>
    <w:rsid w:val="0043668E"/>
    <w:rsid w:val="004431C7"/>
    <w:rsid w:val="00454F73"/>
    <w:rsid w:val="00457FFD"/>
    <w:rsid w:val="00460C0A"/>
    <w:rsid w:val="00463B8F"/>
    <w:rsid w:val="00471DF2"/>
    <w:rsid w:val="004729B0"/>
    <w:rsid w:val="00475A34"/>
    <w:rsid w:val="004818FA"/>
    <w:rsid w:val="00492AA6"/>
    <w:rsid w:val="00493DFC"/>
    <w:rsid w:val="00496571"/>
    <w:rsid w:val="00497CF9"/>
    <w:rsid w:val="004A0ED9"/>
    <w:rsid w:val="004A35F3"/>
    <w:rsid w:val="004A374B"/>
    <w:rsid w:val="004A3FC7"/>
    <w:rsid w:val="004A5C11"/>
    <w:rsid w:val="004B2133"/>
    <w:rsid w:val="004B3082"/>
    <w:rsid w:val="004B37B8"/>
    <w:rsid w:val="004B6237"/>
    <w:rsid w:val="004C0D16"/>
    <w:rsid w:val="004C199B"/>
    <w:rsid w:val="004C4EB4"/>
    <w:rsid w:val="004D399B"/>
    <w:rsid w:val="004D6DDC"/>
    <w:rsid w:val="004D6E3F"/>
    <w:rsid w:val="004E0737"/>
    <w:rsid w:val="004E10BA"/>
    <w:rsid w:val="004E21CA"/>
    <w:rsid w:val="004E3E23"/>
    <w:rsid w:val="004F2A5F"/>
    <w:rsid w:val="004F74E4"/>
    <w:rsid w:val="00500098"/>
    <w:rsid w:val="00503EA3"/>
    <w:rsid w:val="00506272"/>
    <w:rsid w:val="00507A6C"/>
    <w:rsid w:val="00512EBB"/>
    <w:rsid w:val="0051319F"/>
    <w:rsid w:val="00522094"/>
    <w:rsid w:val="0053256E"/>
    <w:rsid w:val="00536317"/>
    <w:rsid w:val="005377BF"/>
    <w:rsid w:val="00541560"/>
    <w:rsid w:val="00552B63"/>
    <w:rsid w:val="0055432C"/>
    <w:rsid w:val="0056151D"/>
    <w:rsid w:val="00561A7B"/>
    <w:rsid w:val="005628FB"/>
    <w:rsid w:val="005631A8"/>
    <w:rsid w:val="00570F8C"/>
    <w:rsid w:val="00571203"/>
    <w:rsid w:val="005720D9"/>
    <w:rsid w:val="005771D3"/>
    <w:rsid w:val="0057741D"/>
    <w:rsid w:val="00582217"/>
    <w:rsid w:val="00583DFE"/>
    <w:rsid w:val="00586311"/>
    <w:rsid w:val="0059494E"/>
    <w:rsid w:val="00596F22"/>
    <w:rsid w:val="005A24BD"/>
    <w:rsid w:val="005A4128"/>
    <w:rsid w:val="005A5188"/>
    <w:rsid w:val="005B0545"/>
    <w:rsid w:val="005B5DBD"/>
    <w:rsid w:val="005B5F61"/>
    <w:rsid w:val="005B7CD7"/>
    <w:rsid w:val="005C09E5"/>
    <w:rsid w:val="005C3408"/>
    <w:rsid w:val="005C7B34"/>
    <w:rsid w:val="005D400A"/>
    <w:rsid w:val="005D78C7"/>
    <w:rsid w:val="005E3DFF"/>
    <w:rsid w:val="005F0B86"/>
    <w:rsid w:val="005F3B7E"/>
    <w:rsid w:val="005F6E12"/>
    <w:rsid w:val="005F7E48"/>
    <w:rsid w:val="006000D2"/>
    <w:rsid w:val="00602071"/>
    <w:rsid w:val="00604A18"/>
    <w:rsid w:val="00604BB6"/>
    <w:rsid w:val="006052D8"/>
    <w:rsid w:val="00613D42"/>
    <w:rsid w:val="00616F60"/>
    <w:rsid w:val="006252F2"/>
    <w:rsid w:val="00625D98"/>
    <w:rsid w:val="00631D21"/>
    <w:rsid w:val="0063290D"/>
    <w:rsid w:val="006330B6"/>
    <w:rsid w:val="0063347E"/>
    <w:rsid w:val="00633D27"/>
    <w:rsid w:val="006504D3"/>
    <w:rsid w:val="00656417"/>
    <w:rsid w:val="00661527"/>
    <w:rsid w:val="00673937"/>
    <w:rsid w:val="00674DF8"/>
    <w:rsid w:val="0067615A"/>
    <w:rsid w:val="0067649D"/>
    <w:rsid w:val="00677BF9"/>
    <w:rsid w:val="0068392F"/>
    <w:rsid w:val="00694EE4"/>
    <w:rsid w:val="00695604"/>
    <w:rsid w:val="006A200D"/>
    <w:rsid w:val="006A29A7"/>
    <w:rsid w:val="006A30FF"/>
    <w:rsid w:val="006A5CE5"/>
    <w:rsid w:val="006A7419"/>
    <w:rsid w:val="006B11D1"/>
    <w:rsid w:val="006B215F"/>
    <w:rsid w:val="006B47F9"/>
    <w:rsid w:val="006C0659"/>
    <w:rsid w:val="006C0706"/>
    <w:rsid w:val="006C2ED8"/>
    <w:rsid w:val="006C5B58"/>
    <w:rsid w:val="006D0138"/>
    <w:rsid w:val="006D16F2"/>
    <w:rsid w:val="006D2084"/>
    <w:rsid w:val="006D2492"/>
    <w:rsid w:val="006D3062"/>
    <w:rsid w:val="006D377E"/>
    <w:rsid w:val="006D3F69"/>
    <w:rsid w:val="006D42A6"/>
    <w:rsid w:val="006E3E4D"/>
    <w:rsid w:val="006E586C"/>
    <w:rsid w:val="006F2418"/>
    <w:rsid w:val="00702344"/>
    <w:rsid w:val="007046A8"/>
    <w:rsid w:val="00704D9E"/>
    <w:rsid w:val="0071455C"/>
    <w:rsid w:val="00715557"/>
    <w:rsid w:val="007170C0"/>
    <w:rsid w:val="0072116E"/>
    <w:rsid w:val="007235BB"/>
    <w:rsid w:val="0072461B"/>
    <w:rsid w:val="0072483C"/>
    <w:rsid w:val="00727159"/>
    <w:rsid w:val="00747E77"/>
    <w:rsid w:val="0075086D"/>
    <w:rsid w:val="00751D4F"/>
    <w:rsid w:val="0075215C"/>
    <w:rsid w:val="00763438"/>
    <w:rsid w:val="00771D05"/>
    <w:rsid w:val="00773A83"/>
    <w:rsid w:val="0078036C"/>
    <w:rsid w:val="007804BD"/>
    <w:rsid w:val="007806A7"/>
    <w:rsid w:val="00781269"/>
    <w:rsid w:val="0079336F"/>
    <w:rsid w:val="00796A56"/>
    <w:rsid w:val="00796DE4"/>
    <w:rsid w:val="007A0F6D"/>
    <w:rsid w:val="007A1DB3"/>
    <w:rsid w:val="007A4733"/>
    <w:rsid w:val="007A671E"/>
    <w:rsid w:val="007B00B7"/>
    <w:rsid w:val="007B1DE0"/>
    <w:rsid w:val="007B2831"/>
    <w:rsid w:val="007B4D5D"/>
    <w:rsid w:val="007C0065"/>
    <w:rsid w:val="007C3394"/>
    <w:rsid w:val="007C5B5D"/>
    <w:rsid w:val="007C63D1"/>
    <w:rsid w:val="007D0396"/>
    <w:rsid w:val="007D2195"/>
    <w:rsid w:val="007D410F"/>
    <w:rsid w:val="007D7A9D"/>
    <w:rsid w:val="007E1F22"/>
    <w:rsid w:val="007E47D1"/>
    <w:rsid w:val="007E4EE4"/>
    <w:rsid w:val="007E77CA"/>
    <w:rsid w:val="007F0628"/>
    <w:rsid w:val="007F360B"/>
    <w:rsid w:val="00806325"/>
    <w:rsid w:val="008073E4"/>
    <w:rsid w:val="008131F0"/>
    <w:rsid w:val="00813E8B"/>
    <w:rsid w:val="00817F6E"/>
    <w:rsid w:val="00821348"/>
    <w:rsid w:val="008235DD"/>
    <w:rsid w:val="00826273"/>
    <w:rsid w:val="0083041D"/>
    <w:rsid w:val="008328D8"/>
    <w:rsid w:val="008337D2"/>
    <w:rsid w:val="00833B3F"/>
    <w:rsid w:val="00841F77"/>
    <w:rsid w:val="00842A8B"/>
    <w:rsid w:val="00844591"/>
    <w:rsid w:val="00846687"/>
    <w:rsid w:val="00851D8A"/>
    <w:rsid w:val="00852B45"/>
    <w:rsid w:val="00854B71"/>
    <w:rsid w:val="0086133D"/>
    <w:rsid w:val="00871ACE"/>
    <w:rsid w:val="00873A4B"/>
    <w:rsid w:val="00885FE2"/>
    <w:rsid w:val="00896AD6"/>
    <w:rsid w:val="008979A7"/>
    <w:rsid w:val="008A0F97"/>
    <w:rsid w:val="008A28D7"/>
    <w:rsid w:val="008A4A07"/>
    <w:rsid w:val="008A7E1F"/>
    <w:rsid w:val="008B0936"/>
    <w:rsid w:val="008B0B88"/>
    <w:rsid w:val="008B0BBF"/>
    <w:rsid w:val="008B17A8"/>
    <w:rsid w:val="008B3550"/>
    <w:rsid w:val="008C29ED"/>
    <w:rsid w:val="008C2A07"/>
    <w:rsid w:val="008C5FBE"/>
    <w:rsid w:val="008C6072"/>
    <w:rsid w:val="008C7E84"/>
    <w:rsid w:val="008D5476"/>
    <w:rsid w:val="008E56FF"/>
    <w:rsid w:val="008E5DD3"/>
    <w:rsid w:val="008E6255"/>
    <w:rsid w:val="008F4213"/>
    <w:rsid w:val="00903581"/>
    <w:rsid w:val="00906FD6"/>
    <w:rsid w:val="00912801"/>
    <w:rsid w:val="00912AC3"/>
    <w:rsid w:val="009143C2"/>
    <w:rsid w:val="00914D0F"/>
    <w:rsid w:val="00917A39"/>
    <w:rsid w:val="00922C03"/>
    <w:rsid w:val="00922F35"/>
    <w:rsid w:val="00923EC1"/>
    <w:rsid w:val="009242AA"/>
    <w:rsid w:val="00924519"/>
    <w:rsid w:val="00927C8A"/>
    <w:rsid w:val="00936320"/>
    <w:rsid w:val="009437DE"/>
    <w:rsid w:val="009526FE"/>
    <w:rsid w:val="00956582"/>
    <w:rsid w:val="0096342F"/>
    <w:rsid w:val="009654A3"/>
    <w:rsid w:val="0097608C"/>
    <w:rsid w:val="00976D80"/>
    <w:rsid w:val="00977DA0"/>
    <w:rsid w:val="009802E4"/>
    <w:rsid w:val="009820A7"/>
    <w:rsid w:val="009835CA"/>
    <w:rsid w:val="00987249"/>
    <w:rsid w:val="00987CF4"/>
    <w:rsid w:val="009908FE"/>
    <w:rsid w:val="00996C6C"/>
    <w:rsid w:val="009970BB"/>
    <w:rsid w:val="009A3F50"/>
    <w:rsid w:val="009B2937"/>
    <w:rsid w:val="009B73C5"/>
    <w:rsid w:val="009C09D2"/>
    <w:rsid w:val="009C4C99"/>
    <w:rsid w:val="009C77C3"/>
    <w:rsid w:val="009D21E9"/>
    <w:rsid w:val="009D7629"/>
    <w:rsid w:val="009E5F88"/>
    <w:rsid w:val="009E6761"/>
    <w:rsid w:val="009F1613"/>
    <w:rsid w:val="009F3F18"/>
    <w:rsid w:val="009F5363"/>
    <w:rsid w:val="00A03C8F"/>
    <w:rsid w:val="00A0700F"/>
    <w:rsid w:val="00A1016C"/>
    <w:rsid w:val="00A11471"/>
    <w:rsid w:val="00A23B6E"/>
    <w:rsid w:val="00A26A4B"/>
    <w:rsid w:val="00A27E83"/>
    <w:rsid w:val="00A33E72"/>
    <w:rsid w:val="00A33F71"/>
    <w:rsid w:val="00A35355"/>
    <w:rsid w:val="00A3657F"/>
    <w:rsid w:val="00A40145"/>
    <w:rsid w:val="00A436EF"/>
    <w:rsid w:val="00A44203"/>
    <w:rsid w:val="00A451DA"/>
    <w:rsid w:val="00A45AFE"/>
    <w:rsid w:val="00A538BA"/>
    <w:rsid w:val="00A5606E"/>
    <w:rsid w:val="00A56932"/>
    <w:rsid w:val="00A725EE"/>
    <w:rsid w:val="00A73CBB"/>
    <w:rsid w:val="00A75238"/>
    <w:rsid w:val="00A7723C"/>
    <w:rsid w:val="00A85E46"/>
    <w:rsid w:val="00A86C78"/>
    <w:rsid w:val="00A953E4"/>
    <w:rsid w:val="00AA106F"/>
    <w:rsid w:val="00AA32EA"/>
    <w:rsid w:val="00AA5429"/>
    <w:rsid w:val="00AA6E9B"/>
    <w:rsid w:val="00AA772C"/>
    <w:rsid w:val="00AB10C5"/>
    <w:rsid w:val="00AB4297"/>
    <w:rsid w:val="00AB60B9"/>
    <w:rsid w:val="00AD0F0D"/>
    <w:rsid w:val="00AD280C"/>
    <w:rsid w:val="00AD501D"/>
    <w:rsid w:val="00AD6172"/>
    <w:rsid w:val="00AD6479"/>
    <w:rsid w:val="00AE1FC8"/>
    <w:rsid w:val="00AE3DB6"/>
    <w:rsid w:val="00AF12B5"/>
    <w:rsid w:val="00AF2CF9"/>
    <w:rsid w:val="00B01568"/>
    <w:rsid w:val="00B04E91"/>
    <w:rsid w:val="00B06229"/>
    <w:rsid w:val="00B068D5"/>
    <w:rsid w:val="00B072D1"/>
    <w:rsid w:val="00B130C4"/>
    <w:rsid w:val="00B13B45"/>
    <w:rsid w:val="00B1459A"/>
    <w:rsid w:val="00B21488"/>
    <w:rsid w:val="00B24F86"/>
    <w:rsid w:val="00B26F76"/>
    <w:rsid w:val="00B27823"/>
    <w:rsid w:val="00B30B10"/>
    <w:rsid w:val="00B32E00"/>
    <w:rsid w:val="00B3337C"/>
    <w:rsid w:val="00B37030"/>
    <w:rsid w:val="00B419A3"/>
    <w:rsid w:val="00B46E22"/>
    <w:rsid w:val="00B50592"/>
    <w:rsid w:val="00B52B26"/>
    <w:rsid w:val="00B56A4F"/>
    <w:rsid w:val="00B57BB5"/>
    <w:rsid w:val="00B6059A"/>
    <w:rsid w:val="00B63D15"/>
    <w:rsid w:val="00B6553A"/>
    <w:rsid w:val="00B665C1"/>
    <w:rsid w:val="00B66BC7"/>
    <w:rsid w:val="00B77733"/>
    <w:rsid w:val="00B85769"/>
    <w:rsid w:val="00B87437"/>
    <w:rsid w:val="00B90DCC"/>
    <w:rsid w:val="00B9158D"/>
    <w:rsid w:val="00B971D8"/>
    <w:rsid w:val="00BA42B1"/>
    <w:rsid w:val="00BA445E"/>
    <w:rsid w:val="00BA5DE4"/>
    <w:rsid w:val="00BA666B"/>
    <w:rsid w:val="00BA7A1F"/>
    <w:rsid w:val="00BB2717"/>
    <w:rsid w:val="00BB37D2"/>
    <w:rsid w:val="00BB57BC"/>
    <w:rsid w:val="00BB5EAB"/>
    <w:rsid w:val="00BC134C"/>
    <w:rsid w:val="00BC69FB"/>
    <w:rsid w:val="00BD18C3"/>
    <w:rsid w:val="00BE0165"/>
    <w:rsid w:val="00BE71BB"/>
    <w:rsid w:val="00BE730E"/>
    <w:rsid w:val="00BF1296"/>
    <w:rsid w:val="00BF177D"/>
    <w:rsid w:val="00C07960"/>
    <w:rsid w:val="00C11C90"/>
    <w:rsid w:val="00C152AF"/>
    <w:rsid w:val="00C15E2A"/>
    <w:rsid w:val="00C20555"/>
    <w:rsid w:val="00C218E6"/>
    <w:rsid w:val="00C22B2D"/>
    <w:rsid w:val="00C2551B"/>
    <w:rsid w:val="00C27D83"/>
    <w:rsid w:val="00C333D5"/>
    <w:rsid w:val="00C34601"/>
    <w:rsid w:val="00C40A90"/>
    <w:rsid w:val="00C42E5E"/>
    <w:rsid w:val="00C43D2B"/>
    <w:rsid w:val="00C440BC"/>
    <w:rsid w:val="00C44B38"/>
    <w:rsid w:val="00C44F65"/>
    <w:rsid w:val="00C472E6"/>
    <w:rsid w:val="00C606A7"/>
    <w:rsid w:val="00C6598C"/>
    <w:rsid w:val="00C71A36"/>
    <w:rsid w:val="00C71DAA"/>
    <w:rsid w:val="00C723BA"/>
    <w:rsid w:val="00C73C7F"/>
    <w:rsid w:val="00C75E5D"/>
    <w:rsid w:val="00C81925"/>
    <w:rsid w:val="00C83503"/>
    <w:rsid w:val="00C85CBA"/>
    <w:rsid w:val="00C87E54"/>
    <w:rsid w:val="00C90160"/>
    <w:rsid w:val="00C91298"/>
    <w:rsid w:val="00C9580B"/>
    <w:rsid w:val="00C977A7"/>
    <w:rsid w:val="00C97DCE"/>
    <w:rsid w:val="00CA2904"/>
    <w:rsid w:val="00CA7E82"/>
    <w:rsid w:val="00CB0AAB"/>
    <w:rsid w:val="00CB0CDF"/>
    <w:rsid w:val="00CB1604"/>
    <w:rsid w:val="00CC164D"/>
    <w:rsid w:val="00CD22CE"/>
    <w:rsid w:val="00CD28F7"/>
    <w:rsid w:val="00CD68AD"/>
    <w:rsid w:val="00CD7A1B"/>
    <w:rsid w:val="00CE1625"/>
    <w:rsid w:val="00CF118C"/>
    <w:rsid w:val="00CF1698"/>
    <w:rsid w:val="00CF203C"/>
    <w:rsid w:val="00CF37BD"/>
    <w:rsid w:val="00D0696E"/>
    <w:rsid w:val="00D07176"/>
    <w:rsid w:val="00D1039E"/>
    <w:rsid w:val="00D1284C"/>
    <w:rsid w:val="00D13000"/>
    <w:rsid w:val="00D24116"/>
    <w:rsid w:val="00D24DC2"/>
    <w:rsid w:val="00D25E1F"/>
    <w:rsid w:val="00D262E4"/>
    <w:rsid w:val="00D33FF1"/>
    <w:rsid w:val="00D414F0"/>
    <w:rsid w:val="00D42963"/>
    <w:rsid w:val="00D47786"/>
    <w:rsid w:val="00D60A0A"/>
    <w:rsid w:val="00D60FC3"/>
    <w:rsid w:val="00D6197D"/>
    <w:rsid w:val="00D62F17"/>
    <w:rsid w:val="00D646BE"/>
    <w:rsid w:val="00D66C95"/>
    <w:rsid w:val="00D67ED7"/>
    <w:rsid w:val="00D732A3"/>
    <w:rsid w:val="00D765B3"/>
    <w:rsid w:val="00D76DA9"/>
    <w:rsid w:val="00D8562C"/>
    <w:rsid w:val="00D86AB8"/>
    <w:rsid w:val="00D93542"/>
    <w:rsid w:val="00D93FD5"/>
    <w:rsid w:val="00D9419D"/>
    <w:rsid w:val="00D96EAF"/>
    <w:rsid w:val="00D97D53"/>
    <w:rsid w:val="00DA40A4"/>
    <w:rsid w:val="00DA41DE"/>
    <w:rsid w:val="00DA43BF"/>
    <w:rsid w:val="00DA601F"/>
    <w:rsid w:val="00DB3C68"/>
    <w:rsid w:val="00DB411A"/>
    <w:rsid w:val="00DB4A8D"/>
    <w:rsid w:val="00DC086F"/>
    <w:rsid w:val="00DC1E2A"/>
    <w:rsid w:val="00DE3EF2"/>
    <w:rsid w:val="00DE4B62"/>
    <w:rsid w:val="00DF246B"/>
    <w:rsid w:val="00DF481D"/>
    <w:rsid w:val="00DF57BC"/>
    <w:rsid w:val="00DF65B9"/>
    <w:rsid w:val="00DF7096"/>
    <w:rsid w:val="00E01385"/>
    <w:rsid w:val="00E01E68"/>
    <w:rsid w:val="00E02B0C"/>
    <w:rsid w:val="00E04885"/>
    <w:rsid w:val="00E053CC"/>
    <w:rsid w:val="00E070A6"/>
    <w:rsid w:val="00E1776D"/>
    <w:rsid w:val="00E218AC"/>
    <w:rsid w:val="00E2666F"/>
    <w:rsid w:val="00E31C45"/>
    <w:rsid w:val="00E33088"/>
    <w:rsid w:val="00E3310C"/>
    <w:rsid w:val="00E35588"/>
    <w:rsid w:val="00E421E8"/>
    <w:rsid w:val="00E44A67"/>
    <w:rsid w:val="00E45955"/>
    <w:rsid w:val="00E45D0A"/>
    <w:rsid w:val="00E47EE3"/>
    <w:rsid w:val="00E5137E"/>
    <w:rsid w:val="00E51B98"/>
    <w:rsid w:val="00E5237C"/>
    <w:rsid w:val="00E60949"/>
    <w:rsid w:val="00E610BB"/>
    <w:rsid w:val="00E62744"/>
    <w:rsid w:val="00E6301B"/>
    <w:rsid w:val="00E63431"/>
    <w:rsid w:val="00E63FE5"/>
    <w:rsid w:val="00E67BB6"/>
    <w:rsid w:val="00E7216B"/>
    <w:rsid w:val="00E74F94"/>
    <w:rsid w:val="00E752B0"/>
    <w:rsid w:val="00E75DBD"/>
    <w:rsid w:val="00E812DC"/>
    <w:rsid w:val="00E81473"/>
    <w:rsid w:val="00E842C1"/>
    <w:rsid w:val="00E90D7B"/>
    <w:rsid w:val="00E91298"/>
    <w:rsid w:val="00EA38E4"/>
    <w:rsid w:val="00EA7D1B"/>
    <w:rsid w:val="00EB6C8F"/>
    <w:rsid w:val="00EC0592"/>
    <w:rsid w:val="00EC0643"/>
    <w:rsid w:val="00EC1429"/>
    <w:rsid w:val="00EC2FC7"/>
    <w:rsid w:val="00ED55D3"/>
    <w:rsid w:val="00ED6CE5"/>
    <w:rsid w:val="00ED77A2"/>
    <w:rsid w:val="00EE07AF"/>
    <w:rsid w:val="00EE15C9"/>
    <w:rsid w:val="00EF5E51"/>
    <w:rsid w:val="00EF7F28"/>
    <w:rsid w:val="00F00760"/>
    <w:rsid w:val="00F0076A"/>
    <w:rsid w:val="00F029A6"/>
    <w:rsid w:val="00F0342B"/>
    <w:rsid w:val="00F04B5C"/>
    <w:rsid w:val="00F063E2"/>
    <w:rsid w:val="00F07C6A"/>
    <w:rsid w:val="00F139A5"/>
    <w:rsid w:val="00F14027"/>
    <w:rsid w:val="00F14B15"/>
    <w:rsid w:val="00F16D58"/>
    <w:rsid w:val="00F17E1C"/>
    <w:rsid w:val="00F21E39"/>
    <w:rsid w:val="00F22EFB"/>
    <w:rsid w:val="00F22FDD"/>
    <w:rsid w:val="00F23448"/>
    <w:rsid w:val="00F34C50"/>
    <w:rsid w:val="00F41B1B"/>
    <w:rsid w:val="00F459F1"/>
    <w:rsid w:val="00F57529"/>
    <w:rsid w:val="00F57589"/>
    <w:rsid w:val="00F6595D"/>
    <w:rsid w:val="00F66508"/>
    <w:rsid w:val="00F6781A"/>
    <w:rsid w:val="00F70650"/>
    <w:rsid w:val="00F7267F"/>
    <w:rsid w:val="00F7764F"/>
    <w:rsid w:val="00F911AD"/>
    <w:rsid w:val="00F913B9"/>
    <w:rsid w:val="00F97BFE"/>
    <w:rsid w:val="00FA1F71"/>
    <w:rsid w:val="00FB0E48"/>
    <w:rsid w:val="00FC00A9"/>
    <w:rsid w:val="00FC7BD0"/>
    <w:rsid w:val="00FC7F6F"/>
    <w:rsid w:val="00FD4EC9"/>
    <w:rsid w:val="00FD5E9F"/>
    <w:rsid w:val="00FE075F"/>
    <w:rsid w:val="00FE1427"/>
    <w:rsid w:val="00FE42C1"/>
    <w:rsid w:val="00FE56AA"/>
    <w:rsid w:val="00FF3BCE"/>
    <w:rsid w:val="00FF3DED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f,#ddd,#5173b6,#cd3529"/>
    </o:shapedefaults>
    <o:shapelayout v:ext="edit">
      <o:idmap v:ext="edit" data="1"/>
    </o:shapelayout>
  </w:shapeDefaults>
  <w:decimalSymbol w:val=","/>
  <w:listSeparator w:val=";"/>
  <w14:docId w14:val="1E4A3719"/>
  <w15:docId w15:val="{0E4A5527-D5B9-45B4-A43F-6F886EE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BA"/>
    <w:pPr>
      <w:spacing w:after="120"/>
    </w:pPr>
    <w:rPr>
      <w:rFonts w:asciiTheme="minorHAnsi" w:hAnsiTheme="minorHAnsi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autoRedefine/>
    <w:qFormat/>
    <w:rsid w:val="00FC7BD0"/>
    <w:pPr>
      <w:keepNext/>
      <w:pageBreakBefore/>
      <w:framePr w:w="11663" w:h="720" w:hRule="exact" w:wrap="around" w:vAnchor="text" w:hAnchor="page" w:x="1" w:y="12"/>
      <w:numPr>
        <w:numId w:val="2"/>
      </w:numPr>
      <w:shd w:val="clear" w:color="auto" w:fill="7F7F7F" w:themeFill="text1" w:themeFillTint="80"/>
      <w:spacing w:after="240"/>
      <w:ind w:left="1049" w:hanging="482"/>
      <w:contextualSpacing/>
      <w:outlineLvl w:val="0"/>
    </w:pPr>
    <w:rPr>
      <w:b/>
      <w:bCs/>
      <w:color w:val="FFFFFF" w:themeColor="background1"/>
      <w:position w:val="-14"/>
      <w:sz w:val="36"/>
      <w:szCs w:val="36"/>
    </w:rPr>
  </w:style>
  <w:style w:type="paragraph" w:styleId="Heading2">
    <w:name w:val="heading 2"/>
    <w:basedOn w:val="TOC1-GEInsipira"/>
    <w:next w:val="BodyTextIndent"/>
    <w:link w:val="Heading2Char"/>
    <w:qFormat/>
    <w:rsid w:val="0059494E"/>
    <w:pPr>
      <w:numPr>
        <w:ilvl w:val="1"/>
        <w:numId w:val="2"/>
      </w:numPr>
      <w:ind w:left="720"/>
      <w:outlineLvl w:val="1"/>
    </w:pPr>
    <w:rPr>
      <w:rFonts w:ascii="Arial" w:hAnsi="Arial"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C7BD0"/>
    <w:pPr>
      <w:keepNext/>
      <w:numPr>
        <w:ilvl w:val="2"/>
        <w:numId w:val="2"/>
      </w:numPr>
      <w:ind w:left="1361" w:hanging="1077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b/>
      <w:bCs/>
      <w:color w:val="FFFFFF"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 w:cs="Courier New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OC1-GEInsipira">
    <w:name w:val="TOC 1 - GE Insipira"/>
    <w:pPr>
      <w:numPr>
        <w:numId w:val="1"/>
      </w:numPr>
    </w:pPr>
    <w:rPr>
      <w:rFonts w:ascii="GE Inspira" w:hAnsi="GE Inspira"/>
      <w:b/>
      <w:color w:val="FFFFFF"/>
      <w:sz w:val="36"/>
      <w:lang w:val="en-US" w:eastAsia="en-US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customStyle="1" w:styleId="TOC2-GEInspira">
    <w:name w:val="TOC 2 - GE Inspira"/>
    <w:next w:val="BodyTextIndent"/>
    <w:pPr>
      <w:numPr>
        <w:ilvl w:val="1"/>
        <w:numId w:val="1"/>
      </w:numPr>
    </w:pPr>
    <w:rPr>
      <w:rFonts w:ascii="GE Inspira" w:hAnsi="GE Inspira"/>
      <w:b/>
      <w:color w:val="000000"/>
      <w:sz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BodyTextIndent"/>
    <w:autoRedefine/>
    <w:uiPriority w:val="39"/>
    <w:pPr>
      <w:ind w:left="480"/>
    </w:pPr>
    <w:rPr>
      <w:rFonts w:ascii="Times New Roman" w:hAnsi="Times New Roman"/>
      <w:b/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semiHidden/>
    <w:pPr>
      <w:ind w:left="900"/>
    </w:pPr>
  </w:style>
  <w:style w:type="paragraph" w:styleId="BodyText">
    <w:name w:val="Body Text"/>
    <w:basedOn w:val="Normal"/>
    <w:semiHidden/>
    <w:pPr>
      <w:tabs>
        <w:tab w:val="left" w:pos="0"/>
      </w:tabs>
      <w:spacing w:before="120"/>
    </w:pPr>
    <w:rPr>
      <w:iCs/>
      <w:sz w:val="20"/>
      <w:szCs w:val="20"/>
    </w:rPr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NormalWeb">
    <w:name w:val="Normal (Web)"/>
    <w:basedOn w:val="Normal"/>
    <w:uiPriority w:val="99"/>
    <w:unhideWhenUsed/>
    <w:rsid w:val="0009522F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berschrift2">
    <w:name w:val="Überschrift 2"/>
    <w:basedOn w:val="Default"/>
    <w:next w:val="Default"/>
    <w:uiPriority w:val="99"/>
    <w:rsid w:val="00E812DC"/>
    <w:rPr>
      <w:rFonts w:ascii="Verdana" w:hAnsi="Verdana" w:cs="Times New Roman"/>
      <w:color w:val="auto"/>
    </w:rPr>
  </w:style>
  <w:style w:type="paragraph" w:styleId="ListParagraph">
    <w:name w:val="List Paragraph"/>
    <w:basedOn w:val="Normal"/>
    <w:uiPriority w:val="34"/>
    <w:qFormat/>
    <w:rsid w:val="00085ED9"/>
    <w:pPr>
      <w:ind w:left="708"/>
    </w:pPr>
  </w:style>
  <w:style w:type="character" w:customStyle="1" w:styleId="Heading1Char">
    <w:name w:val="Heading 1 Char"/>
    <w:link w:val="Heading1"/>
    <w:rsid w:val="00FC7BD0"/>
    <w:rPr>
      <w:rFonts w:asciiTheme="minorHAnsi" w:hAnsiTheme="minorHAnsi"/>
      <w:b/>
      <w:bCs/>
      <w:color w:val="FFFFFF" w:themeColor="background1"/>
      <w:position w:val="-14"/>
      <w:sz w:val="36"/>
      <w:szCs w:val="36"/>
      <w:shd w:val="clear" w:color="auto" w:fill="7F7F7F" w:themeFill="text1" w:themeFillTint="80"/>
      <w:lang w:val="en-US" w:eastAsia="en-US"/>
    </w:rPr>
  </w:style>
  <w:style w:type="paragraph" w:styleId="Title">
    <w:name w:val="Title"/>
    <w:basedOn w:val="Header"/>
    <w:next w:val="Normal"/>
    <w:link w:val="TitleChar"/>
    <w:uiPriority w:val="10"/>
    <w:qFormat/>
    <w:rsid w:val="00796DE4"/>
    <w:pPr>
      <w:jc w:val="center"/>
    </w:pPr>
    <w:rPr>
      <w:b/>
      <w:bCs/>
      <w:color w:val="5173B6"/>
      <w:sz w:val="72"/>
    </w:rPr>
  </w:style>
  <w:style w:type="character" w:customStyle="1" w:styleId="TitleChar">
    <w:name w:val="Title Char"/>
    <w:link w:val="Title"/>
    <w:uiPriority w:val="10"/>
    <w:rsid w:val="00796DE4"/>
    <w:rPr>
      <w:rFonts w:ascii="GE Inspira" w:hAnsi="GE Inspira"/>
      <w:b/>
      <w:bCs/>
      <w:color w:val="5173B6"/>
      <w:sz w:val="72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6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1613"/>
    <w:rPr>
      <w:rFonts w:ascii="Tahoma" w:hAnsi="Tahoma" w:cs="Tahoma"/>
      <w:sz w:val="16"/>
      <w:szCs w:val="16"/>
      <w:lang w:val="en-US" w:eastAsia="en-US"/>
    </w:rPr>
  </w:style>
  <w:style w:type="table" w:styleId="LightGrid-Accent1">
    <w:name w:val="Light Grid Accent 1"/>
    <w:basedOn w:val="TableNormal"/>
    <w:uiPriority w:val="62"/>
    <w:rsid w:val="00616F60"/>
    <w:tblPr>
      <w:tblStyleRowBandSize w:val="1"/>
      <w:tblStyleColBandSize w:val="1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59494E"/>
    <w:rPr>
      <w:rFonts w:ascii="Arial" w:hAnsi="Arial"/>
      <w:b/>
      <w:sz w:val="32"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B330F"/>
    <w:rPr>
      <w:rFonts w:ascii="GE Inspira" w:hAnsi="GE Inspira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B330F"/>
    <w:rPr>
      <w:rFonts w:ascii="GE Inspira" w:hAnsi="GE Inspira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C7BD0"/>
    <w:rPr>
      <w:rFonts w:asciiTheme="minorHAnsi" w:hAnsiTheme="minorHAnsi"/>
      <w:i/>
      <w:iCs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57741D"/>
    <w:rPr>
      <w:rFonts w:ascii="GE Inspira" w:hAnsi="GE Inspira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7CD7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D13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000"/>
    <w:pPr>
      <w:spacing w:after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000"/>
    <w:rPr>
      <w:rFonts w:ascii="GE Inspira" w:hAnsi="GE Inspira"/>
      <w:lang w:val="en-US" w:eastAsia="en-US"/>
    </w:rPr>
  </w:style>
  <w:style w:type="table" w:styleId="TableGrid">
    <w:name w:val="Table Grid"/>
    <w:basedOn w:val="TableNormal"/>
    <w:uiPriority w:val="59"/>
    <w:rsid w:val="00616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99"/>
    <w:semiHidden/>
    <w:unhideWhenUsed/>
    <w:rsid w:val="007C63D1"/>
    <w:pPr>
      <w:ind w:left="708"/>
    </w:pPr>
  </w:style>
  <w:style w:type="table" w:styleId="LightGrid">
    <w:name w:val="Light Grid"/>
    <w:basedOn w:val="TableNormal"/>
    <w:uiPriority w:val="62"/>
    <w:rsid w:val="00616F60"/>
    <w:tblPr>
      <w:tblStyleRowBandSize w:val="1"/>
      <w:tblStyleColBandSize w:val="1"/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46"/>
    <w:rsid w:val="004B213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E6A2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FA1F7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4E07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efbc8a16-2590-4ac6-a100-a0d0d4d88fa8">17.3</Release>
    <System xmlns="efbc8a16-2590-4ac6-a100-a0d0d4d88fa8">Origo</Syste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0BE821717554C9B7708D0911DD60C" ma:contentTypeVersion="8" ma:contentTypeDescription="Create a new document." ma:contentTypeScope="" ma:versionID="77210d55b63f187898810141731f3b70">
  <xsd:schema xmlns:xsd="http://www.w3.org/2001/XMLSchema" xmlns:xs="http://www.w3.org/2001/XMLSchema" xmlns:p="http://schemas.microsoft.com/office/2006/metadata/properties" xmlns:ns2="efbc8a16-2590-4ac6-a100-a0d0d4d88fa8" xmlns:ns3="12550564-ab61-4e26-ab2c-0deb69877ad0" targetNamespace="http://schemas.microsoft.com/office/2006/metadata/properties" ma:root="true" ma:fieldsID="f0dc94348ea3cacec4185b5d54aeb17b" ns2:_="" ns3:_="">
    <xsd:import namespace="efbc8a16-2590-4ac6-a100-a0d0d4d88fa8"/>
    <xsd:import namespace="12550564-ab61-4e26-ab2c-0deb69877ad0"/>
    <xsd:element name="properties">
      <xsd:complexType>
        <xsd:sequence>
          <xsd:element name="documentManagement">
            <xsd:complexType>
              <xsd:all>
                <xsd:element ref="ns2:System"/>
                <xsd:element ref="ns2:Release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c8a16-2590-4ac6-a100-a0d0d4d88fa8" elementFormDefault="qualified">
    <xsd:import namespace="http://schemas.microsoft.com/office/2006/documentManagement/types"/>
    <xsd:import namespace="http://schemas.microsoft.com/office/infopath/2007/PartnerControls"/>
    <xsd:element name="System" ma:index="8" ma:displayName="System" ma:default="Velg..." ma:format="Dropdown" ma:internalName="System">
      <xsd:simpleType>
        <xsd:restriction base="dms:Choice">
          <xsd:enumeration value="Velg..."/>
          <xsd:enumeration value="Origo"/>
          <xsd:enumeration value="EAI"/>
          <xsd:enumeration value="CWC"/>
        </xsd:restriction>
      </xsd:simpleType>
    </xsd:element>
    <xsd:element name="Release" ma:index="9" ma:displayName="Release" ma:default="Velg..." ma:format="Dropdown" ma:internalName="Release">
      <xsd:simpleType>
        <xsd:restriction base="dms:Choice">
          <xsd:enumeration value="Velg..."/>
          <xsd:enumeration value="16.1"/>
          <xsd:enumeration value="16.2"/>
          <xsd:enumeration value="16.3"/>
          <xsd:enumeration value="16.4"/>
          <xsd:enumeration value="17.1"/>
          <xsd:enumeration value="17.2"/>
          <xsd:enumeration value="17.3"/>
          <xsd:enumeration value="17.4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50564-ab61-4e26-ab2c-0deb69877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42432-CD64-4DE7-91C6-999BCDB33047}">
  <ds:schemaRefs>
    <ds:schemaRef ds:uri="http://schemas.microsoft.com/office/2006/metadata/properties"/>
    <ds:schemaRef ds:uri="http://schemas.microsoft.com/office/infopath/2007/PartnerControls"/>
    <ds:schemaRef ds:uri="efbc8a16-2590-4ac6-a100-a0d0d4d88fa8"/>
  </ds:schemaRefs>
</ds:datastoreItem>
</file>

<file path=customXml/itemProps2.xml><?xml version="1.0" encoding="utf-8"?>
<ds:datastoreItem xmlns:ds="http://schemas.openxmlformats.org/officeDocument/2006/customXml" ds:itemID="{67D3E10A-C33B-447C-8615-F9BDCA5031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8C1D9B-E683-4DB6-AB1E-781E45E11E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A7D10-C180-48E6-88FA-D0DF0C25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c8a16-2590-4ac6-a100-a0d0d4d88fa8"/>
    <ds:schemaRef ds:uri="12550564-ab61-4e26-ab2c-0deb69877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689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Comments for ENH0010351_DESIGN</vt:lpstr>
      <vt:lpstr>Comments for ENH0010351_DESIGN</vt:lpstr>
    </vt:vector>
  </TitlesOfParts>
  <Company>GE Money</Company>
  <LinksUpToDate>false</LinksUpToDate>
  <CharactersWithSpaces>4336</CharactersWithSpaces>
  <SharedDoc>false</SharedDoc>
  <HLinks>
    <vt:vector size="132" baseType="variant">
      <vt:variant>
        <vt:i4>2555989</vt:i4>
      </vt:variant>
      <vt:variant>
        <vt:i4>128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_Toc302041724</vt:lpwstr>
      </vt:variant>
      <vt:variant>
        <vt:i4>2555989</vt:i4>
      </vt:variant>
      <vt:variant>
        <vt:i4>122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_Toc302041723</vt:lpwstr>
      </vt:variant>
      <vt:variant>
        <vt:i4>2555989</vt:i4>
      </vt:variant>
      <vt:variant>
        <vt:i4>116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_Toc302041722</vt:lpwstr>
      </vt:variant>
      <vt:variant>
        <vt:i4>2555989</vt:i4>
      </vt:variant>
      <vt:variant>
        <vt:i4>110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_Toc302041721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_Toc302041720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_Toc302041719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_Toc302041718</vt:lpwstr>
      </vt:variant>
      <vt:variant>
        <vt:i4>2359381</vt:i4>
      </vt:variant>
      <vt:variant>
        <vt:i4>86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_Toc302041717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_Toc302041716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_Toc302041715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_Toc302041714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_Toc302041713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_Toc302041712</vt:lpwstr>
      </vt:variant>
      <vt:variant>
        <vt:i4>2359381</vt:i4>
      </vt:variant>
      <vt:variant>
        <vt:i4>50</vt:i4>
      </vt:variant>
      <vt:variant>
        <vt:i4>0</vt:i4>
      </vt:variant>
      <vt:variant>
        <vt:i4>5</vt:i4>
      </vt:variant>
      <vt:variant>
        <vt:lpwstr>Design v1Fb.doc</vt:lpwstr>
      </vt:variant>
      <vt:variant>
        <vt:lpwstr>_Toc302041711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_Toc302041710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_Toc302041709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_Toc302041708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_Toc302041707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_Toc302041706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_Toc302041705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_Toc302041704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_Toc302041703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 for ENH0010351_DESIGN</dc:title>
  <dc:creator>Rolf Kleppestø</dc:creator>
  <cp:lastModifiedBy>Tom Erik Johannesen</cp:lastModifiedBy>
  <cp:revision>109</cp:revision>
  <cp:lastPrinted>2014-10-10T13:33:00Z</cp:lastPrinted>
  <dcterms:created xsi:type="dcterms:W3CDTF">2021-05-07T05:42:00Z</dcterms:created>
  <dcterms:modified xsi:type="dcterms:W3CDTF">2021-05-11T10:20:00Z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MB Comments">
    <vt:lpwstr/>
  </property>
  <property fmtid="{D5CDD505-2E9C-101B-9397-08002B2CF9AE}" pid="3" name="Release">
    <vt:lpwstr>Not Decided</vt:lpwstr>
  </property>
  <property fmtid="{D5CDD505-2E9C-101B-9397-08002B2CF9AE}" pid="4" name="Stakeholder(s) GEMB">
    <vt:lpwstr>trond.lie@ge.com</vt:lpwstr>
  </property>
  <property fmtid="{D5CDD505-2E9C-101B-9397-08002B2CF9AE}" pid="5" name="EAI Estimate">
    <vt:lpwstr/>
  </property>
  <property fmtid="{D5CDD505-2E9C-101B-9397-08002B2CF9AE}" pid="6" name="Responsible Reaktor">
    <vt:lpwstr>rolfk@reaktor.no</vt:lpwstr>
  </property>
  <property fmtid="{D5CDD505-2E9C-101B-9397-08002B2CF9AE}" pid="7" name="Priority">
    <vt:lpwstr>Medium</vt:lpwstr>
  </property>
  <property fmtid="{D5CDD505-2E9C-101B-9397-08002B2CF9AE}" pid="8" name="Approved">
    <vt:lpwstr>Velg...</vt:lpwstr>
  </property>
  <property fmtid="{D5CDD505-2E9C-101B-9397-08002B2CF9AE}" pid="9" name="Tester">
    <vt:lpwstr/>
  </property>
  <property fmtid="{D5CDD505-2E9C-101B-9397-08002B2CF9AE}" pid="10" name="Estimate">
    <vt:lpwstr/>
  </property>
  <property fmtid="{D5CDD505-2E9C-101B-9397-08002B2CF9AE}" pid="11" name="Development status">
    <vt:lpwstr>New change request (CR)</vt:lpwstr>
  </property>
  <property fmtid="{D5CDD505-2E9C-101B-9397-08002B2CF9AE}" pid="12" name="Origo Estimate">
    <vt:lpwstr/>
  </property>
  <property fmtid="{D5CDD505-2E9C-101B-9397-08002B2CF9AE}" pid="13" name="Request Number">
    <vt:lpwstr/>
  </property>
  <property fmtid="{D5CDD505-2E9C-101B-9397-08002B2CF9AE}" pid="14" name="Developer comments">
    <vt:lpwstr/>
  </property>
  <property fmtid="{D5CDD505-2E9C-101B-9397-08002B2CF9AE}" pid="15" name="Document Status">
    <vt:lpwstr>GE adds reqmnts</vt:lpwstr>
  </property>
  <property fmtid="{D5CDD505-2E9C-101B-9397-08002B2CF9AE}" pid="16" name="System">
    <vt:lpwstr>Origo</vt:lpwstr>
  </property>
  <property fmtid="{D5CDD505-2E9C-101B-9397-08002B2CF9AE}" pid="17" name="Request #">
    <vt:lpwstr/>
  </property>
  <property fmtid="{D5CDD505-2E9C-101B-9397-08002B2CF9AE}" pid="18" name="ContentTypeId">
    <vt:lpwstr>0x010100BF10BE821717554C9B7708D0911DD60C</vt:lpwstr>
  </property>
  <property fmtid="{D5CDD505-2E9C-101B-9397-08002B2CF9AE}" pid="19" name="MSIP_Label_ea5f5d89-30b0-4c5f-a858-79a0023671a5_Enabled">
    <vt:lpwstr>true</vt:lpwstr>
  </property>
  <property fmtid="{D5CDD505-2E9C-101B-9397-08002B2CF9AE}" pid="20" name="MSIP_Label_ea5f5d89-30b0-4c5f-a858-79a0023671a5_SetDate">
    <vt:lpwstr>2021-05-11T10:20:07Z</vt:lpwstr>
  </property>
  <property fmtid="{D5CDD505-2E9C-101B-9397-08002B2CF9AE}" pid="21" name="MSIP_Label_ea5f5d89-30b0-4c5f-a858-79a0023671a5_Method">
    <vt:lpwstr>Privileged</vt:lpwstr>
  </property>
  <property fmtid="{D5CDD505-2E9C-101B-9397-08002B2CF9AE}" pid="22" name="MSIP_Label_ea5f5d89-30b0-4c5f-a858-79a0023671a5_Name">
    <vt:lpwstr>ea5f5d89-30b0-4c5f-a858-79a0023671a5</vt:lpwstr>
  </property>
  <property fmtid="{D5CDD505-2E9C-101B-9397-08002B2CF9AE}" pid="23" name="MSIP_Label_ea5f5d89-30b0-4c5f-a858-79a0023671a5_SiteId">
    <vt:lpwstr>69a37c0c-1e56-4a63-9fce-0996fe61f31d</vt:lpwstr>
  </property>
  <property fmtid="{D5CDD505-2E9C-101B-9397-08002B2CF9AE}" pid="24" name="MSIP_Label_ea5f5d89-30b0-4c5f-a858-79a0023671a5_ActionId">
    <vt:lpwstr>cba63b12-431f-4c4f-8a69-0fd0ecae4efa</vt:lpwstr>
  </property>
  <property fmtid="{D5CDD505-2E9C-101B-9397-08002B2CF9AE}" pid="25" name="MSIP_Label_ea5f5d89-30b0-4c5f-a858-79a0023671a5_ContentBits">
    <vt:lpwstr>0</vt:lpwstr>
  </property>
</Properties>
</file>