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Mori fireworks,1319 Ganagiri road, Sivakasi-626189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18-01-2025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33AAZFM9758L1Z4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6080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234.00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2808.00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2808.00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252.72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252.72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3313.44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three thousand, three hundred and thirteen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