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aps/>
          <w:color w:val="2E75B6"/>
          <w:sz w:val="20"/>
          <w:szCs w:val="20"/>
        </w:rPr>
        <w:t xml:space="preserve">CAISA™ LEVEL 1  |  CHAPTER 10 OF 48</w:t>
      </w:r>
    </w:p>
    <w:p>
      <w:pPr>
        <w:spacing w:after="40"/>
        <w:jc w:val="center"/>
      </w:pPr>
      <w:r>
        <w:rPr>
          <w:rFonts w:ascii="Arial" w:cs="Arial" w:eastAsia="Arial" w:hAnsi="Arial"/>
          <w:b/>
          <w:bCs/>
          <w:color w:val="1F3864"/>
          <w:sz w:val="44"/>
          <w:szCs w:val="44"/>
        </w:rPr>
        <w:t xml:space="preserve">AI Model Evaluation &amp; Validation</w:t>
      </w:r>
    </w:p>
    <w:p>
      <w:pPr>
        <w:spacing w:after="200"/>
        <w:jc w:val="center"/>
      </w:pPr>
      <w:r>
        <w:rPr>
          <w:rFonts w:ascii="Arial" w:cs="Arial" w:eastAsia="Arial" w:hAnsi="Arial"/>
          <w:b/>
          <w:bCs/>
          <w:color w:val="C9A227"/>
          <w:sz w:val="26"/>
          <w:szCs w:val="26"/>
        </w:rPr>
        <w:t xml:space="preserve">Metrics · Benchmarks · Red-Teaming · OOT Validation · Regulatory Model Risk</w:t>
      </w:r>
    </w:p>
    <w:p>
      <w:pPr>
        <w:spacing w:after="200"/>
        <w:jc w:val="center"/>
      </w:pPr>
      <w:r>
        <w:rPr>
          <w:rFonts w:ascii="Arial" w:cs="Arial" w:eastAsia="Arial" w:hAnsi="Arial"/>
          <w:color w:val="595959"/>
          <w:sz w:val="19"/>
          <w:szCs w:val="19"/>
        </w:rPr>
        <w:t xml:space="preserve">AUC-ROC · KS Statistic · PSI · Gini Coefficient · MMLU · SR 11-7 · EBA GL/2020/06 · OSFI E-23 · EU AI Act Annex III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tcPr>
          <w:p>
            <w:pPr>
              <w:spacing w:after="40"/>
              <w:jc w:val="center"/>
            </w:pPr>
            <w:r>
              <w:rPr>
                <w:rFonts w:ascii="Arial" w:cs="Arial" w:eastAsia="Arial" w:hAnsi="Arial"/>
                <w:b/>
                <w:bCs/>
                <w:color w:val="1F3864"/>
                <w:sz w:val="19"/>
                <w:szCs w:val="19"/>
              </w:rPr>
              <w:t xml:space="preserve">⏱ 3 Hours</w:t>
            </w:r>
          </w:p>
          <w:p>
            <w:pPr>
              <w:spacing w:after="0"/>
              <w:jc w:val="center"/>
            </w:pPr>
            <w:r>
              <w:rPr>
                <w:rFonts w:ascii="Arial" w:cs="Arial" w:eastAsia="Arial" w:hAnsi="Arial"/>
                <w:b/>
                <w:bCs/>
                <w:color w:val="2E75B6"/>
                <w:sz w:val="21"/>
                <w:szCs w:val="21"/>
              </w:rPr>
              <w:t xml:space="preserve">Study Time</w:t>
            </w:r>
          </w:p>
        </w:tc>
        <w:tc>
          <w:tcPr>
            <w:tcW w:type="dxa" w:w="234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tcPr>
          <w:p>
            <w:pPr>
              <w:spacing w:after="40"/>
              <w:jc w:val="center"/>
            </w:pPr>
            <w:r>
              <w:rPr>
                <w:rFonts w:ascii="Arial" w:cs="Arial" w:eastAsia="Arial" w:hAnsi="Arial"/>
                <w:b/>
                <w:bCs/>
                <w:color w:val="1F3864"/>
                <w:sz w:val="19"/>
                <w:szCs w:val="19"/>
              </w:rPr>
              <w:t xml:space="preserve">📋 10 Case Studies</w:t>
            </w:r>
          </w:p>
          <w:p>
            <w:pPr>
              <w:spacing w:after="0"/>
              <w:jc w:val="center"/>
            </w:pPr>
            <w:r>
              <w:rPr>
                <w:rFonts w:ascii="Arial" w:cs="Arial" w:eastAsia="Arial" w:hAnsi="Arial"/>
                <w:b/>
                <w:bCs/>
                <w:color w:val="2E75B6"/>
                <w:sz w:val="21"/>
                <w:szCs w:val="21"/>
              </w:rPr>
              <w:t xml:space="preserve">5 EU + 5 NA</w:t>
            </w:r>
          </w:p>
        </w:tc>
        <w:tc>
          <w:tcPr>
            <w:tcW w:type="dxa" w:w="234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tcPr>
          <w:p>
            <w:pPr>
              <w:spacing w:after="40"/>
              <w:jc w:val="center"/>
            </w:pPr>
            <w:r>
              <w:rPr>
                <w:rFonts w:ascii="Arial" w:cs="Arial" w:eastAsia="Arial" w:hAnsi="Arial"/>
                <w:b/>
                <w:bCs/>
                <w:color w:val="1F3864"/>
                <w:sz w:val="19"/>
                <w:szCs w:val="19"/>
              </w:rPr>
              <w:t xml:space="preserve">🌍 DE·GB·FR·NL·SE·US×4·CA</w:t>
            </w:r>
          </w:p>
          <w:p>
            <w:pPr>
              <w:spacing w:after="0"/>
              <w:jc w:val="center"/>
            </w:pPr>
            <w:r>
              <w:rPr>
                <w:rFonts w:ascii="Arial" w:cs="Arial" w:eastAsia="Arial" w:hAnsi="Arial"/>
                <w:b/>
                <w:bCs/>
                <w:color w:val="2E75B6"/>
                <w:sz w:val="21"/>
                <w:szCs w:val="21"/>
              </w:rPr>
            </w:r>
          </w:p>
        </w:tc>
        <w:tc>
          <w:tcPr>
            <w:tcW w:type="dxa" w:w="234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tcPr>
          <w:p>
            <w:pPr>
              <w:spacing w:after="40"/>
              <w:jc w:val="center"/>
            </w:pPr>
            <w:r>
              <w:rPr>
                <w:rFonts w:ascii="Arial" w:cs="Arial" w:eastAsia="Arial" w:hAnsi="Arial"/>
                <w:b/>
                <w:bCs/>
                <w:color w:val="1F3864"/>
                <w:sz w:val="19"/>
                <w:szCs w:val="19"/>
              </w:rPr>
              <w:t xml:space="preserve">📅 Week 4 · Ch.10/48</w:t>
            </w:r>
          </w:p>
          <w:p>
            <w:pPr>
              <w:spacing w:after="0"/>
              <w:jc w:val="center"/>
            </w:pPr>
            <w:r>
              <w:rPr>
                <w:rFonts w:ascii="Arial" w:cs="Arial" w:eastAsia="Arial" w:hAnsi="Arial"/>
                <w:b/>
                <w:bCs/>
                <w:color w:val="2E75B6"/>
                <w:sz w:val="21"/>
                <w:szCs w:val="21"/>
              </w:rPr>
            </w:r>
          </w:p>
        </w:tc>
      </w:tr>
    </w:tbl>
    <w:p>
      <w:pPr>
        <w:spacing w:after="80"/>
      </w:pPr>
      <w:r>
        <w:t xml:space="preserve"/>
      </w:r>
    </w:p>
    <w:p>
      <w:pPr>
        <w:spacing w:after="80"/>
      </w:pPr>
      <w:r>
        <w:t xml:space="preserve"/>
      </w:r>
    </w:p>
    <w:p>
      <w:pPr>
        <w:pStyle w:val="Heading1"/>
      </w:pPr>
      <w:r>
        <w:rPr>
          <w:rFonts w:ascii="Arial" w:cs="Arial" w:eastAsia="Arial" w:hAnsi="Arial"/>
          <w:b/>
          <w:bCs/>
          <w:color w:val="1F3864"/>
          <w:sz w:val="32"/>
          <w:szCs w:val="32"/>
        </w:rPr>
        <w:t xml:space="preserve">Learning Objectives</w:t>
      </w:r>
    </w:p>
    <w:p>
      <w:pPr>
        <w:spacing w:after="120"/>
      </w:pPr>
      <w:r>
        <w:rPr>
          <w:rFonts w:ascii="Arial" w:cs="Arial" w:eastAsia="Arial" w:hAnsi="Arial"/>
          <w:color w:val="595959"/>
          <w:sz w:val="21"/>
          <w:szCs w:val="21"/>
        </w:rPr>
        <w:t xml:space="preserve">On completion of Chapter 10, the CAISA™ Level 1 candidate will be able to:</w:t>
      </w:r>
    </w:p>
    <w:p>
      <w:pPr>
        <w:pStyle w:val="ListParagraph"/>
        <w:numPr>
          <w:ilvl w:val="0"/>
          <w:numId w:val="2"/>
        </w:numPr>
        <w:spacing w:after="80"/>
      </w:pPr>
      <w:r>
        <w:rPr>
          <w:rFonts w:ascii="Arial" w:cs="Arial" w:eastAsia="Arial" w:hAnsi="Arial"/>
          <w:color w:val="595959"/>
          <w:sz w:val="21"/>
          <w:szCs w:val="21"/>
        </w:rPr>
        <w:t xml:space="preserve">Define and compute classification metrics: accuracy, precision, recall, F1-score, AUC-ROC, AUC-PR, Brier score, Matthews Correlation Coefficient (MCC), and KS statistic</w:t>
      </w:r>
    </w:p>
    <w:p>
      <w:pPr>
        <w:pStyle w:val="ListParagraph"/>
        <w:numPr>
          <w:ilvl w:val="0"/>
          <w:numId w:val="2"/>
        </w:numPr>
        <w:spacing w:after="80"/>
      </w:pPr>
      <w:r>
        <w:rPr>
          <w:rFonts w:ascii="Arial" w:cs="Arial" w:eastAsia="Arial" w:hAnsi="Arial"/>
          <w:color w:val="595959"/>
          <w:sz w:val="21"/>
          <w:szCs w:val="21"/>
        </w:rPr>
        <w:t xml:space="preserve">Define and compute regression metrics: MAE, RMSE, MAPE, R², and explain their enterprise selection trade-offs</w:t>
      </w:r>
    </w:p>
    <w:p>
      <w:pPr>
        <w:pStyle w:val="ListParagraph"/>
        <w:numPr>
          <w:ilvl w:val="0"/>
          <w:numId w:val="2"/>
        </w:numPr>
        <w:spacing w:after="80"/>
      </w:pPr>
      <w:r>
        <w:rPr>
          <w:rFonts w:ascii="Arial" w:cs="Arial" w:eastAsia="Arial" w:hAnsi="Arial"/>
          <w:color w:val="595959"/>
          <w:sz w:val="21"/>
          <w:szCs w:val="21"/>
        </w:rPr>
        <w:t xml:space="preserve">Describe and apply LLM evaluation benchmarks: MMLU, HellaSwag, BIG-Bench Hard, GLUE/SuperGLUE, HumanEval, TruthfulQA, and HELM</w:t>
      </w:r>
    </w:p>
    <w:p>
      <w:pPr>
        <w:pStyle w:val="ListParagraph"/>
        <w:numPr>
          <w:ilvl w:val="0"/>
          <w:numId w:val="2"/>
        </w:numPr>
        <w:spacing w:after="80"/>
      </w:pPr>
      <w:r>
        <w:rPr>
          <w:rFonts w:ascii="Arial" w:cs="Arial" w:eastAsia="Arial" w:hAnsi="Arial"/>
          <w:color w:val="595959"/>
          <w:sz w:val="21"/>
          <w:szCs w:val="21"/>
        </w:rPr>
        <w:t xml:space="preserve">Conduct and interpret Out-of-Time (OOT) validation: temporal hold-out design, rolling-window validation, Population Stability Index (PSI), and KS drift testing</w:t>
      </w:r>
    </w:p>
    <w:p>
      <w:pPr>
        <w:pStyle w:val="ListParagraph"/>
        <w:numPr>
          <w:ilvl w:val="0"/>
          <w:numId w:val="2"/>
        </w:numPr>
        <w:spacing w:after="80"/>
      </w:pPr>
      <w:r>
        <w:rPr>
          <w:rFonts w:ascii="Arial" w:cs="Arial" w:eastAsia="Arial" w:hAnsi="Arial"/>
          <w:color w:val="595959"/>
          <w:sz w:val="21"/>
          <w:szCs w:val="21"/>
        </w:rPr>
        <w:t xml:space="preserve">Design a red-teaming programme for AI systems: adversarial prompting, jailbreak testing, prompt injection, OWASP LLM Top 10 risks, and structured red-team reporting</w:t>
      </w:r>
    </w:p>
    <w:p>
      <w:pPr>
        <w:pStyle w:val="ListParagraph"/>
        <w:numPr>
          <w:ilvl w:val="0"/>
          <w:numId w:val="2"/>
        </w:numPr>
        <w:spacing w:after="80"/>
      </w:pPr>
      <w:r>
        <w:rPr>
          <w:rFonts w:ascii="Arial" w:cs="Arial" w:eastAsia="Arial" w:hAnsi="Arial"/>
          <w:color w:val="595959"/>
          <w:sz w:val="21"/>
          <w:szCs w:val="21"/>
        </w:rPr>
        <w:t xml:space="preserve">Apply the OCC SR 11-7 and FRB SR 11-7 model risk management framework: three lines of defence, independent model validation, model inventory, and ongoing monitoring</w:t>
      </w:r>
    </w:p>
    <w:p>
      <w:pPr>
        <w:pStyle w:val="ListParagraph"/>
        <w:numPr>
          <w:ilvl w:val="0"/>
          <w:numId w:val="2"/>
        </w:numPr>
        <w:spacing w:after="80"/>
      </w:pPr>
      <w:r>
        <w:rPr>
          <w:rFonts w:ascii="Arial" w:cs="Arial" w:eastAsia="Arial" w:hAnsi="Arial"/>
          <w:color w:val="595959"/>
          <w:sz w:val="21"/>
          <w:szCs w:val="21"/>
        </w:rPr>
        <w:t xml:space="preserve">Map model validation requirements across regulatory frameworks: EU AI Act Annex III/IV, EBA GL/2020/06, OSFI E-23, CFPB AI guidance, and FDA AI/ML SaMD action plan</w:t>
      </w:r>
    </w:p>
    <w:p>
      <w:pPr>
        <w:pStyle w:val="ListParagraph"/>
        <w:numPr>
          <w:ilvl w:val="0"/>
          <w:numId w:val="2"/>
        </w:numPr>
        <w:spacing w:after="80"/>
      </w:pPr>
      <w:r>
        <w:rPr>
          <w:rFonts w:ascii="Arial" w:cs="Arial" w:eastAsia="Arial" w:hAnsi="Arial"/>
          <w:color w:val="595959"/>
          <w:sz w:val="21"/>
          <w:szCs w:val="21"/>
        </w:rPr>
        <w:t xml:space="preserve">Analyse 10 enterprise case studies (5 Europe + 5 North America) applying metrics, benchmarks, OOT validation, red-teaming, and regulatory model risk frameworks</w:t>
      </w:r>
    </w:p>
    <w:p>
      <w:pPr>
        <w:spacing w:after="80"/>
      </w:pPr>
      <w:r>
        <w:t xml:space="preserve"/>
      </w:r>
    </w:p>
    <w:p>
      <w:r>
        <w:br w:type="page"/>
      </w:r>
    </w:p>
    <w:p>
      <w:pPr>
        <w:pStyle w:val="Heading1"/>
      </w:pPr>
      <w:r>
        <w:rPr>
          <w:rFonts w:ascii="Arial" w:cs="Arial" w:eastAsia="Arial" w:hAnsi="Arial"/>
          <w:b/>
          <w:bCs/>
          <w:color w:val="1F3864"/>
          <w:sz w:val="32"/>
          <w:szCs w:val="32"/>
        </w:rPr>
        <w:t xml:space="preserve">10.1  Classification Performance Metrics</w:t>
      </w:r>
    </w:p>
    <w:p>
      <w:pPr>
        <w:pStyle w:val="Heading2"/>
      </w:pPr>
      <w:r>
        <w:rPr>
          <w:rFonts w:ascii="Arial" w:cs="Arial" w:eastAsia="Arial" w:hAnsi="Arial"/>
          <w:b/>
          <w:bCs/>
          <w:color w:val="2E75B6"/>
          <w:sz w:val="26"/>
          <w:szCs w:val="26"/>
        </w:rPr>
        <w:t xml:space="preserve">10.1.1  Confusion Matrix Foundations</w:t>
      </w:r>
    </w:p>
    <w:p>
      <w:pPr>
        <w:spacing w:after="120"/>
      </w:pPr>
      <w:r>
        <w:rPr>
          <w:rFonts w:ascii="Arial" w:cs="Arial" w:eastAsia="Arial" w:hAnsi="Arial"/>
          <w:color w:val="595959"/>
          <w:sz w:val="21"/>
          <w:szCs w:val="21"/>
        </w:rPr>
        <w:t xml:space="preserve">All classification performance metrics derive from the confusion matrix: a 2×2 cross-tabulation of predicted vs actual class labels. Understanding the trade-offs between metrics is essential for enterprise AI model selection and regulatory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0F1F38" w:val="clear"/>
            <w:tcMar>
              <w:top w:type="dxa" w:w="120"/>
              <w:left w:type="dxa" w:w="200"/>
              <w:bottom w:type="dxa" w:w="120"/>
              <w:right w:type="dxa" w:w="120"/>
            </w:tcMar>
          </w:tcPr>
          <w:p>
            <w:pPr>
              <w:spacing w:after="0"/>
            </w:pPr>
            <w:r>
              <w:rPr>
                <w:rFonts w:ascii="Courier New" w:cs="Courier New" w:eastAsia="Courier New" w:hAnsi="Courier New"/>
                <w:color w:val="AED6F1"/>
                <w:sz w:val="19"/>
                <w:szCs w:val="19"/>
              </w:rPr>
              <w:t xml:space="preserve">Confusion Matrix:
  Predicted Positive  Predicted Negative
  TP (True Positive)  FN (False Negative)   ← Actual Positive
  FP (False Positive) TN (True Negative)    ← Actual Negative
Core Metrics:
  Accuracy  = (TP + TN) / (TP + FP + FN + TN)   [overall correctness — misleading with imbalanced data]
  Precision = TP / (TP + FP)                      [of predicted positives, how many are correct?]
  Recall    = TP / (TP + FN)                      [of actual positives, how many are detected?]
  F1-Score  = 2 · (Precision · Recall) / (Precision + Recall)   [harmonic mean]
  Specificity = TN / (TN + FP)                   [true negative rate]
  MCC       = (TP·TN - FP·FN) / √((TP+FP)(TP+FN)(TN+FP)(TN+FN))   [balanced — works with imbalance]
Fβ-Score (general form):
  Fβ = (1+β²) · Precision · Recall / (β²·Precision + Recall)
  β &lt; 1: weight precision more (fraud: costly false positives)
  β &gt; 1: weight recall more (disease screening: costly false negatives)</w:t>
            </w:r>
          </w:p>
        </w:tc>
      </w:tr>
    </w:tbl>
    <w:p>
      <w:pPr>
        <w:spacing w:after="80"/>
      </w:pPr>
      <w:r>
        <w:t xml:space="preserve"/>
      </w:r>
    </w:p>
    <w:p>
      <w:pPr>
        <w:pStyle w:val="Heading2"/>
      </w:pPr>
      <w:r>
        <w:rPr>
          <w:rFonts w:ascii="Arial" w:cs="Arial" w:eastAsia="Arial" w:hAnsi="Arial"/>
          <w:b/>
          <w:bCs/>
          <w:color w:val="2E75B6"/>
          <w:sz w:val="26"/>
          <w:szCs w:val="26"/>
        </w:rPr>
        <w:t xml:space="preserve">10.1.2  AUC-ROC, AUC-PR, and KS Statistic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0F1F38" w:val="clear"/>
            <w:tcMar>
              <w:top w:type="dxa" w:w="120"/>
              <w:left w:type="dxa" w:w="200"/>
              <w:bottom w:type="dxa" w:w="120"/>
              <w:right w:type="dxa" w:w="120"/>
            </w:tcMar>
          </w:tcPr>
          <w:p>
            <w:pPr>
              <w:spacing w:after="0"/>
            </w:pPr>
            <w:r>
              <w:rPr>
                <w:rFonts w:ascii="Courier New" w:cs="Courier New" w:eastAsia="Courier New" w:hAnsi="Courier New"/>
                <w:color w:val="AED6F1"/>
                <w:sz w:val="19"/>
                <w:szCs w:val="19"/>
              </w:rPr>
              <w:t xml:space="preserve">ROC Curve and AUC:
  X-axis: FPR = FP / (FP + TN)     Y-axis: TPR = TP / (TP + FN) = Recall
  AUC-ROC: area under the ROC curve — P(model ranks random positive above random negative)
  AUC = 0.5: random classifier    AUC = 1.0: perfect classifier
  Regulatory standard: AUC &gt; 0.70 (acceptable), &gt; 0.80 (good), &gt; 0.90 (excellent)
Precision-Recall Curve and AUC-PR:
  More informative than AUC-ROC for highly imbalanced classes (fraud, rare disease)
  X-axis: Recall    Y-axis: Precision
  Baseline: class prevalence rate  (vs 0.5 for ROC)
KS Statistic (Kolmogorov-Smirnov — enterprise credit standard):
  KS = max|F₁(score) − F₀(score)|   at each score threshold
  F₁ = cumulative distribution of positives (good loans)
  F₀ = cumulative distribution of negatives (bad loans / defaults)
  KS measures maximum separation between score distributions
  KS &lt; 20%: weak model   KS 20-40%: acceptable   KS 40-60%: good   KS &gt; 60%: excellent
Gini Coefficient (credit risk standard):
  Gini = 2·AUC-ROC − 1    [ranges from 0 to 1; Gini = 0: random; Gini = 1: perfect]
  Lorenz curve: cumulative % of bads captured vs cumulative % of population scored
  Industry benchmark: Gini &gt; 0.40 required for Basel IRB credit models
Brier Score (calibration metric):
  Brier = (1/N) · Σᵢ (pᵢ − yᵢ)²
  pᵢ = predicted probability, yᵢ = actual binary outcome
  Brier = 0: perfect    Brier = 0.25: no-skill baseline (p=0.5 always)
  Critical for: credit scoring (PD calibration), medical AI (risk stratification)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Metric</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Best For</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Limitation</w:t>
            </w:r>
          </w:p>
        </w:tc>
        <w:tc>
          <w:tcPr>
            <w:tcW w:type="dxa" w:w="2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Regulatory Use</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Accuracy</w:t>
            </w:r>
          </w:p>
        </w:tc>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Balanced classes, general overview</w:t>
            </w:r>
          </w:p>
        </w:tc>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Misleading with class imbalance — 99% accuracy if 99% negative</w:t>
            </w:r>
          </w:p>
        </w:tc>
        <w:tc>
          <w:tcPr>
            <w:tcW w:type="dxa" w:w="2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Rarely sufficient alone for regulatory reporting</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AUC-ROC</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General discrimination ability; threshold-free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Optimistic for imbalanced data; less interpretable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EBA GL/2020/06: credit model validation benchmark</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KS Statistic</w:t>
            </w:r>
          </w:p>
        </w:tc>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Credit scoring, score distribution separation</w:t>
            </w:r>
          </w:p>
        </w:tc>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Only captures maximum separation point</w:t>
            </w:r>
          </w:p>
        </w:tc>
        <w:tc>
          <w:tcPr>
            <w:tcW w:type="dxa" w:w="2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OCC SR 11-7 credit model: KS required metric</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Gini Coefficient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Credit risk models — IRB Basel approach</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Same info as AUC-ROC (Gini=2·AUC-1)</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EBA/Basel IRB: Gini &gt; 0.40 benchmark</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Brier Score</w:t>
            </w:r>
          </w:p>
        </w:tc>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Probability calibration — PD models</w:t>
            </w:r>
          </w:p>
        </w:tc>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Less intuitive; requires probability output</w:t>
            </w:r>
          </w:p>
        </w:tc>
        <w:tc>
          <w:tcPr>
            <w:tcW w:type="dxa" w:w="2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OSFI E-23: calibration testing for probability models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AUC-PR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Imbalanced classes: fraud, rare events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Sensitive to class distribution</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CFPB: fraud AI model validation standard</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F1-Score</w:t>
            </w:r>
          </w:p>
        </w:tc>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Operational threshold selection</w:t>
            </w:r>
          </w:p>
        </w:tc>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Requires threshold choice; no probability info</w:t>
            </w:r>
          </w:p>
        </w:tc>
        <w:tc>
          <w:tcPr>
            <w:tcW w:type="dxa" w:w="2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IBM AIX360 explainability quality metric</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MCC</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Imbalanced classes; gold standard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Less commonly known; requires full confusion matrix</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FDA SaMD: balanced accuracy for medical AI</w:t>
            </w:r>
          </w:p>
        </w:tc>
      </w:tr>
    </w:tbl>
    <w:p>
      <w:pPr>
        <w:spacing w:after="80"/>
      </w:pPr>
      <w:r>
        <w:t xml:space="preserve"/>
      </w:r>
    </w:p>
    <w:p>
      <w:pPr>
        <w:spacing w:after="80"/>
      </w:pPr>
      <w:r>
        <w:t xml:space="preserve"/>
      </w:r>
    </w:p>
    <w:p>
      <w:r>
        <w:br w:type="page"/>
      </w:r>
    </w:p>
    <w:p>
      <w:pPr>
        <w:pStyle w:val="Heading1"/>
      </w:pPr>
      <w:r>
        <w:rPr>
          <w:rFonts w:ascii="Arial" w:cs="Arial" w:eastAsia="Arial" w:hAnsi="Arial"/>
          <w:b/>
          <w:bCs/>
          <w:color w:val="1F3864"/>
          <w:sz w:val="32"/>
          <w:szCs w:val="32"/>
        </w:rPr>
        <w:t xml:space="preserve">10.2  Regression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0F1F38" w:val="clear"/>
            <w:tcMar>
              <w:top w:type="dxa" w:w="120"/>
              <w:left w:type="dxa" w:w="200"/>
              <w:bottom w:type="dxa" w:w="120"/>
              <w:right w:type="dxa" w:w="120"/>
            </w:tcMar>
          </w:tcPr>
          <w:p>
            <w:pPr>
              <w:spacing w:after="0"/>
            </w:pPr>
            <w:r>
              <w:rPr>
                <w:rFonts w:ascii="Courier New" w:cs="Courier New" w:eastAsia="Courier New" w:hAnsi="Courier New"/>
                <w:color w:val="AED6F1"/>
                <w:sz w:val="19"/>
                <w:szCs w:val="19"/>
              </w:rPr>
              <w:t xml:space="preserve">Mean Absolute Error (MAE):
  MAE = (1/N) · Σᵢ |yᵢ − ŷᵢ|
  Interpretation: average absolute prediction error in original units
  Robust to outliers; same scale as target variable
Root Mean Squared Error (RMSE):
  RMSE = √[(1/N) · Σᵢ (yᵢ − ŷᵢ)²]
  Penalises large errors more than MAE (squared term)
  Standard regression benchmark; sensitive to outliers
Mean Absolute Percentage Error (MAPE):
  MAPE = (100/N) · Σᵢ |yᵢ − ŷᵢ| / |yᵢ|
  Unit-free: enables cross-model comparison
  Undefined when yᵢ = 0; biased towards underforecasting
R-squared (Coefficient of Determination):
  R² = 1 − [Σ(yᵢ − ŷᵢ)²] / [Σ(yᵢ − ȳ)²]
  R² = 1: perfect fit    R² = 0: model = mean    R² &lt; 0: worse than mean
  Does NOT indicate calibration or absolute accuracy</w:t>
            </w:r>
          </w:p>
        </w:tc>
      </w:tr>
    </w:tbl>
    <w:p>
      <w:pPr>
        <w:spacing w:after="80"/>
      </w:pPr>
      <w:r>
        <w:t xml:space="preserve"/>
      </w:r>
    </w:p>
    <w:p>
      <w:pPr>
        <w:spacing w:after="80"/>
      </w:pPr>
      <w:r>
        <w:t xml:space="preserve"/>
      </w:r>
    </w:p>
    <w:p>
      <w:r>
        <w:br w:type="page"/>
      </w:r>
    </w:p>
    <w:p>
      <w:pPr>
        <w:pStyle w:val="Heading1"/>
      </w:pPr>
      <w:r>
        <w:rPr>
          <w:rFonts w:ascii="Arial" w:cs="Arial" w:eastAsia="Arial" w:hAnsi="Arial"/>
          <w:b/>
          <w:bCs/>
          <w:color w:val="1F3864"/>
          <w:sz w:val="32"/>
          <w:szCs w:val="32"/>
        </w:rPr>
        <w:t xml:space="preserve">10.3  LLM Evaluation Benchmarks</w:t>
      </w:r>
    </w:p>
    <w:p>
      <w:pPr>
        <w:spacing w:after="120"/>
      </w:pPr>
      <w:r>
        <w:rPr>
          <w:rFonts w:ascii="Arial" w:cs="Arial" w:eastAsia="Arial" w:hAnsi="Arial"/>
          <w:color w:val="595959"/>
          <w:sz w:val="21"/>
          <w:szCs w:val="21"/>
        </w:rPr>
        <w:t xml:space="preserve">Large Language Model (LLM) evaluation requires standardised benchmarks beyond traditional ML metrics. Key benchmarks used in model cards, academic papers, regulatory documentation (EU AI Act Annex IV), and enterprise procurement due diligence.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2400"/>
        <w:gridCol w:w="2560"/>
      </w:tblGrid>
      <w:tr>
        <w:trPr>
          <w:tblHeader/>
        </w:trPr>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Benchmark</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Tasks</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Metric</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What It Tests</w:t>
            </w:r>
          </w:p>
        </w:tc>
        <w:tc>
          <w:tcPr>
            <w:tcW w:type="dxa" w:w="2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Enterprise Use</w:t>
            </w:r>
          </w:p>
        </w:tc>
      </w:tr>
      <w:tr>
        <w:tc>
          <w:tcPr>
            <w:tcW w:type="dxa" w:w="1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MMLU</w:t>
            </w:r>
          </w:p>
        </w:tc>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57 subject areas</w:t>
            </w:r>
          </w:p>
        </w:tc>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Accuracy (%)</w:t>
            </w:r>
          </w:p>
        </w:tc>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Graduate-level knowledge across law, medicine, history, STEM, social science</w:t>
            </w:r>
          </w:p>
        </w:tc>
        <w:tc>
          <w:tcPr>
            <w:tcW w:type="dxa" w:w="2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Foundation model evaluation; EU AI Act GPAI documentation; enterprise procurement</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HellaSwag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Commonsense NLI</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Accuracy (%)</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Commonsense reasoning completion — grounded story understanding</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General NLU capability for enterprise NLP deployments</w:t>
            </w:r>
          </w:p>
        </w:tc>
      </w:tr>
      <w:tr>
        <w:tc>
          <w:tcPr>
            <w:tcW w:type="dxa" w:w="1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BIG-Bench Hard</w:t>
            </w:r>
          </w:p>
        </w:tc>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23 hard tasks</w:t>
            </w:r>
          </w:p>
        </w:tc>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Accuracy (%)</w:t>
            </w:r>
          </w:p>
        </w:tc>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Tasks where LLMs underperform humans — multi-step reasoning, logic, math</w:t>
            </w:r>
          </w:p>
        </w:tc>
        <w:tc>
          <w:tcPr>
            <w:tcW w:type="dxa" w:w="2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Adversarial capability assessment; safety research</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GLUE/SuperGLUE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NLU multi-task</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Score 0-100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Natural Language Understanding across 8-10 diverse NLU tasks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Enterprise NLP: classification, entailment, question answering</w:t>
            </w:r>
          </w:p>
        </w:tc>
      </w:tr>
      <w:tr>
        <w:tc>
          <w:tcPr>
            <w:tcW w:type="dxa" w:w="1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HumanEval</w:t>
            </w:r>
          </w:p>
        </w:tc>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164 Python problems</w:t>
            </w:r>
          </w:p>
        </w:tc>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pass@k (%)</w:t>
            </w:r>
          </w:p>
        </w:tc>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Code generation: does model-generated code pass test cases?</w:t>
            </w:r>
          </w:p>
        </w:tc>
        <w:tc>
          <w:tcPr>
            <w:tcW w:type="dxa" w:w="2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Enterprise code AI: GitHub Copilot, enterprise coding assistants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TruthfulQA</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817 questions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Truthful &amp; informative (%)</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Measures propensity to generate plausible-sounding but false answers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Safety evaluation for customer-facing LLM deployments</w:t>
            </w:r>
          </w:p>
        </w:tc>
      </w:tr>
      <w:tr>
        <w:tc>
          <w:tcPr>
            <w:tcW w:type="dxa" w:w="1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HELM</w:t>
            </w:r>
          </w:p>
        </w:tc>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Multi-metric suite</w:t>
            </w:r>
          </w:p>
        </w:tc>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Multiple metrics</w:t>
            </w:r>
          </w:p>
        </w:tc>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Holistic: accuracy, calibration, robustness, fairness, efficiency, safety</w:t>
            </w:r>
          </w:p>
        </w:tc>
        <w:tc>
          <w:tcPr>
            <w:tcW w:type="dxa" w:w="2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Comprehensive enterprise evaluation; Stanford HAI framework</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MT-Bench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80 multi-turn dialogues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GPT-4 score 1-10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Multi-turn instruction following; chat assistant quality</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Enterprise chatbot and assistant evaluation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single" w:color="FFFFFF" w:sz="1"/>
              <w:left w:val="single" w:color="FFFFFF" w:sz="1"/>
              <w:bottom w:val="single" w:color="FFFFFF" w:sz="1"/>
              <w:right w:val="single" w:color="FFFFFF" w:sz="1"/>
            </w:tcBorders>
            <w:shd w:fill="C9A227" w:val="clear"/>
            <w:tcMar>
              <w:top w:type="dxa" w:w="80"/>
              <w:left w:type="dxa" w:w="80"/>
              <w:bottom w:type="dxa" w:w="80"/>
              <w:right w:type="dxa" w:w="60"/>
            </w:tcMar>
          </w:tcPr>
          <w:p>
            <w:pPr>
              <w:spacing w:after="0"/>
            </w:pPr>
            <w:r>
              <w:rPr>
                <w:rFonts w:ascii="Arial" w:cs="Arial" w:eastAsia="Arial" w:hAnsi="Arial"/>
                <w:b/>
                <w:bCs/>
                <w:color w:val="FFFFFF"/>
                <w:sz w:val="16"/>
                <w:szCs w:val="16"/>
              </w:rPr>
              <w:t xml:space="preserve">EU AI ACT ANNEX IV + GPAI TITLE II</w:t>
            </w:r>
          </w:p>
        </w:tc>
        <w:tc>
          <w:tcPr>
            <w:tcW w:type="dxa" w:w="9100"/>
            <w:tcBorders>
              <w:top w:val="single" w:color="FFFFFF" w:sz="1"/>
              <w:left w:val="single" w:color="FFFFFF" w:sz="1"/>
              <w:bottom w:val="single" w:color="FFFFFF" w:sz="1"/>
              <w:right w:val="single" w:color="FFFFFF" w:sz="1"/>
            </w:tcBorders>
            <w:shd w:fill="FEF9E7" w:val="clear"/>
            <w:tcMar>
              <w:top w:type="dxa" w:w="80"/>
              <w:left w:type="dxa" w:w="120"/>
              <w:bottom w:type="dxa" w:w="80"/>
              <w:right w:type="dxa" w:w="120"/>
            </w:tcMar>
          </w:tcPr>
          <w:p>
            <w:pPr>
              <w:spacing w:after="0"/>
            </w:pPr>
            <w:r>
              <w:rPr>
                <w:rFonts w:ascii="Arial" w:cs="Arial" w:eastAsia="Arial" w:hAnsi="Arial"/>
                <w:color w:val="595959"/>
                <w:sz w:val="20"/>
                <w:szCs w:val="20"/>
              </w:rPr>
              <w:t xml:space="preserve">EU AI Act Annex IV s.2 requires 'the general logic of the AI system' and 'key design choices' to be documented. GPAI Title II requires evaluation results against standardised benchmarks. MMLU, HellaSwag, and BIG-Bench Hard scores are expected in technical documentation for large language models. Microsoft (CS7) and Anthropic (CS9) publish benchmark results in model cards as part of GPAI Title II compliance.</w:t>
            </w:r>
          </w:p>
        </w:tc>
      </w:tr>
    </w:tbl>
    <w:p>
      <w:pPr>
        <w:spacing w:after="80"/>
      </w:pPr>
      <w:r>
        <w:t xml:space="preserve"/>
      </w:r>
    </w:p>
    <w:p>
      <w:pPr>
        <w:spacing w:after="80"/>
      </w:pPr>
      <w:r>
        <w:t xml:space="preserve"/>
      </w:r>
    </w:p>
    <w:p>
      <w:r>
        <w:br w:type="page"/>
      </w:r>
    </w:p>
    <w:p>
      <w:pPr>
        <w:pStyle w:val="Heading1"/>
      </w:pPr>
      <w:r>
        <w:rPr>
          <w:rFonts w:ascii="Arial" w:cs="Arial" w:eastAsia="Arial" w:hAnsi="Arial"/>
          <w:b/>
          <w:bCs/>
          <w:color w:val="1F3864"/>
          <w:sz w:val="32"/>
          <w:szCs w:val="32"/>
        </w:rPr>
        <w:t xml:space="preserve">10.4  Out-of-Time (OOT) Validation</w:t>
      </w:r>
    </w:p>
    <w:p>
      <w:pPr>
        <w:spacing w:after="120"/>
      </w:pPr>
      <w:r>
        <w:rPr>
          <w:rFonts w:ascii="Arial" w:cs="Arial" w:eastAsia="Arial" w:hAnsi="Arial"/>
          <w:color w:val="595959"/>
          <w:sz w:val="21"/>
          <w:szCs w:val="21"/>
        </w:rPr>
        <w:t xml:space="preserve">Out-of-Time (OOT) validation tests a model trained on historical data against data from a subsequent time period. It is the most important form of model validation for deployed production models, testing whether the model's performance holds across temporal regimes and population shifts.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0F1F38" w:val="clear"/>
            <w:tcMar>
              <w:top w:type="dxa" w:w="120"/>
              <w:left w:type="dxa" w:w="200"/>
              <w:bottom w:type="dxa" w:w="120"/>
              <w:right w:type="dxa" w:w="120"/>
            </w:tcMar>
          </w:tcPr>
          <w:p>
            <w:pPr>
              <w:spacing w:after="0"/>
            </w:pPr>
            <w:r>
              <w:rPr>
                <w:rFonts w:ascii="Courier New" w:cs="Courier New" w:eastAsia="Courier New" w:hAnsi="Courier New"/>
                <w:color w:val="AED6F1"/>
                <w:sz w:val="19"/>
                <w:szCs w:val="19"/>
              </w:rPr>
              <w:t xml:space="preserve">OOT Validation Design:
  Development data:  Jan 2020 – Dec 2021  (train + in-time test)
  OOT validation:    Jan 2022 – Jun 2022   (6-month temporal hold-out)
  Champion model:    Current production model
  Challenger model:  New candidate model
  Performance comparison: champion vs challenger on OOT data
Rolling Window Validation (temporal cross-validation):
  For each fold k: train on [t, t+window], validate on [t+window, t+window+h]
  Window size W = 12 months (typical for credit models)
  Forecast horizon h = 3-6 months
  Produces K performance estimates with temporal ordering
Population Stability Index (PSI):
  PSI = Σⱼ (Aⱼ − Eⱼ) · ln(Aⱼ / Eⱼ)
  Aⱼ = actual % of population in score band j (current/OOT period)
  Eⱼ = expected % in score band j (development/training period)
  j   = score bins (typically 10 equal-frequency bins)
PSI Interpretation:
  PSI &lt; 0.10:  Stable — no significant population shift  [Green — no action]
  0.10 ≤ PSI &lt; 0.20:  Moderate shift — monitor closely  [Amber — investigate]
  PSI ≥ 0.20:  Significant shift — model revalidation required  [Red — escalate]
KS Drift Test (two-sample):
  KS = max|F_train(x) − F_OOT(x)|
  Tests whether feature distribution has shifted between train and deployment
  p-value &lt; 0.05 → statistically significant distribution shift → feature drift alert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single" w:color="FFFFFF" w:sz="1"/>
              <w:left w:val="single" w:color="FFFFFF" w:sz="1"/>
              <w:bottom w:val="single" w:color="FFFFFF" w:sz="1"/>
              <w:right w:val="single" w:color="FFFFFF" w:sz="1"/>
            </w:tcBorders>
            <w:shd w:fill="C9A227" w:val="clear"/>
            <w:tcMar>
              <w:top w:type="dxa" w:w="80"/>
              <w:left w:type="dxa" w:w="80"/>
              <w:bottom w:type="dxa" w:w="80"/>
              <w:right w:type="dxa" w:w="60"/>
            </w:tcMar>
          </w:tcPr>
          <w:p>
            <w:pPr>
              <w:spacing w:after="0"/>
            </w:pPr>
            <w:r>
              <w:rPr>
                <w:rFonts w:ascii="Arial" w:cs="Arial" w:eastAsia="Arial" w:hAnsi="Arial"/>
                <w:b/>
                <w:bCs/>
                <w:color w:val="FFFFFF"/>
                <w:sz w:val="16"/>
                <w:szCs w:val="16"/>
              </w:rPr>
              <w:t xml:space="preserve">SR 11-7 OOT REQUIREMENT</w:t>
            </w:r>
          </w:p>
        </w:tc>
        <w:tc>
          <w:tcPr>
            <w:tcW w:type="dxa" w:w="9100"/>
            <w:tcBorders>
              <w:top w:val="single" w:color="FFFFFF" w:sz="1"/>
              <w:left w:val="single" w:color="FFFFFF" w:sz="1"/>
              <w:bottom w:val="single" w:color="FFFFFF" w:sz="1"/>
              <w:right w:val="single" w:color="FFFFFF" w:sz="1"/>
            </w:tcBorders>
            <w:shd w:fill="FEF9E7" w:val="clear"/>
            <w:tcMar>
              <w:top w:type="dxa" w:w="80"/>
              <w:left w:type="dxa" w:w="120"/>
              <w:bottom w:type="dxa" w:w="80"/>
              <w:right w:type="dxa" w:w="120"/>
            </w:tcMar>
          </w:tcPr>
          <w:p>
            <w:pPr>
              <w:spacing w:after="0"/>
            </w:pPr>
            <w:r>
              <w:rPr>
                <w:rFonts w:ascii="Arial" w:cs="Arial" w:eastAsia="Arial" w:hAnsi="Arial"/>
                <w:color w:val="595959"/>
                <w:sz w:val="20"/>
                <w:szCs w:val="20"/>
              </w:rPr>
              <w:t xml:space="preserve">OCC SR 11-7: ongoing monitoring must include 'periodic backtesting, benchmarking, and sensitivity analysis.' For credit models, OOT validation is required at minimum annually, with PSI monitoring monthly. PSI ≥ 0.20 triggers mandatory Model Risk Committee (MRC) review within 30 days. OSFI E-23 (Canada) requires OOT validation as a mandatory model validation component. HSBC (CS2) runs monthly PSI monitoring across all retail credit models.</w:t>
            </w:r>
          </w:p>
        </w:tc>
      </w:tr>
    </w:tbl>
    <w:p>
      <w:pPr>
        <w:spacing w:after="80"/>
      </w:pPr>
      <w:r>
        <w:t xml:space="preserve"/>
      </w:r>
    </w:p>
    <w:p>
      <w:pPr>
        <w:spacing w:after="80"/>
      </w:pPr>
      <w:r>
        <w:t xml:space="preserve"/>
      </w:r>
    </w:p>
    <w:p>
      <w:r>
        <w:br w:type="page"/>
      </w:r>
    </w:p>
    <w:p>
      <w:pPr>
        <w:pStyle w:val="Heading1"/>
      </w:pPr>
      <w:r>
        <w:rPr>
          <w:rFonts w:ascii="Arial" w:cs="Arial" w:eastAsia="Arial" w:hAnsi="Arial"/>
          <w:b/>
          <w:bCs/>
          <w:color w:val="1F3864"/>
          <w:sz w:val="32"/>
          <w:szCs w:val="32"/>
        </w:rPr>
        <w:t xml:space="preserve">10.5  Red-Teaming and Adversarial Testing</w:t>
      </w:r>
    </w:p>
    <w:p>
      <w:pPr>
        <w:spacing w:after="120"/>
      </w:pPr>
      <w:r>
        <w:rPr>
          <w:rFonts w:ascii="Arial" w:cs="Arial" w:eastAsia="Arial" w:hAnsi="Arial"/>
          <w:color w:val="595959"/>
          <w:sz w:val="21"/>
          <w:szCs w:val="21"/>
        </w:rPr>
        <w:t xml:space="preserve">Red-teaming systematically tests AI systems by simulating adversarial attacks, misuse attempts, and edge cases. For LLMs, red-teaming evaluates jailbreak resistance, prompt injection, harmful content generation, and policy compliance. The EU AI Act Annex III mandates 'robustness testing including adversarial testing' for high-risk AI systems.</w:t>
      </w:r>
    </w:p>
    <w:p>
      <w:pPr>
        <w:pStyle w:val="Heading2"/>
      </w:pPr>
      <w:r>
        <w:rPr>
          <w:rFonts w:ascii="Arial" w:cs="Arial" w:eastAsia="Arial" w:hAnsi="Arial"/>
          <w:b/>
          <w:bCs/>
          <w:color w:val="2E75B6"/>
          <w:sz w:val="26"/>
          <w:szCs w:val="26"/>
        </w:rPr>
        <w:t xml:space="preserve">10.5.1  OWASP LLM Top 10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200"/>
        <w:gridCol w:w="3160"/>
      </w:tblGrid>
      <w:tr>
        <w:trPr>
          <w:tblHeader/>
        </w:trPr>
        <w:tc>
          <w:tcPr>
            <w:tcW w:type="dxa" w:w="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Vulnerability</w:t>
            </w:r>
          </w:p>
        </w:tc>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Description</w:t>
            </w:r>
          </w:p>
        </w:tc>
        <w:tc>
          <w:tcPr>
            <w:tcW w:type="dxa" w:w="3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Enterprise Mitigation</w:t>
            </w:r>
          </w:p>
        </w:tc>
      </w:tr>
      <w:tr>
        <w:tc>
          <w:tcPr>
            <w:tcW w:type="dxa" w:w="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1</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LLM01: Prompt Injection</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Attacker manipulates LLM via crafted inputs to override instructions or extract data</w:t>
            </w:r>
          </w:p>
        </w:tc>
        <w:tc>
          <w:tcPr>
            <w:tcW w:type="dxa" w:w="3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Input validation, output filtering, constitutional AI constraints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2</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LLM02: Insecure Output Handling</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LLM output passed directly to downstream systems without validation — XSS, SSRF, RCE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Output sanitisation, structured output schemas, content safety filters</w:t>
            </w:r>
          </w:p>
        </w:tc>
      </w:tr>
      <w:tr>
        <w:tc>
          <w:tcPr>
            <w:tcW w:type="dxa" w:w="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3</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LLM03: Training Data Poisoning</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Adversarial manipulation of training data to introduce biases or backdoors</w:t>
            </w:r>
          </w:p>
        </w:tc>
        <w:tc>
          <w:tcPr>
            <w:tcW w:type="dxa" w:w="3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Data provenance tracking, anomaly detection in training pipelines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4</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LLM04: Model Denial of Service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Resource exhaustion via computationally expensive inputs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Rate limiting, input length limits, token budget controls</w:t>
            </w:r>
          </w:p>
        </w:tc>
      </w:tr>
      <w:tr>
        <w:tc>
          <w:tcPr>
            <w:tcW w:type="dxa" w:w="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5</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LLM05: Supply Chain Vulnerabilities</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Compromised model weights, datasets, or third-party LLM components</w:t>
            </w:r>
          </w:p>
        </w:tc>
        <w:tc>
          <w:tcPr>
            <w:tcW w:type="dxa" w:w="3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SBOM (Software Bill of Materials), model provenance verification</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6</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LLM06: Sensitive Information Disclosure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LLM reveals PII or confidential training data through memorisation</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Differential privacy, PII filters, output classifiers</w:t>
            </w:r>
          </w:p>
        </w:tc>
      </w:tr>
      <w:tr>
        <w:tc>
          <w:tcPr>
            <w:tcW w:type="dxa" w:w="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7</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LLM07: Insecure Plugin Design</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Plugins granted excessive permissions or vulnerable to manipulation</w:t>
            </w:r>
          </w:p>
        </w:tc>
        <w:tc>
          <w:tcPr>
            <w:tcW w:type="dxa" w:w="3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Least-privilege plugin design, tool call validation, sandboxing</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8</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LLM08: Excessive Agency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Autonomous LLM performs harmful real-world actions with excessive permissions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Human-in-the-loop for irreversible actions; minimal tool permissions</w:t>
            </w:r>
          </w:p>
        </w:tc>
      </w:tr>
      <w:tr>
        <w:tc>
          <w:tcPr>
            <w:tcW w:type="dxa" w:w="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9</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LLM09: Overreliance</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Users over-trust LLM outputs — especially for high-stakes decisions</w:t>
            </w:r>
          </w:p>
        </w:tc>
        <w:tc>
          <w:tcPr>
            <w:tcW w:type="dxa" w:w="3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Calibration display, uncertainty quantification, human review gates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10</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LLM10: Model Theft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Adversarial extraction of model parameters or capabilities via API probing</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Rate limiting, query anomaly detection, watermarking</w:t>
            </w:r>
          </w:p>
        </w:tc>
      </w:tr>
    </w:tbl>
    <w:p>
      <w:pPr>
        <w:spacing w:after="80"/>
      </w:pPr>
      <w:r>
        <w:t xml:space="preserve"/>
      </w:r>
    </w:p>
    <w:p>
      <w:pPr>
        <w:pStyle w:val="Heading2"/>
      </w:pPr>
      <w:r>
        <w:rPr>
          <w:rFonts w:ascii="Arial" w:cs="Arial" w:eastAsia="Arial" w:hAnsi="Arial"/>
          <w:b/>
          <w:bCs/>
          <w:color w:val="2E75B6"/>
          <w:sz w:val="26"/>
          <w:szCs w:val="26"/>
        </w:rPr>
        <w:t xml:space="preserve">10.5.2  Red-Team Programme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0F1F38" w:val="clear"/>
            <w:tcMar>
              <w:top w:type="dxa" w:w="120"/>
              <w:left w:type="dxa" w:w="200"/>
              <w:bottom w:type="dxa" w:w="120"/>
              <w:right w:type="dxa" w:w="120"/>
            </w:tcMar>
          </w:tcPr>
          <w:p>
            <w:pPr>
              <w:spacing w:after="0"/>
            </w:pPr>
            <w:r>
              <w:rPr>
                <w:rFonts w:ascii="Courier New" w:cs="Courier New" w:eastAsia="Courier New" w:hAnsi="Courier New"/>
                <w:color w:val="AED6F1"/>
                <w:sz w:val="19"/>
                <w:szCs w:val="19"/>
              </w:rPr>
              <w:t xml:space="preserve">Red-Team Programme (EU AI Act Annex III Compliant):
Phase 1: Scope Definition
  Threat model: who are the adversaries? (external users, internal staff, competitors)
  Risk scenarios: what harm could occur? (data exfiltration, bias exploitation, DoS)
  Regulatory scope: which OWASP LLM Top 10 risks are in scope?
Phase 2: Automated Testing
  Jailbreak benchmarks: AdvBench, JailbreakBench, HarmBench
  Prompt injection: direct injection, indirect injection via retrieved documents
  Bias probing: systematic adversarial inputs across protected characteristics
  Performance stress testing: edge cases, long inputs, adversarial perturbations
Phase 3: Human Red-Teaming
  Internal team: 4-8 specialists (AI safety, cybersecurity, domain experts)
  External team: independent third-party red team (ING CS4: quarterly external red team)
  Structured taxonomy: safety violations, policy violations, quality failures
  Documentation: CVSS-style severity scoring for each finding
Phase 4: Reporting and Remediation
  Findings report: severity × likelihood matrix
  Mitigation tracking: remediation owner, deadline, verification test
  Regulatory documentation: EU AI Act Annex IV s.5 (testing methodology and results)
  Re-test schedule: critical findings re-tested within 30 days</w:t>
            </w:r>
          </w:p>
        </w:tc>
      </w:tr>
    </w:tbl>
    <w:p>
      <w:pPr>
        <w:spacing w:after="80"/>
      </w:pPr>
      <w:r>
        <w:t xml:space="preserve"/>
      </w:r>
    </w:p>
    <w:p>
      <w:pPr>
        <w:spacing w:after="80"/>
      </w:pPr>
      <w:r>
        <w:t xml:space="preserve"/>
      </w:r>
    </w:p>
    <w:p>
      <w:r>
        <w:br w:type="page"/>
      </w:r>
    </w:p>
    <w:p>
      <w:pPr>
        <w:pStyle w:val="Heading1"/>
      </w:pPr>
      <w:r>
        <w:rPr>
          <w:rFonts w:ascii="Arial" w:cs="Arial" w:eastAsia="Arial" w:hAnsi="Arial"/>
          <w:b/>
          <w:bCs/>
          <w:color w:val="1F3864"/>
          <w:sz w:val="32"/>
          <w:szCs w:val="32"/>
        </w:rPr>
        <w:t xml:space="preserve">10.6  Regulatory Model Risk Management</w:t>
      </w:r>
    </w:p>
    <w:p>
      <w:pPr>
        <w:pStyle w:val="Heading2"/>
      </w:pPr>
      <w:r>
        <w:rPr>
          <w:rFonts w:ascii="Arial" w:cs="Arial" w:eastAsia="Arial" w:hAnsi="Arial"/>
          <w:b/>
          <w:bCs/>
          <w:color w:val="2E75B6"/>
          <w:sz w:val="26"/>
          <w:szCs w:val="26"/>
        </w:rPr>
        <w:t xml:space="preserve">10.6.1  OCC SR 11-7 / FRB SR 11-7 — Model Risk Management Framework</w:t>
      </w:r>
    </w:p>
    <w:p>
      <w:pPr>
        <w:spacing w:after="120"/>
      </w:pPr>
      <w:r>
        <w:rPr>
          <w:rFonts w:ascii="Arial" w:cs="Arial" w:eastAsia="Arial" w:hAnsi="Arial"/>
          <w:color w:val="595959"/>
          <w:sz w:val="21"/>
          <w:szCs w:val="21"/>
        </w:rPr>
        <w:t xml:space="preserve">Supervisory Guidance SR 11-7 (issued 2011 by OCC and Federal Reserve, updated with AI guidance 2021) defines the gold standard for model risk management in financial institutions. It establishes three pillars: model development and implementation, model validation, and governance and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0F1F38" w:val="clear"/>
            <w:tcMar>
              <w:top w:type="dxa" w:w="120"/>
              <w:left w:type="dxa" w:w="200"/>
              <w:bottom w:type="dxa" w:w="120"/>
              <w:right w:type="dxa" w:w="120"/>
            </w:tcMar>
          </w:tcPr>
          <w:p>
            <w:pPr>
              <w:spacing w:after="0"/>
            </w:pPr>
            <w:r>
              <w:rPr>
                <w:rFonts w:ascii="Courier New" w:cs="Courier New" w:eastAsia="Courier New" w:hAnsi="Courier New"/>
                <w:color w:val="AED6F1"/>
                <w:sz w:val="19"/>
                <w:szCs w:val="19"/>
              </w:rPr>
              <w:t xml:space="preserve">SR 11-7 Three-Pillar Framework:
PILLAR 1: Model Development and Implementation
  Documentation: comprehensive model documentation (methodology, assumptions, limitations)
  Data: data quality, sourcing, preprocessing, representativeness testing
  Testing: in-sample performance, sensitivity analysis, stress testing
  Implementation: code review, unit testing, system integration testing
PILLAR 2: Model Validation (Independent — 'Four Eyes Principle')
  Conceptual soundness: is the model theoretically valid for the intended use?
  Benchmarking: comparison against challenger models and simpler benchmarks
  Outcomes analysis: backtesting against actual outcomes (OOT validation)
  Sensitivity analysis: how does performance change with key assumption changes?
PILLAR 3: Governance and Controls
  Model inventory: all models registered with ownership, materiality, risk tier
  Model risk tiering: Tier 1 (high — annual validation), Tier 2 (medium — biennial), Tier 3 (low — triennial)
  Model Risk Committee (MRC): CRO, CDO, Chief Model Risk Officer
  Escalation: PSI ≥ 0.20 → MRC review within 30 days; performance degradation ≥ 15% → revalidation
  Third-party model validation: independent validation every 3 years for Tier 1 models
SR 11-7 AI/ML Extension (OCC Guidance 2021):
  Post-hoc explainability (SHAP/LIME) as validation output
  Fairness testing as model validation component
  Ongoing monitoring at increased frequency for ML models
  Human oversight documentation for automated decisioning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Framework</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Key Requirements</w:t>
            </w:r>
          </w:p>
        </w:tc>
        <w:tc>
          <w:tcPr>
            <w:tcW w:type="dxa" w:w="4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AI-Specific Extensions</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OCC/FRB SR 11-7</w:t>
            </w:r>
          </w:p>
        </w:tc>
        <w:tc>
          <w:tcPr>
            <w:tcW w:type="dxa" w:w="3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Three pillars: development, validation, governance. Model inventory. MRC. Annual revalidation for Tier 1.</w:t>
            </w:r>
          </w:p>
        </w:tc>
        <w:tc>
          <w:tcPr>
            <w:tcW w:type="dxa" w:w="43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OCC 2021 AI guidance: explainability, fairness testing, OOT validation for ML; human oversight documentation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EBA GL/2020/06</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ML credit model validation: conceptual soundness, backtesting, sensitivity, explainability (s.5.4), ongoing monitoring</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Section 5.4: individual decision explainability (SHAP/LIME); bias testing across demographics; challenger model benchmarking</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OSFI E-23 (Jan 2024)</w:t>
            </w:r>
          </w:p>
        </w:tc>
        <w:tc>
          <w:tcPr>
            <w:tcW w:type="dxa" w:w="3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Comprehensive model risk management; first framework to mandate fairness AND explainability explicitly</w:t>
            </w:r>
          </w:p>
        </w:tc>
        <w:tc>
          <w:tcPr>
            <w:tcW w:type="dxa" w:w="43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Fairness testing (DI ratio), explainability (TreeSHAP), OOT validation — all as mandatory validation components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EU AI Act Annex III</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Pre-deployment testing: bias, robustness, accuracy; post-market monitoring; Annex IV documentation</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Adversarial testing (red-teaming) required; subgroup performance disaggregation; PSI-equivalent monitoring</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FDA AI/ML SaMD</w:t>
            </w:r>
          </w:p>
        </w:tc>
        <w:tc>
          <w:tcPr>
            <w:tcW w:type="dxa" w:w="3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Pre-market validation, real-world performance monitoring, predetermined change control plan (PCCP)</w:t>
            </w:r>
          </w:p>
        </w:tc>
        <w:tc>
          <w:tcPr>
            <w:tcW w:type="dxa" w:w="43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Algorithm change protocol; OOT validation against clinical outcomes; clinician usability testing</w:t>
            </w:r>
          </w:p>
        </w:tc>
      </w:tr>
    </w:tbl>
    <w:p>
      <w:pPr>
        <w:spacing w:after="80"/>
      </w:pPr>
      <w:r>
        <w:t xml:space="preserve"/>
      </w:r>
    </w:p>
    <w:p>
      <w:pPr>
        <w:spacing w:after="80"/>
      </w:pPr>
      <w:r>
        <w:t xml:space="preserve"/>
      </w:r>
    </w:p>
    <w:p>
      <w:r>
        <w:br w:type="page"/>
      </w:r>
    </w:p>
    <w:p>
      <w:pPr>
        <w:pStyle w:val="Heading1"/>
      </w:pPr>
      <w:r>
        <w:rPr>
          <w:rFonts w:ascii="Arial" w:cs="Arial" w:eastAsia="Arial" w:hAnsi="Arial"/>
          <w:b/>
          <w:bCs/>
          <w:color w:val="1F3864"/>
          <w:sz w:val="32"/>
          <w:szCs w:val="32"/>
        </w:rPr>
        <w:t xml:space="preserve">10.7  Enterprise Case Studies — 10 Organisations</w:t>
      </w:r>
    </w:p>
    <w:p>
      <w:pPr>
        <w:spacing w:after="120"/>
      </w:pPr>
      <w:r>
        <w:rPr>
          <w:rFonts w:ascii="Arial" w:cs="Arial" w:eastAsia="Arial" w:hAnsi="Arial"/>
          <w:color w:val="595959"/>
          <w:sz w:val="21"/>
          <w:szCs w:val="21"/>
        </w:rPr>
        <w:t xml:space="preserve">Five European deployments (Germany, United Kingdom, France, Netherlands, Sweden/Nordic) and five North American deployments (United States × 4, Canada) across financial services, technology, and AI safety.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1  🇩🇪  Germany  —  DZ Bank AG</w:t>
            </w:r>
            <w:r>
              <w:rPr>
                <w:rFonts w:ascii="Arial" w:cs="Arial" w:eastAsia="Arial" w:hAnsi="Arial"/>
                <w:color w:val="AED6F1"/>
                <w:sz w:val="19"/>
                <w:szCs w:val="19"/>
              </w:rPr>
              <w:t xml:space="preserve">    |    Retail &amp; Corporate Banking — SR 11-7 Model Validation    |    OOT Validation + PSI + KS Statistic (BaFin, EBA GL/2020/06)</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DZ Bank AG, Frankfurt — EUR 634B total assets, central institution for 739 German cooperative banks (Volksbanken/Raiffeisenbanken). Model Risk Management: comprehensive AI model validation programme for consumer credit scoring, SME lending risk, and IRB internal ratings-based capital models. Regulated by BaFin and ECB SSM. Subject to EBA GL/2020/06, Basel IV (CRR3), and OCC SR 11-7 (adopted as best practice).</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BaFin and ECB SSM Joint Supervisory Team (JST) examination: DZ Bank's ML-based credit scoring models lacked systematic OOT validation documentation. EBA GL/2020/06 s.5.2 requires 'backtesting against actual outcomes' for ML credit models. Three Tier 1 models (consumer credit, SME PD, LGD) flagged for missing PSI monitoring and inadequate OOT validation periods.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Implemented SR 11-7-aligned three-pillar model validation framework. Tier 1 models: 18-month OOT validation (training: 2020-2022, OOT: H1 2023). PSI monitoring: monthly score distribution tracking across 10 equal-frequency bins. KS statistic: quarterly model discrimination testing. Challenger model: logistic regression benchmark tested on OOT data. All findings documented in Model Risk Committee quarterly report.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Validation Methodology</w:t>
            </w:r>
          </w:p>
          <w:p>
            <w:pPr>
              <w:spacing w:after="0"/>
            </w:pPr>
            <w:r>
              <w:rPr>
                <w:rFonts w:ascii="Arial" w:cs="Arial" w:eastAsia="Arial" w:hAnsi="Arial"/>
                <w:color w:val="595959"/>
                <w:sz w:val="19"/>
                <w:szCs w:val="19"/>
              </w:rPr>
              <w:t xml:space="preserve">OOT design: 18-month temporal hold-out. PSI calculation: 10 bins, monthly tracking — PSI threshold: ≥0.20 triggers MRC escalation. KS statistic: quarterly — model discrimination KS = 42% (good range). AUC-ROC: 0.78 (development) vs 0.76 (OOT) — within 2% tolerance. Gini coefficient: 0.56 → 0.52 on OOT (4% degradation — within 10% tolerance). Challenger: logistic regression AUC = 0.71 — XGBoost model retains 7pp advantage.</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EBA GL/2020/06 s.5.2: backtesting against actual outcomes required. BaFin AI Supervisory Framework: OOT validation documented in model governance report. ECB SSM: TRIM (Targeted Review of Internal Models) — SR 11-7 OOT validation satisfies backtesting requirement. Basel IV CRR3: IRB model validation requirements include backtesting. EBA RTS on IRB: minimum 7-year PD backtesting horizon.</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Outcomes / Impact</w:t>
            </w:r>
          </w:p>
          <w:p>
            <w:pPr>
              <w:spacing w:after="0"/>
            </w:pPr>
            <w:r>
              <w:rPr>
                <w:rFonts w:ascii="Arial" w:cs="Arial" w:eastAsia="Arial" w:hAnsi="Arial"/>
                <w:color w:val="595959"/>
                <w:sz w:val="19"/>
                <w:szCs w:val="19"/>
              </w:rPr>
              <w:t xml:space="preserve">O — O  ·  A — l  ·  G — o  ·  E — C</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2  🇬🇧  United Kingdom  —  HSBC Holdings plc</w:t>
            </w:r>
            <w:r>
              <w:rPr>
                <w:rFonts w:ascii="Arial" w:cs="Arial" w:eastAsia="Arial" w:hAnsi="Arial"/>
                <w:color w:val="AED6F1"/>
                <w:sz w:val="19"/>
                <w:szCs w:val="19"/>
              </w:rPr>
              <w:t xml:space="preserve">    |    Retail Banking — Monthly PSI &amp; KS Monitoring    |    Population Stability Index + KS Drift (PRA SS1/23, SR 11-7)</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HSBC Holdings, London — USD 3.0T assets, 40M customers. Enterprise Risk Analytics: monthly PSI and KS monitoring programme for all Tier 1 and Tier 2 retail credit models. Regulated by PRA. Subject to PRA Supervisory Statement SS1/23 (model risk management), FCA Consumer Duty 2023, EBA GL/2020/06, and SS3/21 (climate-related financial risk modelling).</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PRA SS1/23 (effective May 2024) introduced the first UK-specific model risk management supervisory statement — aligning closely with SR 11-7 but with additional requirements for ML models: mandatory ongoing monitoring, performance decay thresholds, and third-party model validation. HSBC had 340+ active models requiring PSI and KS monitoring under the new standard. Monthly monitoring at this scale required automation.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Automated model monitoring platform: monthly PSI calculation across 340+ models. Alert tiers: Green (PSI&lt;0.10), Amber (0.10-0.20), Red (PSI≥0.20). KS monthly monitoring: score distribution separation tested against development period. Performance decay alert: AUC degradation ≥ 10pp vs development → automatic Model Risk Committee notification. PRA SS1/23 model inventory: all models registered with tier, validation date, next review date.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Validation Methodology</w:t>
            </w:r>
          </w:p>
          <w:p>
            <w:pPr>
              <w:spacing w:after="0"/>
            </w:pPr>
            <w:r>
              <w:rPr>
                <w:rFonts w:ascii="Arial" w:cs="Arial" w:eastAsia="Arial" w:hAnsi="Arial"/>
                <w:color w:val="595959"/>
                <w:sz w:val="19"/>
                <w:szCs w:val="19"/>
              </w:rPr>
              <w:t xml:space="preserve">PSI: 10 equal-frequency bins, monthly calculation for 340+ models. Threshold matrix: Green/Amber/Red. KS two-sample drift test: monthly feature distribution comparison. AUC-ROC monitoring: monthly backtesting against 3-month outcome windows. Automated reporting: Model Risk Committee monthly dashboard — RAG status per model. Third-party validation: Deloitte independent validation for all Tier 1 models annually.</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PRA SS1/23 (May 2024): model risk management supervisory statement — mandatory monitoring, performance decay protocols. EBA GL/2020/06: ML credit model validation and ongoing monitoring. SR 11-7 (adopted as best practice): three-pillar model risk framework. FCA Consumer Duty 2023: outcome monitoring — model performance by customer segment. SS3/21: climate risk model validation and monitoring.</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Outcomes / Impact</w:t>
            </w:r>
          </w:p>
          <w:p>
            <w:pPr>
              <w:spacing w:after="0"/>
            </w:pPr>
            <w:r>
              <w:rPr>
                <w:rFonts w:ascii="Arial" w:cs="Arial" w:eastAsia="Arial" w:hAnsi="Arial"/>
                <w:color w:val="595959"/>
                <w:sz w:val="19"/>
                <w:szCs w:val="19"/>
              </w:rPr>
              <w:t xml:space="preserve">U — n  ·  F — u  ·  M — o  ·  Z — e</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3  🇫🇷  France  —  BNP Paribas S.A.</w:t>
            </w:r>
            <w:r>
              <w:rPr>
                <w:rFonts w:ascii="Arial" w:cs="Arial" w:eastAsia="Arial" w:hAnsi="Arial"/>
                <w:color w:val="AED6F1"/>
                <w:sz w:val="19"/>
                <w:szCs w:val="19"/>
              </w:rPr>
              <w:t xml:space="preserve">    |    Corporate &amp; Investment Banking — IRB Model Validation    |    AUC-ROC + Gini + Brier Score (EBA GL/2020/06, Basel IV)</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BNP Paribas SA, Paris — EUR 2.7T assets, largest eurozone bank. Risk Management: comprehensive validation programme for IRB (Internal Ratings-Based) credit risk models — PD (Probability of Default), LGD (Loss Given Default), EAD (Exposure at Default) across 28 countries. Regulated by ACPR and ECB SSM. Subject to EBA GL on PD estimation (EBA/GL/2017/16), Basel IV CRR3, and EBA GL/2020/06.</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EBA/GL/2017/16 requires annual model performance testing for all IRB models: discriminatory power (AUC/Gini), calibration (Brier score, mean PD vs actual default rates), stability (PSI, KS drift), and concentration analysis. BNP Paribas manages 180+ IRB models across jurisdictions with varying regulatory requirements. ECB TRIM (Targeted Review of Internal Models) identified calibration weaknesses in 3 LGD models.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Comprehensive IRB model validation: (1) Discriminatory power: AUC-ROC, Gini coefficient, KS statistic per model per annual cohort. (2) Calibration: Brier score, reliability diagrams, traffic-light approach (TLA) for PD calibration. (3) Stability: PSI monthly for score distributions; KS annual for feature drift. (4) Benchmark: logistic regression challenger model, expert-based scorecard comparison. ECB TRIM remediation: Brier score monitoring added for all LGD models.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Validation Methodology</w:t>
            </w:r>
          </w:p>
          <w:p>
            <w:pPr>
              <w:spacing w:after="0"/>
            </w:pPr>
            <w:r>
              <w:rPr>
                <w:rFonts w:ascii="Arial" w:cs="Arial" w:eastAsia="Arial" w:hAnsi="Arial"/>
                <w:color w:val="595959"/>
                <w:sz w:val="19"/>
                <w:szCs w:val="19"/>
              </w:rPr>
              <w:t xml:space="preserve">IRB validation suite: AUC-ROC annual (development vs most recent 12-month cohort). Gini coefficient: EBA benchmark Gini &gt; 0.40 — BNP retail PD model Gini = 0.48 (pass). Brier score: LGD model Brier = 0.09 (good calibration). TLA (traffic light approach): green &lt; 25th percentile of binomial distribution; amber 25-75th; red &gt; 75th. EBA/GL/2017/16 requires all three traffic lights reported to supervisor.</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EBA/GL/2017/16: IRB model performance testing — discriminatory power, calibration, stability. EBA GL/2020/06 s.5: ML credit model validation, including explainability (s.5.4). Basel IV CRR3 (Jan 2025): revised IRB constraints — output floor, removal of advanced IRB for certain exposures. ECB TRIM: Targeted Review of Internal Models — AUC, Gini, Brier score, PSI required in TRIM response package.</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Outcomes / Impact</w:t>
            </w:r>
          </w:p>
          <w:p>
            <w:pPr>
              <w:spacing w:after="0"/>
            </w:pPr>
            <w:r>
              <w:rPr>
                <w:rFonts w:ascii="Arial" w:cs="Arial" w:eastAsia="Arial" w:hAnsi="Arial"/>
                <w:color w:val="595959"/>
                <w:sz w:val="19"/>
                <w:szCs w:val="19"/>
              </w:rPr>
              <w:t xml:space="preserve">U — n  ·  R — e  ·  C — a  ·  L — G</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4  🇳🇱  Netherlands  —  ING Group N.V.</w:t>
            </w:r>
            <w:r>
              <w:rPr>
                <w:rFonts w:ascii="Arial" w:cs="Arial" w:eastAsia="Arial" w:hAnsi="Arial"/>
                <w:color w:val="AED6F1"/>
                <w:sz w:val="19"/>
                <w:szCs w:val="19"/>
              </w:rPr>
              <w:t xml:space="preserve">    |    Enterprise AI — Red-Teaming LLM (EU AI Act, DORA)    |    Structured Red-Teaming + OWASP LLM Top 10 (EU AI Act Annex III)</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ING Group NV, Amsterdam — EUR 1.0T assets, 38M customers. AI Centre of Excellence: structured red-teaming programme for enterprise LLM deployments including ING's customer service AI (Inge), lending decision support, and fraud detection NLP. Regulated by DNB (De Nederlandsche Bank). Subject to EU AI Act Annex III (high-risk AI: credit scoring, fraud detection), DORA (Digital Operational Resilience Act), GDPR, and EBA ICT and security risk guidelines.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ING's enterprise LLM deployments (customer service AI, lending AI, internal knowledge management) required red-teaming before deployment per EU AI Act Annex III robustness requirements and DORA ICT risk management. Three specific risks identified: (1) prompt injection via customer-submitted documents in lending AI, (2) sensitive customer data disclosure via memorisation in knowledge AI, (3) jailbreak of content moderation in customer service AI (Inge).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Quarterly structured red-team programme: Phase 1 automated testing (AdvBench, HarmBench prompt injection suite) — 2,000 automated adversarial prompts per model per quarter. Phase 2 human red-team (internal AI safety team: 6 specialists + quarterly external red-team). Phase 3 OWASP LLM Top 10 systematic assessment — severity × likelihood matrix for each risk. Findings remediated within SLA: Critical (7 days), High (30 days), Medium (90 days).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Validation Methodology</w:t>
            </w:r>
          </w:p>
          <w:p>
            <w:pPr>
              <w:spacing w:after="0"/>
            </w:pPr>
            <w:r>
              <w:rPr>
                <w:rFonts w:ascii="Arial" w:cs="Arial" w:eastAsia="Arial" w:hAnsi="Arial"/>
                <w:color w:val="595959"/>
                <w:sz w:val="19"/>
                <w:szCs w:val="19"/>
              </w:rPr>
              <w:t xml:space="preserve">Automated: AdvBench 520 harmful behaviour prompts; HarmBench 400 attack prompts across 35 attack methods. Human: red-team taxonomy — safety violations (Tier 1), policy violations (Tier 2), quality failures (Tier 3). CVSS-adapted severity scoring (1-10). Prompt injection testing: direct injection, indirect via RAG documents. PII disclosure: 500 targeted extraction attempts per model. Jailbreak: 50 novel attack scenarios per quarter. DORA ICT resilience: red-team findings fed into operational resilience planning.</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EU AI Act Annex III: robustness testing including adversarial testing required for high-risk AI systems. Annex IV s.5: testing methodology and results must be documented. DORA (Digital Operational Resilience Act): ICT risk management — red-team findings as security risk input. GDPR Art.25: data protection by design — PII disclosure testing. EBA ICT Guidelines: ICT security testing including penetration testing and red-teaming. DNB: quarterly AI risk reporting includes red-team findings.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Outcomes / Impact</w:t>
            </w:r>
          </w:p>
          <w:p>
            <w:pPr>
              <w:spacing w:after="0"/>
            </w:pPr>
            <w:r>
              <w:rPr>
                <w:rFonts w:ascii="Arial" w:cs="Arial" w:eastAsia="Arial" w:hAnsi="Arial"/>
                <w:color w:val="595959"/>
                <w:sz w:val="19"/>
                <w:szCs w:val="19"/>
              </w:rPr>
              <w:t xml:space="preserve">A — u  ·  A — l  ·  R — o  ·  N — o</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5  🇸🇪  Sweden  —  Nordea Bank Abp</w:t>
            </w:r>
            <w:r>
              <w:rPr>
                <w:rFonts w:ascii="Arial" w:cs="Arial" w:eastAsia="Arial" w:hAnsi="Arial"/>
                <w:color w:val="AED6F1"/>
                <w:sz w:val="19"/>
                <w:szCs w:val="19"/>
              </w:rPr>
              <w:t xml:space="preserve">    |    Retail Banking — Model Validation Framework (EBA + OSFI-equivalent)    |    AUC + PSI + OOT Validation (Finansinspektionen, EBA GL/2020/06)</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Nordea Bank Abp, Helsinki/Stockholm — EUR 612B assets, largest Nordic bank. Group Model Risk: comprehensive model validation framework for mortgage and consumer credit AI across Finland, Sweden, Denmark, Norway. Regulated by ECB SSM and Finnish Financial Supervisory Authority (FIN-FSA/Finansinspektionen). Subject to EBA GL/2020/06, ECB TRIM, PRA SS1/23 (UK operations), and Nordic FSA model risk guidelines.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Multi-jurisdiction challenge: Nordea operates under ECB SSM (primary supervisor), FIN-FSA (Finland), and coordinates with Swedish Finansinspektionen and Norwegian Finanstilsynet — each with partially different model validation requirements. EBA GL/2020/06 is the common European standard, but UK operations (post-Brexit) must also comply with PRA SS1/23. Inconsistent OOT validation practices across Nordic operations flagged by ECB JST.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Harmonised model validation framework for all 4 Nordic jurisdictions: (1) OOT validation design standardised — 18-month temporal hold-out, training: 2020-2022, OOT: Jan-Jun 2023. (2) PSI monthly monitoring with common Green/Amber/Red thresholds across all jurisdictions. (3) AUC-ROC quarterly reporting to local FSA. (4) Challenger model: simple logistic regression required for all Tier 1 models. (5) Group-level MRC with local FSA reporting.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Validation Methodology</w:t>
            </w:r>
          </w:p>
          <w:p>
            <w:pPr>
              <w:spacing w:after="0"/>
            </w:pPr>
            <w:r>
              <w:rPr>
                <w:rFonts w:ascii="Arial" w:cs="Arial" w:eastAsia="Arial" w:hAnsi="Arial"/>
                <w:color w:val="595959"/>
                <w:sz w:val="19"/>
                <w:szCs w:val="19"/>
              </w:rPr>
              <w:t xml:space="preserve">OOT: 18-month hold-out across all Tier 1 models. PSI automation: 340+ models across 4 countries — common threshold matrix. Mortgage credit Gini coefficient: 0.52 (EBA benchmark: &gt;0.40 pass). AUC-ROC: mortgage model 0.79 (development) → 0.77 (OOT) — 2pp degradation within tolerance. Challenger: logistic regression AUC 0.71 — XGBoost challenger 0.77 approved as new champion. PSI monitoring: 3 models triggered Amber in Q3 2023 → investigated and cleared.</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EBA GL/2020/06: ML credit model validation including backtesting and ongoing monitoring. ECB TRIM: Targeted Review of Internal Models — OOT documentation and PSI monitoring required. ECB JST: Joint Supervisory Team requiring harmonised validation across Nordic jurisdictions. FIN-FSA: Finnish model risk guidelines aligned with EBA. PRA SS1/23 (UK operations): model risk management and performance monitoring. Nordic FSAs: coordinated supervisory college.</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Outcomes / Impact</w:t>
            </w:r>
          </w:p>
          <w:p>
            <w:pPr>
              <w:spacing w:after="0"/>
            </w:pPr>
            <w:r>
              <w:rPr>
                <w:rFonts w:ascii="Arial" w:cs="Arial" w:eastAsia="Arial" w:hAnsi="Arial"/>
                <w:color w:val="595959"/>
                <w:sz w:val="19"/>
                <w:szCs w:val="19"/>
              </w:rPr>
              <w:t xml:space="preserve">H — a  ·  A — u  ·  M — o  ·  H — a</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6  🇺🇸  United States  —  Goldman Sachs Group Inc.</w:t>
            </w:r>
            <w:r>
              <w:rPr>
                <w:rFonts w:ascii="Arial" w:cs="Arial" w:eastAsia="Arial" w:hAnsi="Arial"/>
                <w:color w:val="AED6F1"/>
                <w:sz w:val="19"/>
                <w:szCs w:val="19"/>
              </w:rPr>
              <w:t xml:space="preserve">    |    Consumer Banking — SR 11-7 Model Risk for Marcus AI    |    OCC SR 11-7 Three-Pillar Validation (CFPB, OCC, Fed)</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Goldman Sachs Group Inc., New York — USD 1.6T assets. Model Risk Management: SR 11-7 three-pillar model validation for Marcus consumer lending AI (personal loans, savings accounts, credit card — Apple Card). Supervised by Federal Reserve and NY Fed. Subject to OCC SR 11-7, CFPB fair lending, OCC model risk guidance (2021 AI supplement), and Federal Reserve SR 11-7 interpretive letter.</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Apple Card launch (2019) exposed Goldman Sachs to CFPB and NYDFS scrutiny over AI-driven credit decisions (Chapter 8 context). Goldman's SR 11-7 model validation framework for Marcus AI models required significant enhancement: (1) inadequate OOT validation for rapidly changing consumer credit behaviour, (2) SHAP explainability not yet integrated into validation reports, (3) fairness testing not formalized as model validation component.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Enhanced SR 11-7 framework for all Marcus Tier 1 models: (1) Model Development: 24-month training window with quarterly refresh cycle. (2) Model Validation: OOT validation 6-month hold-out; AUC-ROC, KS, PSI, Brier score suite; SHAP integration into validation report; fairness testing (DI ratio) for ECOA compliance. (3) Governance: monthly MRC model risk dashboard; new Apple Card model pre-launch DI testing mandated by NYDFS consent order.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Validation Methodology</w:t>
            </w:r>
          </w:p>
          <w:p>
            <w:pPr>
              <w:spacing w:after="0"/>
            </w:pPr>
            <w:r>
              <w:rPr>
                <w:rFonts w:ascii="Arial" w:cs="Arial" w:eastAsia="Arial" w:hAnsi="Arial"/>
                <w:color w:val="595959"/>
                <w:sz w:val="19"/>
                <w:szCs w:val="19"/>
              </w:rPr>
              <w:t xml:space="preserve">OOT design: 6-month temporal hold-out, quarterly refresh. AUC-ROC: Marcus personal loan model 0.83 (development) → 0.81 (OOT). KS: 46% → 43% (OOT) — within tolerance. PSI: monthly, all models Green. Brier score: 0.087 (well-calibrated). SHAP in validation report: top-5 feature importance documented. Fairness testing: DI ratio computed for race, gender, national origin across all credit models — documented in quarterly MRC report.</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OCC SR 11-7: three-pillar model risk — development, validation, governance. Fed SR 11-7: identical requirements for bank holding companies. OCC AI/ML Model Risk Guidance (2021 supplement): explainability (SHAP), fairness testing, OOT validation for ML models. CFPB: fair lending examination — DI testing required. NYDFS consent order (Apple Card 2020): pre-launch DI testing mandatory for all new products. ECOA Regulation B: adverse action specific reasons.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Outcomes / Impact</w:t>
            </w:r>
          </w:p>
          <w:p>
            <w:pPr>
              <w:spacing w:after="0"/>
            </w:pPr>
            <w:r>
              <w:rPr>
                <w:rFonts w:ascii="Arial" w:cs="Arial" w:eastAsia="Arial" w:hAnsi="Arial"/>
                <w:color w:val="595959"/>
                <w:sz w:val="19"/>
                <w:szCs w:val="19"/>
              </w:rPr>
              <w:t xml:space="preserve">M — a  ·  A — l  ·  P — r  ·  T — h</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7  🇺🇸  United States  —  Microsoft Corporation</w:t>
            </w:r>
            <w:r>
              <w:rPr>
                <w:rFonts w:ascii="Arial" w:cs="Arial" w:eastAsia="Arial" w:hAnsi="Arial"/>
                <w:color w:val="AED6F1"/>
                <w:sz w:val="19"/>
                <w:szCs w:val="19"/>
              </w:rPr>
              <w:t xml:space="preserve">    |    Enterprise AI — LLM Benchmarking &amp; Red-Teaming    |    MMLU + HellaSwag + HumanEval + Red-Teaming (EU AI Act GPAI, EO 14110)</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Microsoft Corporation, Redmond WA — USD 245B revenue. Responsible AI + Azure OpenAI Service: comprehensive evaluation programme for Azure OpenAI LLMs (GPT-4, GPT-4 Turbo, Phi-3 family). Subject to US Executive Order 14110 (AI safety reporting to NIST), EU AI Act GPAI Title II (Azure OpenAI as GPAI provider in EU), GDPR, and NIST AI RMF 1.0. Azure OpenAI serves 60%+ of Fortune 500 companies.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US EO 14110 requires foundation model providers with training runs above 10²⁶ FLOPs to report safety test results to the US government (NIST). EU AI Act GPAI Title II requires comprehensive technical documentation for GPAI models deployed in the EU — including benchmark evaluation results, red-team findings, and capability limitations. Azure OpenAI serves regulated enterprises (banks, healthcare, government) requiring benchmark transparency for their own AI Act compliance.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Microsoft GPAI evaluation suite: (1) Capability benchmarks: MMLU (knowledge), HellaSwag (commonsense), HumanEval (code), TruthfulQA (factual accuracy), MT-Bench (instruction following). (2) Safety evaluation: Microsoft AI Red Team (AIRT) — structured adversarial testing against OWASP LLM Top 10, jailbreak resistance, harmful content. (3) Fairness: demographic parity testing across protected characteristics in model outputs. Results published in Azure OpenAI transparency reports and EU AI Act GPAI technical documentation.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Validation Methodology</w:t>
            </w:r>
          </w:p>
          <w:p>
            <w:pPr>
              <w:spacing w:after="0"/>
            </w:pPr>
            <w:r>
              <w:rPr>
                <w:rFonts w:ascii="Arial" w:cs="Arial" w:eastAsia="Arial" w:hAnsi="Arial"/>
                <w:color w:val="595959"/>
                <w:sz w:val="19"/>
                <w:szCs w:val="19"/>
              </w:rPr>
              <w:t xml:space="preserve">Benchmark suite: MMLU (GPT-4: 86.4%), HellaSwag (95.3%), HumanEval (67%, pass@1), TruthfulQA (59%). Red-team: AIRT structured adversarial testing — 1,000+ attack scenarios per model release. Jailbreak resistance: scored 1-10 per attack category. Safety classifier: OWASP LLM01-10 systematic assessment. Phi-3 small model benchmarking: MMLU 69%, HellaSwag 78%, HumanEval 58% — cost-performance Pareto optimisation for enterprise deployment.</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US EO 14110: foundation model safety test reporting to NIST (training runs &gt;10²⁶ FLOPs). EU AI Act GPAI Title II: technical documentation including benchmarks and red-team results — Azure OpenAI GPAI documentation published. NIST AI RMF 1.0: GOVERN-MAP-MEASURE-MANAGE applied to LLM evaluation. GDPR: evaluation data provenance and personal data in benchmarks. NIST AI 100-2 (adversarial ML): red-team methodology aligned.</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Outcomes / Impact</w:t>
            </w:r>
          </w:p>
          <w:p>
            <w:pPr>
              <w:spacing w:after="0"/>
            </w:pPr>
            <w:r>
              <w:rPr>
                <w:rFonts w:ascii="Arial" w:cs="Arial" w:eastAsia="Arial" w:hAnsi="Arial"/>
                <w:color w:val="595959"/>
                <w:sz w:val="19"/>
                <w:szCs w:val="19"/>
              </w:rPr>
              <w:t xml:space="preserve">G — P  ·  A — I  ·  S — a  ·  E — U</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8  🇺🇸  United States  —  Citigroup Inc.</w:t>
            </w:r>
            <w:r>
              <w:rPr>
                <w:rFonts w:ascii="Arial" w:cs="Arial" w:eastAsia="Arial" w:hAnsi="Arial"/>
                <w:color w:val="AED6F1"/>
                <w:sz w:val="19"/>
                <w:szCs w:val="19"/>
              </w:rPr>
              <w:t xml:space="preserve">    |    Retail Banking — AUC + OOT Validation for Fraud AI    |    AUC-PR + OOT Validation + PSI (OCC SR 11-7, CFPB)</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Citigroup Inc., New York — USD 2.4T assets, 200M accounts globally. Enterprise Fraud Risk: AUC-PR and OOT validation programme for real-time payment fraud detection AI across card, ACH, wire, and digital banking channels. Supervised by OCC and Federal Reserve. Subject to OCC SR 11-7, CFPB UDAP/UDAAP, Federal Financial Institutions Examination Council (FFIEC) fraud examination guidelines, and Reg E (Electronic Fund Transfers).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Fraud detection AI poses unique model risk challenges: (1) Severely imbalanced data (fraud rate: 0.1-0.5%) makes AUC-ROC misleading — AUC-PR essential for fraud. (2) Rapid concept drift: fraud tactics evolve faster than credit behaviour — OOT hold-out of 3 months (vs 12 months for credit) required. (3) CFPB UDAAP enforcement risk if false positive rate is discriminatory by demographic group. (4) Reg E: consumer dispute resolution requires explainable fraud decisions.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Fraud AI validation suite: AUC-PR (primary metric — not AUC-ROC) for all fraud models. OOT design: 3-month temporal hold-out (vs 12-month for credit — faster fraud pattern evolution). PSI: weekly (not monthly) — fraud patterns shift faster than credit. Daily false positive rate monitoring by channel and demographic segment. Concept drift: rolling 30-day feature distribution monitoring. Champion-challenger: new model tested on 10% live traffic before full deployment.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Validation Methodology</w:t>
            </w:r>
          </w:p>
          <w:p>
            <w:pPr>
              <w:spacing w:after="0"/>
            </w:pPr>
            <w:r>
              <w:rPr>
                <w:rFonts w:ascii="Arial" w:cs="Arial" w:eastAsia="Arial" w:hAnsi="Arial"/>
                <w:color w:val="595959"/>
                <w:sz w:val="19"/>
                <w:szCs w:val="19"/>
              </w:rPr>
              <w:t xml:space="preserve">AUC-PR: payment fraud model 0.74 (development) → 0.71 (OOT) — 3pp within tolerance. AUC-ROC: 0.97 — high but misleading given imbalance. F1-score at operating threshold: 0.68. Weekly PSI: 3 models triggered Amber in Q4 2023 (post-holiday fraud pattern shift) → models retrained. Concept drift: 30-day rolling KS test on top-10 features — automated alert if KS &gt; 0.20. Champion-challenger: 10% traffic split with automated rollback if AUC-PR degrades &gt; 3pp.</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OCC SR 11-7: model risk — AUC-PR chosen over AUC-ROC for imbalanced fraud data (documented in model methodology). CFPB UDAAP: demographic disparate impact in fraud false positive rates tested quarterly. Reg E: fraud decision explainability — SHAP adverse action for disputed transactions. FFIEC Fraud Examination Handbook: fraud model validation requirements. OCC AI/ML Guidance 2021: concept drift monitoring as ongoing model risk management.</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Outcomes / Impact</w:t>
            </w:r>
          </w:p>
          <w:p>
            <w:pPr>
              <w:spacing w:after="0"/>
            </w:pPr>
            <w:r>
              <w:rPr>
                <w:rFonts w:ascii="Arial" w:cs="Arial" w:eastAsia="Arial" w:hAnsi="Arial"/>
                <w:color w:val="595959"/>
                <w:sz w:val="19"/>
                <w:szCs w:val="19"/>
              </w:rPr>
              <w:t xml:space="preserve">F — r  ·  F — a  ·  3 — 0  ·  N — e</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9  🇺🇸  United States  —  Anthropic PBC</w:t>
            </w:r>
            <w:r>
              <w:rPr>
                <w:rFonts w:ascii="Arial" w:cs="Arial" w:eastAsia="Arial" w:hAnsi="Arial"/>
                <w:color w:val="AED6F1"/>
                <w:sz w:val="19"/>
                <w:szCs w:val="19"/>
              </w:rPr>
              <w:t xml:space="preserve">    |    AI Safety — Model Evaluation &amp; Red-Teaming (RSP)    |    Safety Evaluations + Red-Teaming (RSP, EU AI Act GPAI, EO 14110)</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Anthropic PBC, San Francisco — AI safety-focused AI company, creator of Claude AI. Safety Team + Model Evaluation Research: comprehensive AI safety evaluation and red-teaming programme under Anthropic's Responsible Scaling Policy (RSP) and CBRN (Chemical, Biological, Radiological, Nuclear) uplift testing. Subject to US EO 14110 (training run reporting), EU AI Act GPAI Title II, NIST AI Safety Institute (AISIE) collaboration, and voluntary commitments to UK AI Safety Institute (UKASI).</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Anthropic's RSP defines AI Safety Levels (ASL-1 through ASL-4) tied to capability evaluations. Each Claude model release requires: (1) evals showing the model does not cross ASL-3 thresholds (CBRN uplift above a defined threshold, autonomous replication and adaptation above threshold), (2) structured red-teaming for jailbreaks, harmful content, and dangerous capability elicitation, (3) Constitutional AI evaluation, (4) GPAI technical documentation for EU AI Act compliance.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RSP-aligned evaluation programme: (1) Capability evals: CBRN uplift testing (chemistry, bioweapons, cyber) — structured expert panel evaluation. (2) Automated safety evals: HarmBench, AdvBench, jailbreak classification. (3) Constitutional AI evaluation: RLHF reward model evaluation and preference alignment. (4) Benchmark suite: MMLU, HellaSwag, HumanEval, BIG-Bench Hard, HELM. (5) Human red-team: external contractors, UK/US AI Safety Institute collaboration.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Validation Methodology</w:t>
            </w:r>
          </w:p>
          <w:p>
            <w:pPr>
              <w:spacing w:after="0"/>
            </w:pPr>
            <w:r>
              <w:rPr>
                <w:rFonts w:ascii="Arial" w:cs="Arial" w:eastAsia="Arial" w:hAnsi="Arial"/>
                <w:color w:val="595959"/>
                <w:sz w:val="19"/>
                <w:szCs w:val="19"/>
              </w:rPr>
              <w:t xml:space="preserve">CBRN uplift evals: NIST-aligned capability thresholds — uplift defined as model providing meaningful assistance above publicly available information baseline. HarmBench: 400 attack prompts across 35 attack methods — refusal rate target ≥ 95%. MMLU: Claude 3 Sonnet 86.7%, Haiku 75.2%. HumanEval: 73% (pass@1). Constitutional AI harmlessness: preference model accuracy 92% for harmful vs helpful trade-off. Alignment evaluation: reward model consistency across 10,000 human preference comparisons.</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US EO 14110: NIST AI Safety Institute collaboration — Anthropic signed voluntary commitment; pre-deployment safety testing for frontier models. EU AI Act GPAI Title II: technical documentation including capabilities, limitations, benchmark results, and red-team findings. UK AI Safety Institute: bilateral information-sharing agreement — RSP evaluations shared pre-deployment. NIST AI 100-1 (AI RMF): Anthropic GOVERN-MAP-MEASURE-MANAGE aligned. Voluntary AI Safety Commitments (White House 2023): red-teaming and safety evaluations.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Outcomes / Impact</w:t>
            </w:r>
          </w:p>
          <w:p>
            <w:pPr>
              <w:spacing w:after="0"/>
            </w:pPr>
            <w:r>
              <w:rPr>
                <w:rFonts w:ascii="Arial" w:cs="Arial" w:eastAsia="Arial" w:hAnsi="Arial"/>
                <w:color w:val="595959"/>
                <w:sz w:val="19"/>
                <w:szCs w:val="19"/>
              </w:rPr>
              <w:t xml:space="preserve">A — S  ·  R — e  ·  N — I  ·  E — U</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10  🇨🇦  Canada  —  Canadian Imperial Bank (CIBC)</w:t>
            </w:r>
            <w:r>
              <w:rPr>
                <w:rFonts w:ascii="Arial" w:cs="Arial" w:eastAsia="Arial" w:hAnsi="Arial"/>
                <w:color w:val="AED6F1"/>
                <w:sz w:val="19"/>
                <w:szCs w:val="19"/>
              </w:rPr>
              <w:t xml:space="preserve">    |    Retail Banking — OSFI E-23 Comprehensive Model Validation    |    Full OSFI E-23 Validation Suite (AUC + PSI + OOT + Explainability)</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Canadian Imperial Bank of Commerce (CIBC), Toronto — CAD 1.0T assets, 13M customers. Model Risk Management: comprehensive OSFI E-23 compliant model validation framework for mortgage, consumer credit, and fraud detection AI. Regulated by OSFI. Subject to OSFI E-23 (effective January 2024), Canada AIDA (Bill C-27, proposed), FCAC Mortgage Guideline B-20, Quebec Law 25, and PIPEDA.</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OSFI E-23 (effective January 2024) is the most comprehensive bank model risk management guideline in Canada — requiring fairness testing, explainability, OOT validation, and meaningful explanation as mandatory model validation components. CIBC faced a dual challenge: (1) implementing a new E-23 compliant framework across 200+ models within the 12-month transition period, and (2) simultaneously preparing for Canada's proposed AIDA high-impact AI requirements.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E-23 compliant validation framework: (1) Performance: AUC-ROC, KS, Gini (credit); AUC-PR, F1 (fraud). (2) Calibration: Brier score for PD models. (3) Stability: PSI monthly, KS drift quarterly. (4) OOT validation: 12-month temporal hold-out for credit, 3-month for fraud. (5) Explainability: TreeSHAP for all credit XGBoost models — SHAP in validation report. (6) Fairness: DI ratio across CHRA prohibited grounds. (7) Explainability to affected individuals: SHAP adverse action letters in English and French.</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Validation Methodology</w:t>
            </w:r>
          </w:p>
          <w:p>
            <w:pPr>
              <w:spacing w:after="0"/>
            </w:pPr>
            <w:r>
              <w:rPr>
                <w:rFonts w:ascii="Arial" w:cs="Arial" w:eastAsia="Arial" w:hAnsi="Arial"/>
                <w:color w:val="595959"/>
                <w:sz w:val="19"/>
                <w:szCs w:val="19"/>
              </w:rPr>
              <w:t xml:space="preserve">OSFI E-23 validation checklist: 47-item validation framework implemented across 200+ models. Credit models: AUC-ROC 0.79 mortgage model; Gini 0.58 (passes E-23 ≥0.40 benchmark); PSI monthly (all Green); OOT 12-month hold-out. Fraud models: AUC-PR 0.73; weekly PSI monitoring. TreeSHAP: all Tier 1 credit models — top-5 SHAP features in validation report. Fairness: DI ratio tested across 11 CHRA grounds — all ≥0.80. AIDA readiness: 'plain language explanation' format ready.</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OSFI E-23 (January 2024): comprehensive model risk management — performance, stability, OOT validation, explainability, fairness all mandatory. Canada AIDA (Bill C-27, proposed): high-impact AI — bias impact assessment, plain language explanation. FCAC Guideline B-20: mortgage suitability — model validation transparency. Quebec Law 25: automated decision notification and human review. Official Languages Act: bilingual adverse action letters. PIPEDA: personal information in credit decisions.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Outcomes / Impact</w:t>
            </w:r>
          </w:p>
          <w:p>
            <w:pPr>
              <w:spacing w:after="0"/>
            </w:pPr>
            <w:r>
              <w:rPr>
                <w:rFonts w:ascii="Arial" w:cs="Arial" w:eastAsia="Arial" w:hAnsi="Arial"/>
                <w:color w:val="595959"/>
                <w:sz w:val="19"/>
                <w:szCs w:val="19"/>
              </w:rPr>
              <w:t xml:space="preserve">E — -  ·  O — S  ·  M — o  ·  F — u</w:t>
            </w:r>
          </w:p>
        </w:tc>
      </w:tr>
    </w:tbl>
    <w:p>
      <w:pPr>
        <w:spacing w:after="80"/>
      </w:pPr>
      <w:r>
        <w:t xml:space="preserve"/>
      </w:r>
    </w:p>
    <w:p>
      <w:pPr>
        <w:spacing w:after="80"/>
      </w:pPr>
      <w:r>
        <w:t xml:space="preserve"/>
      </w:r>
    </w:p>
    <w:p>
      <w:pPr>
        <w:spacing w:after="80"/>
      </w:pPr>
      <w:r>
        <w:t xml:space="preserve"/>
      </w:r>
    </w:p>
    <w:p>
      <w:r>
        <w:br w:type="page"/>
      </w:r>
    </w:p>
    <w:p>
      <w:pPr>
        <w:pStyle w:val="Heading1"/>
      </w:pPr>
      <w:r>
        <w:rPr>
          <w:rFonts w:ascii="Arial" w:cs="Arial" w:eastAsia="Arial" w:hAnsi="Arial"/>
          <w:b/>
          <w:bCs/>
          <w:color w:val="1F3864"/>
          <w:sz w:val="32"/>
          <w:szCs w:val="32"/>
        </w:rPr>
        <w:t xml:space="preserve">10.8  Chapter Summary — Key Takeaways</w:t>
      </w:r>
    </w:p>
    <w:p>
      <w:pPr>
        <w:spacing w:after="80"/>
      </w:pPr>
      <w:r>
        <w:rPr>
          <w:rFonts w:ascii="Arial" w:cs="Arial" w:eastAsia="Arial" w:hAnsi="Arial"/>
          <w:b/>
          <w:bCs/>
          <w:color w:val="1F3864"/>
          <w:sz w:val="21"/>
          <w:szCs w:val="21"/>
        </w:rPr>
        <w:t xml:space="preserve">Classification Metrics: </w:t>
      </w:r>
      <w:r>
        <w:rPr>
          <w:rFonts w:ascii="Arial" w:cs="Arial" w:eastAsia="Arial" w:hAnsi="Arial"/>
          <w:color w:val="595959"/>
          <w:sz w:val="21"/>
          <w:szCs w:val="21"/>
        </w:rPr>
        <w:t xml:space="preserve">AUC-ROC: threshold-free discrimination. KS statistic: credit standard (max score distribution separation). Gini=2·AUC-1. Brier score: calibration. AUC-PR: imbalanced data (fraud). MCC: balanced metric for imbalanced classes. F1: operational threshold selection.</w:t>
      </w:r>
    </w:p>
    <w:p>
      <w:pPr>
        <w:spacing w:after="80"/>
      </w:pPr>
      <w:r>
        <w:t xml:space="preserve"/>
      </w:r>
    </w:p>
    <w:p>
      <w:pPr>
        <w:spacing w:after="80"/>
      </w:pPr>
      <w:r>
        <w:rPr>
          <w:rFonts w:ascii="Arial" w:cs="Arial" w:eastAsia="Arial" w:hAnsi="Arial"/>
          <w:b/>
          <w:bCs/>
          <w:color w:val="1F3864"/>
          <w:sz w:val="21"/>
          <w:szCs w:val="21"/>
        </w:rPr>
        <w:t xml:space="preserve">Regression Metrics: </w:t>
      </w:r>
      <w:r>
        <w:rPr>
          <w:rFonts w:ascii="Arial" w:cs="Arial" w:eastAsia="Arial" w:hAnsi="Arial"/>
          <w:color w:val="595959"/>
          <w:sz w:val="21"/>
          <w:szCs w:val="21"/>
        </w:rPr>
        <w:t xml:space="preserve">MAE: robust to outliers, interpretable units. RMSE: penalises large errors (squared). MAPE: unit-free, undefined at zero. R²: variance explained — does not imply calibration or absolute accuracy.</w:t>
      </w:r>
    </w:p>
    <w:p>
      <w:pPr>
        <w:spacing w:after="80"/>
      </w:pPr>
      <w:r>
        <w:t xml:space="preserve"/>
      </w:r>
    </w:p>
    <w:p>
      <w:pPr>
        <w:spacing w:after="80"/>
      </w:pPr>
      <w:r>
        <w:rPr>
          <w:rFonts w:ascii="Arial" w:cs="Arial" w:eastAsia="Arial" w:hAnsi="Arial"/>
          <w:b/>
          <w:bCs/>
          <w:color w:val="1F3864"/>
          <w:sz w:val="21"/>
          <w:szCs w:val="21"/>
        </w:rPr>
        <w:t xml:space="preserve">LLM Benchmarks: </w:t>
      </w:r>
      <w:r>
        <w:rPr>
          <w:rFonts w:ascii="Arial" w:cs="Arial" w:eastAsia="Arial" w:hAnsi="Arial"/>
          <w:color w:val="595959"/>
          <w:sz w:val="21"/>
          <w:szCs w:val="21"/>
        </w:rPr>
        <w:t xml:space="preserve">MMLU: knowledge breadth (86.4% GPT-4). HellaSwag: commonsense reasoning. HumanEval: code generation (pass@k). TruthfulQA: factual accuracy. BIG-Bench Hard: adversarial reasoning. HELM: holistic multi-metric evaluation. Required in EU AI Act GPAI Title II technical documentation.</w:t>
      </w:r>
    </w:p>
    <w:p>
      <w:pPr>
        <w:spacing w:after="80"/>
      </w:pPr>
      <w:r>
        <w:t xml:space="preserve"/>
      </w:r>
    </w:p>
    <w:p>
      <w:pPr>
        <w:spacing w:after="80"/>
      </w:pPr>
      <w:r>
        <w:rPr>
          <w:rFonts w:ascii="Arial" w:cs="Arial" w:eastAsia="Arial" w:hAnsi="Arial"/>
          <w:b/>
          <w:bCs/>
          <w:color w:val="1F3864"/>
          <w:sz w:val="21"/>
          <w:szCs w:val="21"/>
        </w:rPr>
        <w:t xml:space="preserve">OOT Validation: </w:t>
      </w:r>
      <w:r>
        <w:rPr>
          <w:rFonts w:ascii="Arial" w:cs="Arial" w:eastAsia="Arial" w:hAnsi="Arial"/>
          <w:color w:val="595959"/>
          <w:sz w:val="21"/>
          <w:szCs w:val="21"/>
        </w:rPr>
        <w:t xml:space="preserve">Temporal hold-out: credit 12-18 months, fraud 3 months. PSI: &lt;0.10 stable, 0.10-0.20 amber, ≥0.20 red — MRC escalation. KS drift test: feature distribution shift. AUC degradation tolerance: ≤10pp vs development. Champion-challenger: new model on 10% live traffic.</w:t>
      </w:r>
    </w:p>
    <w:p>
      <w:pPr>
        <w:spacing w:after="80"/>
      </w:pPr>
      <w:r>
        <w:t xml:space="preserve"/>
      </w:r>
    </w:p>
    <w:p>
      <w:pPr>
        <w:spacing w:after="80"/>
      </w:pPr>
      <w:r>
        <w:rPr>
          <w:rFonts w:ascii="Arial" w:cs="Arial" w:eastAsia="Arial" w:hAnsi="Arial"/>
          <w:b/>
          <w:bCs/>
          <w:color w:val="1F3864"/>
          <w:sz w:val="21"/>
          <w:szCs w:val="21"/>
        </w:rPr>
        <w:t xml:space="preserve">Red-Teaming: </w:t>
      </w:r>
      <w:r>
        <w:rPr>
          <w:rFonts w:ascii="Arial" w:cs="Arial" w:eastAsia="Arial" w:hAnsi="Arial"/>
          <w:color w:val="595959"/>
          <w:sz w:val="21"/>
          <w:szCs w:val="21"/>
        </w:rPr>
        <w:t xml:space="preserve">OWASP LLM Top 10: 10 systematic risk categories. Four phases: scope → automated → human → report. Adversarial testing: AdvBench, HarmBench, prompt injection suite. CVSS-adapted severity scoring. EU AI Act Annex III: robustness/adversarial testing required for high-risk AI.</w:t>
      </w:r>
    </w:p>
    <w:p>
      <w:pPr>
        <w:spacing w:after="80"/>
      </w:pPr>
      <w:r>
        <w:t xml:space="preserve"/>
      </w:r>
    </w:p>
    <w:p>
      <w:pPr>
        <w:spacing w:after="80"/>
      </w:pPr>
      <w:r>
        <w:rPr>
          <w:rFonts w:ascii="Arial" w:cs="Arial" w:eastAsia="Arial" w:hAnsi="Arial"/>
          <w:b/>
          <w:bCs/>
          <w:color w:val="1F3864"/>
          <w:sz w:val="21"/>
          <w:szCs w:val="21"/>
        </w:rPr>
        <w:t xml:space="preserve">SR 11-7 Framework: </w:t>
      </w:r>
      <w:r>
        <w:rPr>
          <w:rFonts w:ascii="Arial" w:cs="Arial" w:eastAsia="Arial" w:hAnsi="Arial"/>
          <w:color w:val="595959"/>
          <w:sz w:val="21"/>
          <w:szCs w:val="21"/>
        </w:rPr>
        <w:t xml:space="preserve">Three pillars: development, validation (independent), governance. Model inventory with risk tiers. MRC escalation protocol. OOT + PSI + explainability as validation components. AI/ML extensions: SHAP, fairness testing, increased monitoring frequency.</w:t>
      </w:r>
    </w:p>
    <w:p>
      <w:pPr>
        <w:spacing w:after="80"/>
      </w:pPr>
      <w:r>
        <w:t xml:space="preserve"/>
      </w:r>
    </w:p>
    <w:p>
      <w:pPr>
        <w:spacing w:after="80"/>
      </w:pPr>
      <w:r>
        <w:rPr>
          <w:rFonts w:ascii="Arial" w:cs="Arial" w:eastAsia="Arial" w:hAnsi="Arial"/>
          <w:b/>
          <w:bCs/>
          <w:color w:val="1F3864"/>
          <w:sz w:val="21"/>
          <w:szCs w:val="21"/>
        </w:rPr>
        <w:t xml:space="preserve">Regulatory Mapping: </w:t>
      </w:r>
      <w:r>
        <w:rPr>
          <w:rFonts w:ascii="Arial" w:cs="Arial" w:eastAsia="Arial" w:hAnsi="Arial"/>
          <w:color w:val="595959"/>
          <w:sz w:val="21"/>
          <w:szCs w:val="21"/>
        </w:rPr>
        <w:t xml:space="preserve">OCC SR 11-7: US gold standard for bank model risk. EBA GL/2020/06 s.5: European ML credit standard. PRA SS1/23 (UK, May 2024): UK-specific MRM supervisory statement. OSFI E-23 (Jan 2024): Canada — explicit fairness + explainability. EU AI Act Annex III: adversarial testing + performance monitoring.</w:t>
      </w:r>
    </w:p>
    <w:p>
      <w:pPr>
        <w:spacing w:after="80"/>
      </w:pPr>
      <w:r>
        <w:t xml:space="preserve"/>
      </w:r>
    </w:p>
    <w:p>
      <w:pPr>
        <w:spacing w:after="80"/>
      </w:pPr>
      <w:r>
        <w:rPr>
          <w:rFonts w:ascii="Arial" w:cs="Arial" w:eastAsia="Arial" w:hAnsi="Arial"/>
          <w:b/>
          <w:bCs/>
          <w:color w:val="1F3864"/>
          <w:sz w:val="21"/>
          <w:szCs w:val="21"/>
        </w:rPr>
        <w:t xml:space="preserve">Enterprise Standards: </w:t>
      </w:r>
      <w:r>
        <w:rPr>
          <w:rFonts w:ascii="Arial" w:cs="Arial" w:eastAsia="Arial" w:hAnsi="Arial"/>
          <w:color w:val="595959"/>
          <w:sz w:val="21"/>
          <w:szCs w:val="21"/>
        </w:rPr>
        <w:t xml:space="preserve">Credit model thresholds: AUC &gt; 0.70 acceptable, Gini &gt; 0.40 required for IRB. Fraud: AUC-PR &gt; 0.70. PSI &lt;0.10 stable. OOT tolerance: ≤10pp AUC degradation. Pre-deployment: 10% champion-challenger live test. Model risk tier: Tier 1 → annual independent validation + quarterly monitoring.</w:t>
      </w:r>
    </w:p>
    <w:p>
      <w:pPr>
        <w:spacing w:after="80"/>
      </w:pPr>
      <w:r>
        <w:t xml:space="preserve"/>
      </w:r>
    </w:p>
    <w:p>
      <w:pPr>
        <w:pStyle w:val="Heading1"/>
      </w:pPr>
      <w:r>
        <w:rPr>
          <w:rFonts w:ascii="Arial" w:cs="Arial" w:eastAsia="Arial" w:hAnsi="Arial"/>
          <w:b/>
          <w:bCs/>
          <w:color w:val="1F3864"/>
          <w:sz w:val="32"/>
          <w:szCs w:val="32"/>
        </w:rPr>
        <w:t xml:space="preserve">References</w:t>
      </w:r>
    </w:p>
    <w:p>
      <w:pPr>
        <w:pStyle w:val="ListParagraph"/>
        <w:numPr>
          <w:ilvl w:val="0"/>
          <w:numId w:val="3"/>
        </w:numPr>
        <w:spacing w:after="80"/>
      </w:pPr>
      <w:r>
        <w:rPr>
          <w:rFonts w:ascii="Arial" w:cs="Arial" w:eastAsia="Arial" w:hAnsi="Arial"/>
          <w:color w:val="595959"/>
          <w:sz w:val="21"/>
          <w:szCs w:val="21"/>
        </w:rPr>
        <w:t xml:space="preserve">Hendrycks, D. et al. (2020). Measuring Massive Multitask Language Understanding (MMLU). arXiv 2009.03300.</w:t>
      </w:r>
    </w:p>
    <w:p>
      <w:pPr>
        <w:pStyle w:val="ListParagraph"/>
        <w:numPr>
          <w:ilvl w:val="0"/>
          <w:numId w:val="3"/>
        </w:numPr>
        <w:spacing w:after="80"/>
      </w:pPr>
      <w:r>
        <w:rPr>
          <w:rFonts w:ascii="Arial" w:cs="Arial" w:eastAsia="Arial" w:hAnsi="Arial"/>
          <w:color w:val="595959"/>
          <w:sz w:val="21"/>
          <w:szCs w:val="21"/>
        </w:rPr>
        <w:t xml:space="preserve">Chen, M. et al. (2021). Evaluating Large Language Models Trained on Code (HumanEval). arXiv 2107.03374.</w:t>
      </w:r>
    </w:p>
    <w:p>
      <w:pPr>
        <w:pStyle w:val="ListParagraph"/>
        <w:numPr>
          <w:ilvl w:val="0"/>
          <w:numId w:val="3"/>
        </w:numPr>
        <w:spacing w:after="80"/>
      </w:pPr>
      <w:r>
        <w:rPr>
          <w:rFonts w:ascii="Arial" w:cs="Arial" w:eastAsia="Arial" w:hAnsi="Arial"/>
          <w:color w:val="595959"/>
          <w:sz w:val="21"/>
          <w:szCs w:val="21"/>
        </w:rPr>
        <w:t xml:space="preserve">Zellers, R. et al. (2019). HellaSwag: Can a Machine Really Finish Your Sentence? ACL.</w:t>
      </w:r>
    </w:p>
    <w:p>
      <w:pPr>
        <w:pStyle w:val="ListParagraph"/>
        <w:numPr>
          <w:ilvl w:val="0"/>
          <w:numId w:val="3"/>
        </w:numPr>
        <w:spacing w:after="80"/>
      </w:pPr>
      <w:r>
        <w:rPr>
          <w:rFonts w:ascii="Arial" w:cs="Arial" w:eastAsia="Arial" w:hAnsi="Arial"/>
          <w:color w:val="595959"/>
          <w:sz w:val="21"/>
          <w:szCs w:val="21"/>
        </w:rPr>
        <w:t xml:space="preserve">Lin, S. et al. (2021). TruthfulQA: Measuring How Models Mimic Human Falsehoods. ACL 2022.</w:t>
      </w:r>
    </w:p>
    <w:p>
      <w:pPr>
        <w:pStyle w:val="ListParagraph"/>
        <w:numPr>
          <w:ilvl w:val="0"/>
          <w:numId w:val="3"/>
        </w:numPr>
        <w:spacing w:after="80"/>
      </w:pPr>
      <w:r>
        <w:rPr>
          <w:rFonts w:ascii="Arial" w:cs="Arial" w:eastAsia="Arial" w:hAnsi="Arial"/>
          <w:color w:val="595959"/>
          <w:sz w:val="21"/>
          <w:szCs w:val="21"/>
        </w:rPr>
        <w:t xml:space="preserve">Liang, P. et al. (2022). Holistic Evaluation of Language Models (HELM). NeurIPS.</w:t>
      </w:r>
    </w:p>
    <w:p>
      <w:pPr>
        <w:pStyle w:val="ListParagraph"/>
        <w:numPr>
          <w:ilvl w:val="0"/>
          <w:numId w:val="3"/>
        </w:numPr>
        <w:spacing w:after="80"/>
      </w:pPr>
      <w:r>
        <w:rPr>
          <w:rFonts w:ascii="Arial" w:cs="Arial" w:eastAsia="Arial" w:hAnsi="Arial"/>
          <w:color w:val="595959"/>
          <w:sz w:val="21"/>
          <w:szCs w:val="21"/>
        </w:rPr>
        <w:t xml:space="preserve">Garg, S. et al. (2023). OWASP LLM Top 10. OWASP Foundation.</w:t>
      </w:r>
    </w:p>
    <w:p>
      <w:pPr>
        <w:pStyle w:val="ListParagraph"/>
        <w:numPr>
          <w:ilvl w:val="0"/>
          <w:numId w:val="3"/>
        </w:numPr>
        <w:spacing w:after="80"/>
      </w:pPr>
      <w:r>
        <w:rPr>
          <w:rFonts w:ascii="Arial" w:cs="Arial" w:eastAsia="Arial" w:hAnsi="Arial"/>
          <w:color w:val="595959"/>
          <w:sz w:val="21"/>
          <w:szCs w:val="21"/>
        </w:rPr>
        <w:t xml:space="preserve">OCC / Federal Reserve (2011, updated 2021). Supervisory Guidance SR 11-7: Model Risk Management.</w:t>
      </w:r>
    </w:p>
    <w:p>
      <w:pPr>
        <w:pStyle w:val="ListParagraph"/>
        <w:numPr>
          <w:ilvl w:val="0"/>
          <w:numId w:val="3"/>
        </w:numPr>
        <w:spacing w:after="80"/>
      </w:pPr>
      <w:r>
        <w:rPr>
          <w:rFonts w:ascii="Arial" w:cs="Arial" w:eastAsia="Arial" w:hAnsi="Arial"/>
          <w:color w:val="595959"/>
          <w:sz w:val="21"/>
          <w:szCs w:val="21"/>
        </w:rPr>
        <w:t xml:space="preserve">EBA (2020). Guidelines on loan origination and monitoring GL/2020/06 — Section 5.</w:t>
      </w:r>
    </w:p>
    <w:p>
      <w:pPr>
        <w:pStyle w:val="ListParagraph"/>
        <w:numPr>
          <w:ilvl w:val="0"/>
          <w:numId w:val="3"/>
        </w:numPr>
        <w:spacing w:after="80"/>
      </w:pPr>
      <w:r>
        <w:rPr>
          <w:rFonts w:ascii="Arial" w:cs="Arial" w:eastAsia="Arial" w:hAnsi="Arial"/>
          <w:color w:val="595959"/>
          <w:sz w:val="21"/>
          <w:szCs w:val="21"/>
        </w:rPr>
        <w:t xml:space="preserve">PRA (2023). Supervisory Statement SS1/23: Model Risk Management Principles for Banks.</w:t>
      </w:r>
    </w:p>
    <w:p>
      <w:pPr>
        <w:pStyle w:val="ListParagraph"/>
        <w:numPr>
          <w:ilvl w:val="0"/>
          <w:numId w:val="3"/>
        </w:numPr>
        <w:spacing w:after="80"/>
      </w:pPr>
      <w:r>
        <w:rPr>
          <w:rFonts w:ascii="Arial" w:cs="Arial" w:eastAsia="Arial" w:hAnsi="Arial"/>
          <w:color w:val="595959"/>
          <w:sz w:val="21"/>
          <w:szCs w:val="21"/>
        </w:rPr>
        <w:t xml:space="preserve">OSFI (2024). Guideline E-23: Enterprise-Wide Model Risk Management.</w:t>
      </w:r>
    </w:p>
    <w:p>
      <w:pPr>
        <w:pStyle w:val="ListParagraph"/>
        <w:numPr>
          <w:ilvl w:val="0"/>
          <w:numId w:val="3"/>
        </w:numPr>
        <w:spacing w:after="80"/>
      </w:pPr>
      <w:r>
        <w:rPr>
          <w:rFonts w:ascii="Arial" w:cs="Arial" w:eastAsia="Arial" w:hAnsi="Arial"/>
          <w:color w:val="595959"/>
          <w:sz w:val="21"/>
          <w:szCs w:val="21"/>
        </w:rPr>
        <w:t xml:space="preserve">Siddiqi, N. (2017). Intelligent Credit Scoring: Building and Implementing Better Credit Risk Scorecards. Wiley.</w:t>
      </w:r>
    </w:p>
    <w:p>
      <w:pPr>
        <w:pStyle w:val="ListParagraph"/>
        <w:numPr>
          <w:ilvl w:val="0"/>
          <w:numId w:val="3"/>
        </w:numPr>
        <w:spacing w:after="80"/>
      </w:pPr>
      <w:r>
        <w:rPr>
          <w:rFonts w:ascii="Arial" w:cs="Arial" w:eastAsia="Arial" w:hAnsi="Arial"/>
          <w:color w:val="595959"/>
          <w:sz w:val="21"/>
          <w:szCs w:val="21"/>
        </w:rPr>
        <w:t xml:space="preserve">Anthropic (2023). Responsible Scaling Policy (RSP). anthropic.com.</w:t>
      </w:r>
    </w:p>
    <w:p>
      <w:pPr>
        <w:pStyle w:val="ListParagraph"/>
        <w:numPr>
          <w:ilvl w:val="0"/>
          <w:numId w:val="3"/>
        </w:numPr>
        <w:spacing w:after="80"/>
      </w:pPr>
      <w:r>
        <w:rPr>
          <w:rFonts w:ascii="Arial" w:cs="Arial" w:eastAsia="Arial" w:hAnsi="Arial"/>
          <w:color w:val="595959"/>
          <w:sz w:val="21"/>
          <w:szCs w:val="21"/>
        </w:rPr>
        <w:t xml:space="preserve">NIST (2023). AI Risk Management Framework 1.0. NIST AI 100-1.</w:t>
      </w:r>
    </w:p>
    <w:p>
      <w:pPr>
        <w:pStyle w:val="ListParagraph"/>
        <w:numPr>
          <w:ilvl w:val="0"/>
          <w:numId w:val="3"/>
        </w:numPr>
        <w:spacing w:after="80"/>
      </w:pPr>
      <w:r>
        <w:rPr>
          <w:rFonts w:ascii="Arial" w:cs="Arial" w:eastAsia="Arial" w:hAnsi="Arial"/>
          <w:color w:val="595959"/>
          <w:sz w:val="21"/>
          <w:szCs w:val="21"/>
        </w:rPr>
        <w:t xml:space="preserve">EU Parliament (2024). AI Act Regulation 2024/1689 — Annex III, Annex IV, GPAI Title II.</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pBdr>
      <w:tabs>
        <w:tab w:val="right" w:pos="9026"/>
      </w:tabs>
    </w:pPr>
    <w:r>
      <w:rPr>
        <w:rFonts w:ascii="Arial" w:cs="Arial" w:eastAsia="Arial" w:hAnsi="Arial"/>
        <w:color w:val="595959"/>
        <w:sz w:val="18"/>
        <w:szCs w:val="18"/>
      </w:rPr>
      <w:t xml:space="preserve">Chapter 10: AI Model Evaluation &amp; Validation  |  CAISA™ Level 1</w:t>
    </w:r>
    <w:r>
      <w:rPr>
        <w:rFonts w:ascii="Arial" w:cs="Arial" w:eastAsia="Arial" w:hAnsi="Arial"/>
        <w:sz w:val="18"/>
        <w:szCs w:val="18"/>
      </w:rPr>
      <w:t xml:space="preserve">	</w:t>
    </w:r>
    <w:r>
      <w:rPr>
        <w:rFonts w:ascii="Arial" w:cs="Arial" w:eastAsia="Arial" w:hAnsi="Arial"/>
        <w:b/>
        <w:bCs/>
        <w:color w:val="1F386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4"/>
      </w:pBdr>
      <w:tabs>
        <w:tab w:val="right" w:pos="9026"/>
      </w:tabs>
    </w:pPr>
    <w:r>
      <w:rPr>
        <w:rFonts w:ascii="Arial" w:cs="Arial" w:eastAsia="Arial" w:hAnsi="Arial"/>
        <w:color w:val="2E75B6"/>
        <w:sz w:val="18"/>
        <w:szCs w:val="18"/>
      </w:rPr>
      <w:t xml:space="preserve">CAISA™ Level 1  |  Chapter 10: AI Model Evaluation &amp; Validation</w:t>
    </w:r>
    <w:r>
      <w:rPr>
        <w:rFonts w:ascii="Arial" w:cs="Arial" w:eastAsia="Arial" w:hAnsi="Arial"/>
        <w:color w:val="595959"/>
        <w:sz w:val="18"/>
        <w:szCs w:val="18"/>
      </w:rPr>
      <w:t xml:space="preserve">	© SaamSoft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pBd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80"/>
      <w:outlineLvl w:val="2"/>
    </w:pPr>
    <w:rPr>
      <w:rFonts w:ascii="Arial" w:cs="Arial" w:eastAsia="Arial" w:hAnsi="Arial"/>
      <w:b/>
      <w:bCs/>
      <w:color w:val="1A6B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2026-02-23T06:19:26.579Z</dcterms:created>
  <dcterms:modified xsi:type="dcterms:W3CDTF">2026-02-23T06:19:26.581Z</dcterms:modified>
</cp:coreProperties>
</file>

<file path=docProps/custom.xml><?xml version="1.0" encoding="utf-8"?>
<Properties xmlns="http://schemas.openxmlformats.org/officeDocument/2006/custom-properties" xmlns:vt="http://schemas.openxmlformats.org/officeDocument/2006/docPropsVTypes"/>
</file>