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2E75B6"/>
          <w:sz w:val="20"/>
          <w:szCs w:val="20"/>
        </w:rPr>
        <w:t xml:space="preserve">CAISA™ LEVEL 1  |  CHAPTER 11 OF 48</w:t>
      </w:r>
    </w:p>
    <w:p>
      <w:pPr>
        <w:spacing w:after="40"/>
        <w:jc w:val="center"/>
      </w:pPr>
      <w:r>
        <w:rPr>
          <w:rFonts w:ascii="Arial" w:cs="Arial" w:eastAsia="Arial" w:hAnsi="Arial"/>
          <w:b/>
          <w:bCs/>
          <w:color w:val="1F3864"/>
          <w:sz w:val="40"/>
          <w:szCs w:val="40"/>
        </w:rPr>
        <w:t xml:space="preserve">Generative AI &amp; Large Language Models</w:t>
      </w:r>
    </w:p>
    <w:p>
      <w:pPr>
        <w:spacing w:after="200"/>
        <w:jc w:val="center"/>
      </w:pPr>
      <w:r>
        <w:rPr>
          <w:rFonts w:ascii="Arial" w:cs="Arial" w:eastAsia="Arial" w:hAnsi="Arial"/>
          <w:b/>
          <w:bCs/>
          <w:color w:val="C9A227"/>
          <w:sz w:val="26"/>
          <w:szCs w:val="26"/>
        </w:rPr>
        <w:t xml:space="preserve">Transformers · RLHF · RAG · Prompt Engineering · Hallucination · Enterprise Deployment</w:t>
      </w:r>
    </w:p>
    <w:p>
      <w:pPr>
        <w:spacing w:after="200"/>
        <w:jc w:val="center"/>
      </w:pPr>
      <w:r>
        <w:rPr>
          <w:rFonts w:ascii="Arial" w:cs="Arial" w:eastAsia="Arial" w:hAnsi="Arial"/>
          <w:color w:val="595959"/>
          <w:sz w:val="19"/>
          <w:szCs w:val="19"/>
        </w:rPr>
        <w:t xml:space="preserve">GPT · BERT · Constitutional AI · LoRA · PEFT · LLMOps · Guardrails · EU AI Act GPAI · EO 14110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3 Hours</w:t>
            </w:r>
          </w:p>
          <w:p>
            <w:pPr>
              <w:spacing w:after="0"/>
              <w:jc w:val="center"/>
            </w:pPr>
            <w:r>
              <w:rPr>
                <w:rFonts w:ascii="Arial" w:cs="Arial" w:eastAsia="Arial" w:hAnsi="Arial"/>
                <w:b/>
                <w:bCs/>
                <w:color w:val="2E75B6"/>
                <w:sz w:val="21"/>
                <w:szCs w:val="21"/>
              </w:rPr>
              <w:t xml:space="preserve">Study Time</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10 Case Studies</w:t>
            </w:r>
          </w:p>
          <w:p>
            <w:pPr>
              <w:spacing w:after="0"/>
              <w:jc w:val="center"/>
            </w:pPr>
            <w:r>
              <w:rPr>
                <w:rFonts w:ascii="Arial" w:cs="Arial" w:eastAsia="Arial" w:hAnsi="Arial"/>
                <w:b/>
                <w:bCs/>
                <w:color w:val="2E75B6"/>
                <w:sz w:val="21"/>
                <w:szCs w:val="21"/>
              </w:rPr>
              <w:t xml:space="preserve">5 EU + 5 NA</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DE·GB·FR·NL·DK·US×4·CA</w:t>
            </w:r>
          </w:p>
          <w:p>
            <w:pPr>
              <w:spacing w:after="0"/>
              <w:jc w:val="center"/>
            </w:pPr>
            <w:r>
              <w:rPr>
                <w:rFonts w:ascii="Arial" w:cs="Arial" w:eastAsia="Arial" w:hAnsi="Arial"/>
                <w:b/>
                <w:bCs/>
                <w:color w:val="2E75B6"/>
                <w:sz w:val="21"/>
                <w:szCs w:val="21"/>
              </w:rPr>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Week 5 · Ch.11/48</w:t>
            </w:r>
          </w:p>
          <w:p>
            <w:pPr>
              <w:spacing w:after="0"/>
              <w:jc w:val="center"/>
            </w:pPr>
            <w:r>
              <w:rPr>
                <w:rFonts w:ascii="Arial" w:cs="Arial" w:eastAsia="Arial" w:hAnsi="Arial"/>
                <w:b/>
                <w:bCs/>
                <w:color w:val="2E75B6"/>
                <w:sz w:val="21"/>
                <w:szCs w:val="21"/>
              </w:rPr>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Learning Objectives</w:t>
      </w:r>
    </w:p>
    <w:p>
      <w:pPr>
        <w:spacing w:after="120"/>
      </w:pPr>
      <w:r>
        <w:rPr>
          <w:rFonts w:ascii="Arial" w:cs="Arial" w:eastAsia="Arial" w:hAnsi="Arial"/>
          <w:color w:val="595959"/>
          <w:sz w:val="21"/>
          <w:szCs w:val="21"/>
        </w:rPr>
        <w:t xml:space="preserve">On completion of Chapter 11, the CAISA™ Level 1 candidate will be able to:</w:t>
      </w:r>
    </w:p>
    <w:p>
      <w:pPr>
        <w:pStyle w:val="ListParagraph"/>
        <w:numPr>
          <w:ilvl w:val="0"/>
          <w:numId w:val="2"/>
        </w:numPr>
        <w:spacing w:after="80"/>
      </w:pPr>
      <w:r>
        <w:rPr>
          <w:rFonts w:ascii="Arial" w:cs="Arial" w:eastAsia="Arial" w:hAnsi="Arial"/>
          <w:color w:val="595959"/>
          <w:sz w:val="21"/>
          <w:szCs w:val="21"/>
        </w:rPr>
        <w:t xml:space="preserve">Describe the Transformer architecture: multi-head self-attention, positional encoding, encoder-decoder structure, and the mathematical formulation Attention(Q,K,V) = softmax(QKᵀ/√dₖ)·V</w:t>
      </w:r>
    </w:p>
    <w:p>
      <w:pPr>
        <w:pStyle w:val="ListParagraph"/>
        <w:numPr>
          <w:ilvl w:val="0"/>
          <w:numId w:val="2"/>
        </w:numPr>
        <w:spacing w:after="80"/>
      </w:pPr>
      <w:r>
        <w:rPr>
          <w:rFonts w:ascii="Arial" w:cs="Arial" w:eastAsia="Arial" w:hAnsi="Arial"/>
          <w:color w:val="595959"/>
          <w:sz w:val="21"/>
          <w:szCs w:val="21"/>
        </w:rPr>
        <w:t xml:space="preserve">Distinguish GPT (decoder-only, autoregressive) from BERT (encoder-only, masked LM) and T5/BART (encoder-decoder) — use cases, pre-training objectives, and enterprise selection criteria</w:t>
      </w:r>
    </w:p>
    <w:p>
      <w:pPr>
        <w:pStyle w:val="ListParagraph"/>
        <w:numPr>
          <w:ilvl w:val="0"/>
          <w:numId w:val="2"/>
        </w:numPr>
        <w:spacing w:after="80"/>
      </w:pPr>
      <w:r>
        <w:rPr>
          <w:rFonts w:ascii="Arial" w:cs="Arial" w:eastAsia="Arial" w:hAnsi="Arial"/>
          <w:color w:val="595959"/>
          <w:sz w:val="21"/>
          <w:szCs w:val="21"/>
        </w:rPr>
        <w:t xml:space="preserve">Explain RLHF (Reinforcement Learning from Human Feedback): supervised fine-tuning, reward model training, PPO policy optimisation, and Constitutional AI as an alternative alignment method</w:t>
      </w:r>
    </w:p>
    <w:p>
      <w:pPr>
        <w:pStyle w:val="ListParagraph"/>
        <w:numPr>
          <w:ilvl w:val="0"/>
          <w:numId w:val="2"/>
        </w:numPr>
        <w:spacing w:after="80"/>
      </w:pPr>
      <w:r>
        <w:rPr>
          <w:rFonts w:ascii="Arial" w:cs="Arial" w:eastAsia="Arial" w:hAnsi="Arial"/>
          <w:color w:val="595959"/>
          <w:sz w:val="21"/>
          <w:szCs w:val="21"/>
        </w:rPr>
        <w:t xml:space="preserve">Describe parameter-efficient fine-tuning: LoRA (Low-Rank Adaptation), prefix tuning, adapter layers — with mathematical formulation ΔW = BA where B∈ℝ^(d×r), A∈ℝ^(r×k), r &lt;&lt; min(d,k)</w:t>
      </w:r>
    </w:p>
    <w:p>
      <w:pPr>
        <w:pStyle w:val="ListParagraph"/>
        <w:numPr>
          <w:ilvl w:val="0"/>
          <w:numId w:val="2"/>
        </w:numPr>
        <w:spacing w:after="80"/>
      </w:pPr>
      <w:r>
        <w:rPr>
          <w:rFonts w:ascii="Arial" w:cs="Arial" w:eastAsia="Arial" w:hAnsi="Arial"/>
          <w:color w:val="595959"/>
          <w:sz w:val="21"/>
          <w:szCs w:val="21"/>
        </w:rPr>
        <w:t xml:space="preserve">Design and evaluate a Retrieval-Augmented Generation (RAG) pipeline: document chunking, embedding, vector database retrieval, reranking, context injection, and hallucination reduction</w:t>
      </w:r>
    </w:p>
    <w:p>
      <w:pPr>
        <w:pStyle w:val="ListParagraph"/>
        <w:numPr>
          <w:ilvl w:val="0"/>
          <w:numId w:val="2"/>
        </w:numPr>
        <w:spacing w:after="80"/>
      </w:pPr>
      <w:r>
        <w:rPr>
          <w:rFonts w:ascii="Arial" w:cs="Arial" w:eastAsia="Arial" w:hAnsi="Arial"/>
          <w:color w:val="595959"/>
          <w:sz w:val="21"/>
          <w:szCs w:val="21"/>
        </w:rPr>
        <w:t xml:space="preserve">Apply prompt engineering techniques: zero-shot, few-shot, chain-of-thought (CoT), ReAct (Reasoning + Acting), and system/user/assistant role structuring for enterprise applications</w:t>
      </w:r>
    </w:p>
    <w:p>
      <w:pPr>
        <w:pStyle w:val="ListParagraph"/>
        <w:numPr>
          <w:ilvl w:val="0"/>
          <w:numId w:val="2"/>
        </w:numPr>
        <w:spacing w:after="80"/>
      </w:pPr>
      <w:r>
        <w:rPr>
          <w:rFonts w:ascii="Arial" w:cs="Arial" w:eastAsia="Arial" w:hAnsi="Arial"/>
          <w:color w:val="595959"/>
          <w:sz w:val="21"/>
          <w:szCs w:val="21"/>
        </w:rPr>
        <w:t xml:space="preserve">Identify, classify, and mitigate LLM hallucination: intrinsic vs extrinsic, closed-book vs open-book, detection methods (SelfCheckGPT, NLI-based), and enterprise mitigation strategies</w:t>
      </w:r>
    </w:p>
    <w:p>
      <w:pPr>
        <w:pStyle w:val="ListParagraph"/>
        <w:numPr>
          <w:ilvl w:val="0"/>
          <w:numId w:val="2"/>
        </w:numPr>
        <w:spacing w:after="80"/>
      </w:pPr>
      <w:r>
        <w:rPr>
          <w:rFonts w:ascii="Arial" w:cs="Arial" w:eastAsia="Arial" w:hAnsi="Arial"/>
          <w:color w:val="595959"/>
          <w:sz w:val="21"/>
          <w:szCs w:val="21"/>
        </w:rPr>
        <w:t xml:space="preserve">Analyse enterprise LLM deployment: LLMOps, guardrails (input/output filtering), latency optimisation (speculative decoding, quantisation), cost management, and regulatory compliance (EU AI Act GPAI Title II, EO 14110)</w:t>
      </w:r>
    </w:p>
    <w:p>
      <w:pPr>
        <w:spacing w:after="80"/>
      </w:pPr>
      <w:r>
        <w:t xml:space="preserve"/>
      </w:r>
    </w:p>
    <w:p>
      <w:r>
        <w:br w:type="page"/>
      </w:r>
    </w:p>
    <w:p>
      <w:pPr>
        <w:pStyle w:val="Heading1"/>
      </w:pPr>
      <w:r>
        <w:rPr>
          <w:rFonts w:ascii="Arial" w:cs="Arial" w:eastAsia="Arial" w:hAnsi="Arial"/>
          <w:b/>
          <w:bCs/>
          <w:color w:val="1F3864"/>
          <w:sz w:val="32"/>
          <w:szCs w:val="32"/>
        </w:rPr>
        <w:t xml:space="preserve">11.1  Transformer Architecture</w:t>
      </w:r>
    </w:p>
    <w:p>
      <w:pPr>
        <w:pStyle w:val="Heading2"/>
      </w:pPr>
      <w:r>
        <w:rPr>
          <w:rFonts w:ascii="Arial" w:cs="Arial" w:eastAsia="Arial" w:hAnsi="Arial"/>
          <w:b/>
          <w:bCs/>
          <w:color w:val="2E75B6"/>
          <w:sz w:val="26"/>
          <w:szCs w:val="26"/>
        </w:rPr>
        <w:t xml:space="preserve">11.1.1  Multi-Head Self-Attention</w:t>
      </w:r>
    </w:p>
    <w:p>
      <w:pPr>
        <w:spacing w:after="120"/>
      </w:pPr>
      <w:r>
        <w:rPr>
          <w:rFonts w:ascii="Arial" w:cs="Arial" w:eastAsia="Arial" w:hAnsi="Arial"/>
          <w:color w:val="595959"/>
          <w:sz w:val="21"/>
          <w:szCs w:val="21"/>
        </w:rPr>
        <w:t xml:space="preserve">The Transformer (Vaswani et al., 2017) replaced recurrent architectures with a fully attention-based mechanism, enabling parallelisation and capture of long-range dependencies. Self-attention allows every token to attend to every other token in the sequence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Self-Attention (Scaled Dot-Product Attention):
  Attention(Q, K, V) = softmax(QKᵀ / √dₖ) · V
  Q = query matrix  (what am I looking for?)
  K = key matrix    (what do I contain?)
  V = value matrix  (what information do I carry?)
  dₖ = key dimension  (scaling factor to prevent vanishing gradients)
Multi-Head Attention (h heads, dimension dₘₒdₑₗ):
  MultiHead(Q,K,V) = Concat(head₁,...,headₕ) · Wᴼ
  headᵢ = Attention(QWᵢQ, KWᵢK, VWᵢV)
  Each head attends to different representation subspaces
Positional Encoding (sinusoidal — Vaswani 2017):
  PE(pos, 2i)   = sin(pos / 10000^(2i/dₘₒdₑₗ))
  PE(pos, 2i+1) = cos(pos / 10000^(2i/dₘₒdₑₗ))
  Injects token position information (Transformers have no recurrence)
Feed-Forward Network (FFN) — applied per position:
  FFN(x) = max(0, xW₁ + b₁)W₂ + b₂
  Typical dimensions: dₘₒdₑₗ=768, d_ff=3072 (4× expansion)
Complexity:
  Self-attention: O(n²·d)   [quadratic in sequence length n]
  FFN:            O(n·d²)   [linear in sequence length]</w:t>
            </w:r>
          </w:p>
        </w:tc>
      </w:tr>
    </w:tbl>
    <w:p>
      <w:pPr>
        <w:spacing w:after="80"/>
      </w:pPr>
      <w:r>
        <w:t xml:space="preserve"/>
      </w:r>
    </w:p>
    <w:p>
      <w:pPr>
        <w:pStyle w:val="Heading2"/>
      </w:pPr>
      <w:r>
        <w:rPr>
          <w:rFonts w:ascii="Arial" w:cs="Arial" w:eastAsia="Arial" w:hAnsi="Arial"/>
          <w:b/>
          <w:bCs/>
          <w:color w:val="2E75B6"/>
          <w:sz w:val="26"/>
          <w:szCs w:val="26"/>
        </w:rPr>
        <w:t xml:space="preserve">11.1.2  GPT vs BERT vs T5 —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80"/>
        <w:gridCol w:w="2080"/>
        <w:gridCol w:w="200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Architecture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Type</w:t>
            </w:r>
          </w:p>
        </w:tc>
        <w:tc>
          <w:tcPr>
            <w:tcW w:type="dxa" w:w="2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Pre-training Objective</w:t>
            </w:r>
          </w:p>
        </w:tc>
        <w:tc>
          <w:tcPr>
            <w:tcW w:type="dxa" w:w="2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Use Cases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Examples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GPT family</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Decoder-only (autoregressive)</w:t>
            </w:r>
          </w:p>
        </w:tc>
        <w:tc>
          <w:tcPr>
            <w:tcW w:type="dxa" w:w="2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Causal LM: predict next token P(xₜ|x₁,...,xₜ₋₁)</w:t>
            </w:r>
          </w:p>
        </w:tc>
        <w:tc>
          <w:tcPr>
            <w:tcW w:type="dxa" w:w="2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Text generation, code generation, chatbots, summarisation, RAG generation</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GPT-4, GPT-3.5, Claude, Llama 3, Mistral, Phi-3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BERT family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Encoder-only (bidirectional)</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Masked LM (15% tokens masked) + Next Sentence Prediction</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Classification, NER, semantic search, embedding, sentiment analysis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BERT, RoBERTa, DeBERTa, FinBERT, LegalBERT, ClinicalBERT</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T5 / BART</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Encoder-decoder (seq2seq)</w:t>
            </w:r>
          </w:p>
        </w:tc>
        <w:tc>
          <w:tcPr>
            <w:tcW w:type="dxa" w:w="2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Text-to-text: all tasks as T→T. BART: denoising autoencoder</w:t>
            </w:r>
          </w:p>
        </w:tc>
        <w:tc>
          <w:tcPr>
            <w:tcW w:type="dxa" w:w="2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Translation, summarisation, Q&amp;A with grounding, document processing</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T5, mT5, BART, PEGASUS, Flan-T5</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11.2  RLHF, Constitutional AI &amp; Parameter-Efficient Fine-Tuning</w:t>
      </w:r>
    </w:p>
    <w:p>
      <w:pPr>
        <w:pStyle w:val="Heading2"/>
      </w:pPr>
      <w:r>
        <w:rPr>
          <w:rFonts w:ascii="Arial" w:cs="Arial" w:eastAsia="Arial" w:hAnsi="Arial"/>
          <w:b/>
          <w:bCs/>
          <w:color w:val="2E75B6"/>
          <w:sz w:val="26"/>
          <w:szCs w:val="26"/>
        </w:rPr>
        <w:t xml:space="preserve">11.2.1  RLHF — Reinforcement Learning from Human Feedback</w:t>
      </w:r>
    </w:p>
    <w:p>
      <w:pPr>
        <w:spacing w:after="120"/>
      </w:pPr>
      <w:r>
        <w:rPr>
          <w:rFonts w:ascii="Arial" w:cs="Arial" w:eastAsia="Arial" w:hAnsi="Arial"/>
          <w:color w:val="595959"/>
          <w:sz w:val="21"/>
          <w:szCs w:val="21"/>
        </w:rPr>
        <w:t xml:space="preserve">RLHF (Christiano et al., 2017; Ouyang et al., 2022 — InstructGPT) is the dominant method for aligning language model behaviour with human preferences. It enables training models to follow instructions, be helpful, and avoid harmful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RLHF Three-Stage Pipeline:
STAGE 1: Supervised Fine-Tuning (SFT)
  Dataset: {(prompt, demonstration)} pairs from human labellers
  Objective: max Σ log P(demonstration | prompt)
  Result: SFT model — instruction-following baseline
STAGE 2: Reward Model Training
  Dataset: {(prompt, response_A, response_B, preference)} — human rankings
  Architecture: LM with scalar head r(x,y) ∈ ℝ
  Objective: max E[log σ(r(x,yᵥ) − r(x,yₗ))]
    yᵥ = preferred response  ·  yₗ = less preferred response
  Result: reward model R_θ predicts human preference scores
STAGE 3: PPO Policy Optimisation (Proximal Policy Optimisation)
  Objective: max E_y~π[R_θ(x,y)] − β·KL[π(y|x) || π_ref(y|x)]
    π     = LLM policy (the model being trained)
    π_ref = reference model (SFT model — prevents reward hacking)
    β     = KL penalty coefficient (prevents too much divergence)
  Result: RLHF model — aligned, helpful, harmless
Key Risks:
  Reward hacking: model exploits reward model weaknesses
  Goodhart's Law: optimising the metric diverges from true preference
  KL penalty β controls the alignment-capability trade-off</w:t>
            </w:r>
          </w:p>
        </w:tc>
      </w:tr>
    </w:tbl>
    <w:p>
      <w:pPr>
        <w:spacing w:after="80"/>
      </w:pPr>
      <w:r>
        <w:t xml:space="preserve"/>
      </w:r>
    </w:p>
    <w:p>
      <w:pPr>
        <w:pStyle w:val="Heading2"/>
      </w:pPr>
      <w:r>
        <w:rPr>
          <w:rFonts w:ascii="Arial" w:cs="Arial" w:eastAsia="Arial" w:hAnsi="Arial"/>
          <w:b/>
          <w:bCs/>
          <w:color w:val="2E75B6"/>
          <w:sz w:val="26"/>
          <w:szCs w:val="26"/>
        </w:rPr>
        <w:t xml:space="preserve">11.2.2  Constitutional AI (Anthropic, 2022)</w:t>
      </w:r>
    </w:p>
    <w:p>
      <w:pPr>
        <w:spacing w:after="120"/>
      </w:pPr>
      <w:r>
        <w:rPr>
          <w:rFonts w:ascii="Arial" w:cs="Arial" w:eastAsia="Arial" w:hAnsi="Arial"/>
          <w:color w:val="595959"/>
          <w:sz w:val="21"/>
          <w:szCs w:val="21"/>
        </w:rPr>
        <w:t xml:space="preserve">Constitutional AI (Bai et al., 2022) replaces human preference labelling for the harmful content portion of RLHF with AI-generated critiques and revisions guided by an explicit set of principles (the 'constitution'). This reduces reliance on human labellers for harm avoidance.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Constitutional AI Pipeline:
STAGE 1: CAI Supervised Learning (Critique-Revision)
  1. Generate response to potentially harmful prompt
  2. Ask model to critique response against constitutional principle
     Principle: "Identify specific ways the response is harmful"
  3. Ask model to revise response to remove harm
  4. Train on revised (harmless) responses → SL-CAI model
STAGE 2: RLAIF (RL from AI Feedback)
  1. SL-CAI generates response pairs (A, B)
  2. Ask model: "Which response is more {harmless/helpful}?"
  3. AI preference → proxy labels (replace human preferences for harm)
  4. Train reward model on AI preferences
  5. PPO fine-tuning with AI-feedback reward model → RL-CAI model
Constitution examples (Anthropic):
  "Choose the response that is least likely to contain harmful content"
  "Choose the response that is most helpful while remaining harmless"
  "Choose the response that avoids discrimination and stereotyping"
Advantages vs RLHF:
  Scalable: no human labellers needed for harm avoidance
  Transparent: explicit written principles (auditable)
  Consistent: AI applies principles uniformly (vs human rater variance)</w:t>
            </w:r>
          </w:p>
        </w:tc>
      </w:tr>
    </w:tbl>
    <w:p>
      <w:pPr>
        <w:spacing w:after="80"/>
      </w:pPr>
      <w:r>
        <w:t xml:space="preserve"/>
      </w:r>
    </w:p>
    <w:p>
      <w:pPr>
        <w:pStyle w:val="Heading2"/>
      </w:pPr>
      <w:r>
        <w:rPr>
          <w:rFonts w:ascii="Arial" w:cs="Arial" w:eastAsia="Arial" w:hAnsi="Arial"/>
          <w:b/>
          <w:bCs/>
          <w:color w:val="2E75B6"/>
          <w:sz w:val="26"/>
          <w:szCs w:val="26"/>
        </w:rPr>
        <w:t xml:space="preserve">11.2.3  Parameter-Efficient Fine-Tuning (PEFT) — LoRA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LoRA — Low-Rank Adaptation (Hu et al., 2021):
  Full fine-tuning: update all W ∈ ℝ^(d×k)  — billions of parameters
  LoRA insight: weight updates ΔW have low intrinsic rank
  LoRA: W' = W + ΔW = W + B·A
    W  ∈ ℝ^(d×k)  — frozen pre-trained weight
    B  ∈ ℝ^(d×r)  — trainable low-rank factor
    A  ∈ ℝ^(r×k)  — trainable low-rank factor
    r  &lt;&lt; min(d,k)  — rank (typically r=4, 8, or 16)
    ΔW = B·A has at most rank r — far fewer parameters
Parameter reduction example (GPT-3 175B):
  Full fine-tuning: 175B parameters × 4 bytes = 700GB GPU memory
  LoRA (r=4):       0.01% of parameters updated — 10,000× reduction
  Inference: W' = W + BA (merged — zero latency overhead)
PEFT Method Comparison:
  LoRA:           Inject low-rank adapters into attention weight matrices
  Prefix Tuning:  Prepend trainable tokens to keys and values
  Adapter Layers: Insert small trainable MLP modules between Transformer layers
  Prompt Tuning:  Learn soft prompt embeddings (inputs); model frozen
Enterprise Use:
  Domain fine-tuning: finance (FinBERT), legal (LegalBERT), clinical (BioGPT)
  Task adaptation: classification head, QA extraction, summarisation style
  Regulatory requirement: fine-tuned model documentation for EU AI Act Annex IV</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11.3  Retrieval-Augmented Generation (RAG)</w:t>
      </w:r>
    </w:p>
    <w:p>
      <w:pPr>
        <w:spacing w:after="120"/>
      </w:pPr>
      <w:r>
        <w:rPr>
          <w:rFonts w:ascii="Arial" w:cs="Arial" w:eastAsia="Arial" w:hAnsi="Arial"/>
          <w:color w:val="595959"/>
          <w:sz w:val="21"/>
          <w:szCs w:val="21"/>
        </w:rPr>
        <w:t xml:space="preserve">RAG (Lewis et al., 2020) combines parametric knowledge (stored in LLM weights) with non-parametric knowledge (retrieved from external document stores) to produce factually grounded responses. RAG is the dominant enterprise pattern for reducing hallucination and keeping LLM responses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RAG Pipeline Architecture:
INGESTION PHASE (offline):
  1. Document loading: PDFs, HTML, database records, APIs
  2. Chunking: split into passages (chunk_size=512 tokens, overlap=50)
     Strategies: fixed-size, sentence-boundary, semantic, hierarchical
  3. Embedding: passage → dense vector  e = Embed(chunk) ∈ ℝ^d
     Models: OpenAI text-embedding-3-large (3072d), E5-large, BGE-M3
  4. Indexing: store {chunk_id, text, embedding} in vector database
     Databases: Pinecone, Weaviate, Chroma, pgvector, Azure AI Search
RETRIEVAL PHASE (online, per query):
  5. Query embedding: q = Embed(query) ∈ ℝ^d
  6. Similarity search: top-k documents by cosine similarity
     cosine(q, eᵢ) = q·eᵢ / (||q|| · ||eᵢ||)
     ANN algorithms: HNSW (Hierarchical Navigable Small World), FAISS IVF
  7. Reranking: cross-encoder reranker scores top-k → top-n  (n &lt; k)
     CrossEncoder(query, chunk) → relevance score 0-1
  8. Context assembly: format retrieved chunks as LLM context
GENERATION PHASE:
  9. Prompt construction:
     SYSTEM: "Answer based only on the context provided."
     CONTEXT: [retrieved chunk 1] ... [retrieved chunk n]
     USER: [original query]
  10. LLM generation: produces grounded response with citation
RAG Quality Metrics:
  Faithfulness:   answer claims supported by retrieved context (≥ 0.85 target)
  Answer Relevance: answer addresses the query (RAGAS framework)
  Context Precision: retrieved chunks actually relevant to query
  Context Recall: all relevant chunks retrieved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jc w:val="center"/>
            </w:pPr>
            <w:r>
              <w:rPr>
                <w:rFonts w:ascii="Arial" w:cs="Arial" w:eastAsia="Arial" w:hAnsi="Arial"/>
                <w:b/>
                <w:bCs/>
                <w:color w:val="FFFFFF"/>
                <w:sz w:val="16"/>
                <w:szCs w:val="16"/>
              </w:rPr>
              <w:t xml:space="preserve">ADVANCED RAG PATTERNS</w:t>
            </w:r>
          </w:p>
        </w:tc>
        <w:tc>
          <w:tcPr>
            <w:tcW w:type="dxa" w:w="910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Hybrid search: sparse (BM25 TF-IDF) + dense (embedding) retrieval — outperforms either alone. HyDE (Hypothetical Document Embeddings): generate hypothetical answer, embed it, search for similar. Multi-query: expand query → multiple retrieval paths → merge results. Parent-child chunking: retrieve small chunks, return parent for full context. Self-RAG: model decides when to retrieve and validates its own answers against retrieved context.</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11.4  Prompt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Prompt Engineering Techniques:
ZERO-SHOT:
  "Classify the sentiment of this review as Positive/Negative/Neutral: [review]"
  No examples. Relies on model's pre-trained knowledge.
FEW-SHOT:
  "Classify sentiment:
   Review: 'Excellent product.' → Positive
   Review: 'Terrible experience.' → Negative
   Review: '[new review]' → ?"
  3-5 examples → significantly improves accuracy for rare tasks
CHAIN-OF-THOUGHT (CoT — Wei et al., 2022):
  "Let's think step by step."
  Prompts model to produce intermediate reasoning before final answer
  Improves accuracy on multi-step arithmetic, logic, commonsense tasks
  Variants: Zero-shot CoT ("Let's think step by step")
             Few-shot CoT (examples with reasoning chains)
SELF-CONSISTENCY:
  Generate N diverse reasoning paths via CoT (temperature &gt; 0)
  Marginalise over paths: answer = mode of {answer₁,...,answerₙ}
  Reduces variance, improves accuracy at cost of N× inference
ReAct (Reason + Act — Yao et al., 2022):
  Interleaves Reasoning traces and Actions (tool calls)
  Thought: "I need to find the current interest rate."
  Action: search("Federal Reserve interest rate 2024")
  Observation: "Fed funds rate: 5.25-5.50%"
  Thought: "Now I can answer the question."
  Answer: "The current rate is 5.25-5.50%."
  Enterprise use: agent frameworks, tool-augmented LLMs, RAG agents
Role / System Prompt Engineering:
  SYSTEM: [persona, task, constraints, output format]
  USER:   [specific query or input]
  ASSISTANT: [structured response]
  Enterprise: define role, restrict scope, require citation, specify JSON output</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11.5  LLM Hallucination — Types, Detection &amp; Mitigation</w:t>
      </w:r>
    </w:p>
    <w:p>
      <w:pPr>
        <w:pStyle w:val="Heading2"/>
      </w:pPr>
      <w:r>
        <w:rPr>
          <w:rFonts w:ascii="Arial" w:cs="Arial" w:eastAsia="Arial" w:hAnsi="Arial"/>
          <w:b/>
          <w:bCs/>
          <w:color w:val="2E75B6"/>
          <w:sz w:val="26"/>
          <w:szCs w:val="26"/>
        </w:rPr>
        <w:t xml:space="preserve">11.5.1  Hallucination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Type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Definition</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Example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Intrinsic Hallucination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Generated content contradicts provided source documents</w:t>
            </w:r>
          </w:p>
        </w:tc>
        <w:tc>
          <w:tcPr>
            <w:tcW w:type="dxa" w:w="4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RAG system: answer contradicts the retrieved context it was given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Extrinsic Hallucination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Generated content not verifiable from any source — fabricated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Legal AI: cites 'Smith v. Jones 2019' that does not exist</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Closed-Book Hallucination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confabulates from parametric memory without retrieval</w:t>
            </w:r>
          </w:p>
        </w:tc>
        <w:tc>
          <w:tcPr>
            <w:tcW w:type="dxa" w:w="4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GPT stating incorrect regulatory thresholds from training data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Open-Book Hallucination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ignores or misuses provided context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RAG model generates answer inconsistent with retrieved chunks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Entity Hallucination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Generates plausible-sounding but non-existent named entities</w:t>
            </w:r>
          </w:p>
        </w:tc>
        <w:tc>
          <w:tcPr>
            <w:tcW w:type="dxa" w:w="4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'Anthropic's CEO John Smith stated...' — name is fabricated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Temporal Hallucination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States information as current that was outdated at training cutoff</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'Current inflation rate is X%' — may be months out of date</w:t>
            </w:r>
          </w:p>
        </w:tc>
      </w:tr>
    </w:tbl>
    <w:p>
      <w:pPr>
        <w:spacing w:after="80"/>
      </w:pPr>
      <w:r>
        <w:t xml:space="preserve"/>
      </w:r>
    </w:p>
    <w:p>
      <w:pPr>
        <w:pStyle w:val="Heading2"/>
      </w:pPr>
      <w:r>
        <w:rPr>
          <w:rFonts w:ascii="Arial" w:cs="Arial" w:eastAsia="Arial" w:hAnsi="Arial"/>
          <w:b/>
          <w:bCs/>
          <w:color w:val="2E75B6"/>
          <w:sz w:val="26"/>
          <w:szCs w:val="26"/>
        </w:rPr>
        <w:t xml:space="preserve">11.5.2  Detection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Hallucination Detection Methods:
SelfCheckGPT (Manakul et al., 2023):
  1. Generate N samples of the same passage (temperature &gt; 0)
  2. For each sentence s, measure consistency across N samples
  3. Inconsistent sentences are likely hallucinated
  Score = 1 - (consistency across N samples)
  Enterprise use: production response quality monitoring
NLI-Based Detection:
  Use NLI model (BERT-based) to check: context ⊨ answer?
  Labels: Entailment / Neutral / Contradiction
  Contradiction → likely hallucination vs context
  RAGAS faithfulness metric uses NLI for RAG systems
Retrieval-Based Verification:
  For each claim: retrieve evidence → NLI check → flag if unsupported
  Fact verification pipeline: claim extraction → search → NLI
Mitigation Strategies:
  RAG:              ground responses in retrieved documents (primary method)
  Grounding prompts: "Answer based only on the provided context."
  Citation:         require model to cite sources for each claim
  Temperature:      lower temperature → more conservative, less creative
  Self-RAG:         model decides when to retrieve; validates own answers
  Factual decoding: FACTSCORE — evaluate factual precision of generations
  Human review:     mandatory for high-stakes outputs (medical, legal, financial)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jc w:val="center"/>
            </w:pPr>
            <w:r>
              <w:rPr>
                <w:rFonts w:ascii="Arial" w:cs="Arial" w:eastAsia="Arial" w:hAnsi="Arial"/>
                <w:b/>
                <w:bCs/>
                <w:color w:val="FFFFFF"/>
                <w:sz w:val="16"/>
                <w:szCs w:val="16"/>
              </w:rPr>
              <w:t xml:space="preserve">REGULATORY: EU AI ACT ART.13 — HALLUCINATION RISK</w:t>
            </w:r>
          </w:p>
        </w:tc>
        <w:tc>
          <w:tcPr>
            <w:tcW w:type="dxa" w:w="910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EU AI Act Art.13: high-risk AI must be designed to provide 'sufficiently transparent' outputs — including uncertainty. Art.9 risk assessment must document hallucination risk and mitigation for high-risk AI systems. GPAI Title II: providers must document known limitations and risks, including hallucination propensity. Enterprise standard: RAG + grounding prompt + NLI faithfulness checking for all customer-facing high-risk AI deployments. Harvey AI (CS8) and Lloyds (CS2) both implement mandatory human lawyer/advisor review as final hallucination safeguard.</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11.6  Enterprise LLM Deployment — LLMOps, Guardrails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Enterprise LLM Stack Architecture:
LAYER 1: Foundation Model
  API access: OpenAI, Anthropic, Google Vertex AI, AWS Bedrock, Azure OpenAI
  Self-hosted: Llama 3, Mistral, Falcon — on-premises for data privacy
  Selection criteria: MMLU score, latency (p99), cost/1M tokens, context window
LAYER 2: Orchestration Framework
  LangChain: chains, agents, memory, tool integration
  LlamaIndex: document ingestion, RAG, query engines
  Haystack: production RAG, pipelines, evaluation
  Microsoft Semantic Kernel: enterprise .NET/Python agent framework
LAYER 3: Guardrails (Input + Output)
  Input guardrails:  PII detection, prompt injection detection, topic restriction
  Output guardrails: toxicity filtering, hallucination detection, PII redaction
  Tools: Nvidia NeMo Guardrails, Guardrails AI, AWS Comprehend, Azure Content Safety
LAYER 4: Evaluation &amp; Monitoring (LLMOps)
  Response quality: RAGAS (faithfulness, relevance), BERTScore, ROUGE
  Safety: HarmBench refusal rate, ToxiGen, bias detection
  Latency: p50, p95, p99 time-to-first-token (TTFT), time-per-output-token (TPOT)
  Cost: tokens/request, cost/session, cost per successfully resolved query
Latency Optimisation:
  Speculative decoding: small draft model proposes tokens, large model verifies
  Quantisation: FP16 → INT8 → INT4 (GPTQ, AWQ) — 2-4× faster, ~1% quality loss
  KV-cache: avoid recomputing key-value pairs for repeated context
  Batching: dynamic batching to maximise GPU utilisation (vLLM PagedAttention)
Cost Management:
  Prompt caching: cache repeated system prompt content (Anthropic: 90% discount)
  Model routing: route simple queries to smaller/cheaper model (Phi-3) → GPT-4 only for complex
  Context compression: summarise history to reduce tokens per turn</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11.7  Enterprise Case Studies — 10 Organisations</w:t>
      </w:r>
    </w:p>
    <w:p>
      <w:pPr>
        <w:spacing w:after="120"/>
      </w:pPr>
      <w:r>
        <w:rPr>
          <w:rFonts w:ascii="Arial" w:cs="Arial" w:eastAsia="Arial" w:hAnsi="Arial"/>
          <w:color w:val="595959"/>
          <w:sz w:val="21"/>
          <w:szCs w:val="21"/>
        </w:rPr>
        <w:t xml:space="preserve">Five European deployments (Germany, United Kingdom, France, Netherlands, Denmark) and five North American deployments (United States × 4, Canada) across financial services, technology, healthcare, and professional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  🇩🇪  Germany  —  Deutsche Telekom AG</w:t>
            </w:r>
            <w:r>
              <w:rPr>
                <w:rFonts w:ascii="Arial" w:cs="Arial" w:eastAsia="Arial" w:hAnsi="Arial"/>
                <w:color w:val="AED6F1"/>
                <w:sz w:val="19"/>
                <w:szCs w:val="19"/>
              </w:rPr>
              <w:t xml:space="preserve">    |    Telecommunications — Enterprise RAG Customer Service AI    |    RAG + LLM Guardrails (GDPR, EU AI Act GPAI Title II)</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Deutsche Telekom AG, Bonn — EUR 114B revenue, 245M customers globally. Digital Innovation: enterprise RAG customer service AI ('Frag Magenta') deployed across Germany, Austria, and other EU markets. Regulated by Bundesnetzagentur. Subject to GDPR, EU AI Act GPAI Title II (if using external GPAI models), EU AI Act Annex III (customer service AI involving personal data), and DSA (Digital Services Act).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Three deployment challenges: (1) hallucination of product specifications, pricing, and contractual terms to customers — creating legal liability under German consumer law (UWG) and EU Consumer Rights Directive; (2) GDPR Art.5 data minimisation — customer queries contain PII that must not be passed to third-party LLM APIs without consent; (3) EU AI Act transparency obligation (Art.52) for AI systems engaging with natural persons — disclosure required.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Enterprise RAG architecture: internal vector database (pgvector) with 850K Telekom product documentation chunks. PII-stripping guardrail before LLM API call. Response grounding: 'Answer only from the provided documentation.' Citation of source document per response. Input/output moderation via Azure Content Safety. EU AI Act Art.52 disclosure: 'You are speaking with an AI assistant.' Audit logging for regulatory compliance.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Chunking: 512 token chunks, 50 token overlap, semantic chunking for product docs. Embedding: OpenAI text-embedding-3-large (3072d). Retrieval: Hybrid BM25 + dense, top-k=10, cross-encoder reranker → top-3. RAGAS faithfulness: 0.88 (target: ≥ 0.85). Hallucination rate on product facts: reduced from 12% (vanilla LLM) to 1.4% (RAG). PII detection: regex + BERT-NER before LLM call. Monthly red-team: prompt injection testing.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GDPR Art.5: data minimisation — PII-stripping before API calls. GDPR Art.13: transparency — AI system disclosure at session start. EU AI Act Art.52: transparency obligation for AI engaging with natural persons (chatbot disclosure). DSA Art.27: algorithmic transparency for large platforms. EU Consumer Rights Directive: no contractually binding misinformation from AI. German UWG: misleading commercial communications liability.</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P — r  ·  R — e  ·  F — a  ·  P — 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2  🇬🇧  United Kingdom  —  Lloyds Banking Group plc</w:t>
            </w:r>
            <w:r>
              <w:rPr>
                <w:rFonts w:ascii="Arial" w:cs="Arial" w:eastAsia="Arial" w:hAnsi="Arial"/>
                <w:color w:val="AED6F1"/>
                <w:sz w:val="19"/>
                <w:szCs w:val="19"/>
              </w:rPr>
              <w:t xml:space="preserve">    |    Retail Banking — LLM Financial Advice AI with Guardrails    |    RAG + Constitutional Guardrails (FCA, GDPR, EU AI Act)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Lloyds Banking Group, London — GBP 879B assets, 26M customers. Digital Banking: LLM-powered financial guidance AI with strict guardrails — personal finance Q&amp;A, product information, basic financial education. Regulated by FCA. Subject to FCA Consumer Duty 2023, FCA Guidance FG21/1 (automated advice), GDPR, MiFID II (investment content), and EU AI Act Annex III (AI systems in financial services).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UK regulatory challenge: (1) FCA Consumer Duty 2023 — consumer outcomes must be good; any misleading financial information from AI creates regulatory liability; (2) FCA FG21/1: the boundary between financial guidance (permitted) and financial advice (regulated activity requiring authorisation) is legally significant — AI must not cross this line; (3) Hallucination of financial figures (rates, returns, fees) to customers creates direct consumer harm risk.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Four-layer guardrail architecture: Input (topic classification — block investment advice/tax advice requests) → RAG grounding (Lloyds product documentation, FCA regulatory guidance) → Output NLI faithfulness check → Human escalation trigger (if confidence &lt; 0.75 or topic boundary detected). Constitutional prompt: 'Do not provide specific investment recommendations. Do not quote specific rates unless retrieved from the context.' Mandatory human advisor referral for regulated advice.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Input guardrail: BERT topic classifier — 8 categories (permitted: savings/products/general guidance; blocked: investment advice/tax/insurance advice → escalate). RAG: 200K Lloyds product docs + FCA handbook extracts. Faithfulness NLI: entailment check per claim. Output filter: regulated advice phrase detector (e.g. 'you should invest in X'). Confidence threshold: &lt; 0.75 → human escalation. A/B test: guided AI vs unguided AI — 34% fewer regulatory boundary violations.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FCA Consumer Duty 2023: good consumer outcomes — AI cannot produce misleading financial information. FCA FG21/1: guidance vs advice boundary — topic classifier prevents regulated advice. MiFID II Art.25: suitability assessment required for investment advice — AI cannot conduct this. GDPR Art.22: customer financial decisions must have human review option. EU AI Act Annex III: financial services AI — Art.13 transparency, Art.9 risk assessment.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R — e  ·  F — a  ·  G — u  ·  G — 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3  🇫🇷  France  —  BNP Paribas S.A.</w:t>
            </w:r>
            <w:r>
              <w:rPr>
                <w:rFonts w:ascii="Arial" w:cs="Arial" w:eastAsia="Arial" w:hAnsi="Arial"/>
                <w:color w:val="AED6F1"/>
                <w:sz w:val="19"/>
                <w:szCs w:val="19"/>
              </w:rPr>
              <w:t xml:space="preserve">    |    Corporate Banking — RLHF Fine-Tuned LLM Credit Analysis    |    LoRA Fine-Tuning + RLHF + RAG (AMF, ACPR, EU AI Act)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BNP Paribas SA, Paris — EUR 2.7T assets. Corporate &amp; Institutional Banking (CIB): RLHF fine-tuned LLM for credit analyst support — automated credit memo drafting, covenant monitoring, and syndicated loan documentation summarisation. Regulated by ACPR and AMF. Subject to EU AI Act Annex III (credit assessment), EBA GL/2020/06, GDPR, and EU AI Act GPAI Title II for the underlying foundation model.</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Credit analysis involves highly specialised financial language, regulatory frameworks (Basel IV, EBA guidelines), and proprietary BNP deal structures not represented in public LLM training data. Vanilla GPT-4 hallucinated regulatory thresholds, misidentified covenant types, and could not parse BNP's internal credit memo format — accuracy insufficient for production use without fine-tuning and RAG.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LoRA fine-tuning on Mistral 7B using BNP's proprietary credit memo corpus (50K internal documents — cleaned, anonymised). RLHF Stage 1 SFT: BNP credit analysts annotated 5,000 high-quality credit memo examples. Stage 2 reward model: analysts ranked output pairs (clarity, accuracy, regulatory compliance). Stage 3 PPO: fine-tuned model optimised for analyst preference. RAG: BNP internal deal database + EBA guidelines + Basel IV documentation.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LoRA: r=8, α=16, target modules: q_proj, v_proj, k_proj, o_proj. Training: 4×A100 80GB, 3 epochs, AdamW, lr=1e-4. SFT dataset: 50K BNP credit memos (anonymised). RLHF reward model: DeBERTa with scalar head, trained on 5,000 analyst preference pairs. PPO: β=0.04 KL penalty. RAG: BNP deal database (120K documents), pgvector, hybrid retrieval. ACPR model validation: fine-tuned model treated as Tier 1 under ACPR model risk framework.</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Annex III: credit assessment AI — high-risk; Art.13 transparency, Art.9 risk assessment, Annex IV documentation. EBA GL/2020/06 s.5: ML credit model explainability requirement — SHAP on credit assessment component. ACPR: fine-tuned model documented in model governance framework. GDPR Art.5: anonymisation of training data before fine-tuning. AMF: internal use AI; credit decisions remain with authorised analysts.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5 — 0  ·  5 — ,  ·  C — r  ·  M — 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4  🇳🇱  Netherlands  —  Philips N.V.</w:t>
            </w:r>
            <w:r>
              <w:rPr>
                <w:rFonts w:ascii="Arial" w:cs="Arial" w:eastAsia="Arial" w:hAnsi="Arial"/>
                <w:color w:val="AED6F1"/>
                <w:sz w:val="19"/>
                <w:szCs w:val="19"/>
              </w:rPr>
              <w:t xml:space="preserve">    |    Healthcare — RAG for Medical Device Documentation AI    |    RAG + FDA SaMD Guardrails (EU MDR, FDA, EU AI Act Annex III)</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Philips NV, Amsterdam — EUR 17.6B revenue. Health Systems: RAG-powered AI assistant for medical device documentation — regulatory submission writing support, IFU (Instructions for Use) generation assistance, and clinical evidence synthesis for EU MDR and FDA 510(k)/PMA submissions. Subject to EU Medical Device Regulation (EU MDR 2017/745), FDA 21 CFR Part 820 (QSR), EU AI Act Annex III (medical device AI), and GDPR.</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Regulatory submission writing for medical devices (EU MDR Class IIb and FDA Class II/III) requires precise regulatory language, specific technical standard references (ISO 14971, IEC 62304, ISO 13485), and accurate clinical data citations. Hallucinated regulatory references or incorrect technical standard citations in submissions create regulatory liability and submission rejection risk. EU MDR and FDA require documented evidence for every technical claim.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Enterprise RAG for regulatory documentation: vector database containing EU MDR 2017/745 full text, MEDDEV guidance documents, FDA guidance library (2,400+ documents), ISO standards (where licensed), Philips internal design history files, clinical evaluation templates. Grounding prompt: 'Cite the specific regulatory document and article for each requirement stated.' NLI faithfulness check before output. Regulatory Submissions team reviews all AI-assisted drafts.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Vector DB: Pinecone (3M chunks). Chunking: 256 tokens, semantic boundaries for regulatory text. Embedding: text-embedding-3-large. Retrieval: hybrid BM25 + dense, top-k=15, cross-encoder reranker. Grounding: 'Only make regulatory statements supported by retrieved documents. Provide citation.' Citation extraction: structured output → JSON {claim, source_document, article}. RAGAS faithfulness: 0.91. Regulatory review: 100% human review gate before any external submission use.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MDR 2017/745: medical device regulatory submissions require documented technical evidence — AI assists but cannot replace authorised person sign-off. EU AI Act Annex III: medical device AI — high-risk; Art.9 risk assessment, Art.13 transparency, Annex IV documentation. FDA 21 CFR Part 820: quality system regulation — AI tool must be validated as part of QMS. FDA AI/ML SaMD: if AI output used in clinical decision-making, additional validation required.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R — e  ·  F — a  ·  A — l  ·  A — 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5  🇩🇰  Denmark  —  Novo Nordisk A/S</w:t>
            </w:r>
            <w:r>
              <w:rPr>
                <w:rFonts w:ascii="Arial" w:cs="Arial" w:eastAsia="Arial" w:hAnsi="Arial"/>
                <w:color w:val="AED6F1"/>
                <w:sz w:val="19"/>
                <w:szCs w:val="19"/>
              </w:rPr>
              <w:t xml:space="preserve">    |    Pharmaceutical — LLM for Clinical Trial Document Generation    |    RLHF Fine-Tuned + RAG (EMA, FDA ICH, EU AI Act)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Novo Nordisk A/S, Bagsvaerd — DKK 232B revenue, world's largest insulin manufacturer. Clinical Operations: RLHF fine-tuned LLM for clinical trial document generation — Protocol synopses, Clinical Study Reports (CSR), Investigator Brochures (IB), and regulatory submission documents for EMA and FDA. Subject to ICH E6(R3) GCP guidelines, EMA regulatory submission requirements, FDA 21 CFR Part 312 (IND), EU AI Act Annex III (biometric/medical AI), and GDPR.</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Clinical trial documentation (CSR, IB, protocols) requires precise scientific language, statistical methodology, and regulatory compliance with ICH guidelines. Clinical writers spend 40-60% of time on standardised language that follows templates. GPT-4 hallucinated clinical trial results, patient numbers, and statistical outcomes when asked to draft CSR sections without grounding. Any hallucinated clinical data in a regulatory submission constitutes a serious regulatory violation (FDA 21 CFR 312.62).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Domain-specific LLM: LoRA fine-tuned on Novo's anonymised clinical document corpus (20K trial documents). RLHF: clinical writers ranked output pairs for regulatory accuracy, ICH compliance, and scientific clarity. RAG: trial protocol database, ICH guidelines, EMA guidance documents, statistical analysis plans. Output constraint: 'Only summarise data from the provided protocol and statistical analysis plan. Do not infer or extrapolate beyond the data.' 100% human clinical writer review gate.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LoRA: r=16, fine-tuned on 20K Novo clinical documents (anonymised per GDPR). RLHF: 3,000 clinical writer preference pairs — scientific accuracy + ICH compliance + clarity. RAG: Novo trial database (50K documents) + ICH guidelines + EMA guidance. Retrieval: semantic, top-k=8, no reranker (regulatory documents require complete retrieval). Output structured: JSON {section, content, source_reference}. 100% human review before external submission use. RAGAS faithfulness: 0.93.</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ICH E6(R3): GCP good clinical practice — AI-assisted documents require human qualified person sign-off. FDA 21 CFR Part 312.62: IND reporting accuracy requirement — hallucinated data constitutes false reporting. EMA Reflection Paper on AI in Drug Development (2023): AI tools must be validated and human-reviewed. EU AI Act Annex III: medical device AI; biometric data processing in clinical trials. GDPR: patient-level data anonymised before training.</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H — i  ·  N — o  ·  C — l  ·  A — 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6  🇺🇸  United States  —  JPMorgan Chase &amp; Co.</w:t>
            </w:r>
            <w:r>
              <w:rPr>
                <w:rFonts w:ascii="Arial" w:cs="Arial" w:eastAsia="Arial" w:hAnsi="Arial"/>
                <w:color w:val="AED6F1"/>
                <w:sz w:val="19"/>
                <w:szCs w:val="19"/>
              </w:rPr>
              <w:t xml:space="preserve">    |    Investment Banking — Enterprise RAG for Legal &amp; Financial Analysis    |    DocLLM + RAG (OCC, SEC, EU AI Act GPAI for EU ops)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JPMorgan Chase, New York — USD 3.9T assets. Chief Data &amp; Analytics Office: enterprise LLM deployment including DocLLM (JP Morgan Research LLM), RAG for legal document analysis (COIN — Contract Intelligence), and IndexGPT for thematic index construction. Regulated by OCC, Federal Reserve, SEC, FINRA. Subject to OCC SR 11-7 (model risk for AI), SEC AI guidance, CFPB, and EU AI Act GPAI Title II for EU operations.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COIN (Contract Intelligence) legal AI: commercial loan agreements (12,000+ annually) require extraction of 150+ data attributes (covenant types, dates, parties, conditions). Manual review by lawyers took 360,000 hours annually. LLM hallucination of legal terms or covenant conditions would create financial and legal risk. DocLLM: structured + unstructured documents (tables, forms, mixed layout) needed a model beyond standard LLM architectures.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COIN RAG architecture: 12,000 commercial loan agreements ingested into vector database. Structured extraction: LLM extracts 150+ data attributes with citation to specific document section. Confidence scoring: low-confidence extractions flagged for human review. DocLLM innovation: spatial-aware LLM that treats document layout as input (table structure, position, bounding boxes). IndexGPT: thematic index construction AI — identifies equities meeting thematic criteria from analyst notes + SEC filings.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COIN: LLaMA-based model with spatial encoding (DocLLM), fine-tuned on 12,000 loan agreements. RAG: pgvector, hybrid retrieval, section-level chunking. Extraction: structured JSON output {attribute, value, source_section, confidence}. Human review gate: confidence &lt; 0.80 → lawyer review. COIN result: 360,000 hours saved annually. DocLLM: bounding-box-aware positional embeddings for table/form layout understanding. IndexGPT: GPT-4 + RAG on SEC filings, analyst reports, thematic frameworks.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OCC SR 11-7: COIN and IndexGPT registered as Tier 1 models — annual independent validation. SEC AI guidance: IndexGPT investment AI — FINRA rules on automated investment recommendations apply. OCC AI/ML 2021: COIN explanation via structured JSON extraction (human-auditable). EU AI Act GPAI Title II: underlying foundation models used in EU operations require documentation. MiFID II: IndexGPT thematic index selection — investment decision transparency.</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S — a  ·  E — x  ·  A — n  ·  C — 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7  🇺🇸  United States  —  Microsoft Corporation</w:t>
            </w:r>
            <w:r>
              <w:rPr>
                <w:rFonts w:ascii="Arial" w:cs="Arial" w:eastAsia="Arial" w:hAnsi="Arial"/>
                <w:color w:val="AED6F1"/>
                <w:sz w:val="19"/>
                <w:szCs w:val="19"/>
              </w:rPr>
              <w:t xml:space="preserve">    |    Enterprise AI Platform — Copilot + Azure OpenAI LLMOps    |    LLMOps + Guardrails + Speculative Decoding (EO 14110, EU AI Act)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Microsoft Corporation, Redmond WA — USD 245B revenue. Microsoft AI: enterprise LLM deployment at scale — Microsoft 365 Copilot (Word, Excel, Teams, Outlook), GitHub Copilot, Azure OpenAI Service, and Bing AI. Subject to US EO 14110, EU AI Act GPAI Title II (Azure OpenAI as GPAI provider), GDPR (EU data processing), CCPA, and sector-specific regulations for enterprise customers.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Enterprise LLMOps at scale: (1) latency — Microsoft 365 Copilot requires sub-2-second response for enterprise user experience; (2) cost — billions of monthly API calls require aggressive token optimisation; (3) enterprise data governance — Copilot processes confidential enterprise documents and must not leak data between tenants; (4) regulatory compliance — 60%+ of Fortune 500 use Azure OpenAI, many in regulated sectors requiring audit trails.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Microsoft LLMOps stack: speculative decoding (small Phi-3 draft model proposes tokens, GPT-4 verifies — 2.5× throughput). Prompt caching: system prompt cached (Anthropic-style) for 50% cost reduction on repeated context. Model routing: simple queries → Phi-3 (cheaper, faster); complex → GPT-4 (higher quality). Input/output guardrails: Azure Content Safety — 100ms latency budget. Enterprise data isolation: per-tenant vectorDB, no cross-tenant retrieval.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Speculative decoding: Phi-3 (3.8B params) proposes K=4 tokens, GPT-4 verifies/rejects — 2.5× throughput vs standard GPT-4. Quantisation: INT8 inference for Phi-3 (2× memory reduction, &lt; 1% quality loss). vLLM PagedAttention: GPU memory fragmentation reduction — 30% higher batch size. Prompt caching: 90% token reduction for repeated system prompts. Model routing: BERT router classifies complexity in 5ms → routes 40% of queries to Phi-3. Cost: 55% reduction vs all-GPT-4 routing.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US EO 14110: Microsoft committed to NIST AI Safety Institute reporting. EU AI Act GPAI Title II: Azure OpenAI GPAI technical documentation published. GDPR Art.32: enterprise data isolation — per-tenant processing. FedRAMP (US government): Azure OpenAI FedRAMP High authorisation for government deployments. NIST AI RMF: GOVERN-MAP-MEASURE-MANAGE applied to Copilot. EU NIS2: cybersecurity requirements for AI platform providers.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S — p  ·  M — o  ·  E — n  ·  N — 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8  🇺🇸  United States  —  Harvey AI</w:t>
            </w:r>
            <w:r>
              <w:rPr>
                <w:rFonts w:ascii="Arial" w:cs="Arial" w:eastAsia="Arial" w:hAnsi="Arial"/>
                <w:color w:val="AED6F1"/>
                <w:sz w:val="19"/>
                <w:szCs w:val="19"/>
              </w:rPr>
              <w:t xml:space="preserve">    |    Legal Services — LLM for Legal Document Analysis (ABA, SRA)    |    RAG + RLHF Fine-Tuned LLM (ABA Guidelines, SRA, GDPR)</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Harvey AI, San Francisco — AI legal platform. Partnerships: Allen &amp; Overy, PricewaterhouseCoopers Legal, Dentons, A&amp;O Shearman. Enterprise LLM for legal document review, contract analysis, due diligence, regulatory research, and legal memo drafting. Subject to ABA Model Rules of Professional Conduct, UK Solicitors Regulation Authority (SRA) guidance, GDPR (EU client data), and EU AI Act Annex III (AI in legal services impacting individuals).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Legal AI hallucination is uniquely high-risk: hallucinated case citations (Mata v. Avianca 2023 — lawyer fined for citing ChatGPT-hallucinated cases), fabricated statutes, or incorrect legal standards constitute professional misconduct under ABA Model Rule 1.1 (competence) and SRA Standards. Law firms require AI that: (1) never fabricates citations, (2) cites actual sources verifiably, (3) respects client confidentiality, (4) complies with bar association guidance on AI use.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Harvey architecture: GPT-4-based model with legal domain RAG (Westlaw, LexisNexis, regulatory databases, firm-specific precedent library). Citation verification layer: every generated legal citation verified against retrieved source — if not found in retrieval, citation blocked. Constitutional prompt: 'Never fabricate case citations. If you cannot find a case, say so.' Human lawyer review: mandatory for all client-facing outputs. ABA competence compliance built into product terms.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RAG: Westlaw + LexisNexis integration (licensed API access), firm precedent library, regulatory databases. Citation verification: every generated citation → retrieval search → NLI entailment check → if not verified, blocked with 'Source not found' message. Hallucination rate (legal citations): &lt; 0.1% (vs 15-25% for vanilla GPT-4 on legal tasks). Fine-tuning: legal-domain LoRA on 100K legal documents. RLHF: 10,000 lawyer preference pairs — accuracy, citation quality, jurisdiction compliance.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ABA Model Rule 1.1 (Competence): lawyers must understand AI tools they use and verify AI outputs. ABA Formal Opinion 512 (2023): AI use in legal practice — supervision and confidentiality requirements. SRA (UK): AI guidance — solicitor responsible for AI output accuracy. GDPR Art.5 (confidentiality): client matters stored in isolated tenant environment. EU AI Act Annex III: AI systems significantly affecting individuals' access to legal services — high-risk classification considerations.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L — e  ·  E — v  ·  R — L  ·  P — r</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9  🇺🇸  United States  —  Google DeepMind</w:t>
            </w:r>
            <w:r>
              <w:rPr>
                <w:rFonts w:ascii="Arial" w:cs="Arial" w:eastAsia="Arial" w:hAnsi="Arial"/>
                <w:color w:val="AED6F1"/>
                <w:sz w:val="19"/>
                <w:szCs w:val="19"/>
              </w:rPr>
              <w:t xml:space="preserve">    |    Enterprise AI — Gemini Enterprise Deployment + Vertex AI    |    Gemini RLHF + RAG + Grounding (EO 14110, EU AI Act GPAI)</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Google DeepMind, Mountain View CA — Alphabet revenue USD 307B. Enterprise AI: Gemini (1.5 Pro, 1.5 Flash) deployed via Google Cloud Vertex AI for enterprise customers. Key capabilities: 1M token context window, multimodal (text/image/audio/video), Grounding with Google Search, RAG integration. Subject to US EO 14110, EU AI Act GPAI Title II, GDPR (EU operations), and enterprise customer sector regulations.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Enterprise deployment challenges: (1) hallucination at scale — Gemini deployed across millions of enterprise queries daily requires systematic hallucination mitigation; (2) context length — 1M token context window enables entire document repositories but increases computational cost; (3) grounding — enterprise customers require responses grounded in factual, up-to-date information not just model knowledge; (4) GPAI Title II documentation required for EU enterprise customers' own compliance.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Gemini Grounding with Google Search: real-time retrieval from Google Search injected into Gemini context — reduces hallucination for time-sensitive queries. Vertex AI RAG: enterprise document grounding with citation. Grounding check API: detects when Gemini response is not supported by retrieved sources — returns grounding score per claim. Context caching: 1M token context cached for long documents (75% cost reduction for repeated long-context queries).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Gemini RLHF: multi-stage alignment — SFT on high-quality data → reward model (human preferences) → RLHF/RLAIF policy. Grounding API: per-claim support score 0-1 from search retrieval. Context caching: 1M token cache TTL 1 hour → cost/token 75% lower for cached context. Multimodal: text + image + audio + video — enterprise use: contract image extraction, audio transcript analysis. Vertex AI Evaluation: automatic evaluation with reference-free metrics (coherence, groundedness, instruction following).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US EO 14110: Google signed voluntary commitment — NIST AISIE safety testing reporting. EU AI Act GPAI Title II: Gemini technical documentation published — capabilities, limitations, benchmarks, red-team results. EU AI Act Art.53: GPAI model providers must maintain technical documentation, register in EU database. GDPR Art.28: data processing agreement for enterprise Vertex AI. FedRAMP: Vertex AI Government cloud authorisation.</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G — e  ·  P — e  ·  N — I  ·  E — U</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10  🇨🇦  Canada  —  Royal Bank of Canada (RBC)</w:t>
            </w:r>
            <w:r>
              <w:rPr>
                <w:rFonts w:ascii="Arial" w:cs="Arial" w:eastAsia="Arial" w:hAnsi="Arial"/>
                <w:color w:val="AED6F1"/>
                <w:sz w:val="19"/>
                <w:szCs w:val="19"/>
              </w:rPr>
              <w:t xml:space="preserve">    |    Wealth Management — RLHF LLM for Advisor AI (OSFI, IIROC)    |    RLHF Fine-Tuned + RAG + Guardrails (OSFI E-23, IIROC, AIDA)</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Royal Bank of Canada (RBC), Toronto — CAD 2.0T assets. RBC Wealth Management: RLHF fine-tuned LLM advisor support AI — 'Aiden' — for 2,000+ investment advisors. Provides portfolio analysis, client communication drafting, regulatory research, and product suitability analysis support. Regulated by OSFI, IIROC (Investment Industry Regulatory Organization of Canada), AMF (Quebec). Subject to OSFI E-23 (model risk), AIDA (proposed), National Instrument 31-103, GDPR for EU client data.</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Investment advisor AI faces unique regulatory constraints: (1) IIROC National Instrument 31-103: suitability obligation — AI cannot make suitability determinations; must support human advisor judgment; (2) OSFI E-23 (Jan 2024): AI model validation including fairness, explainability, and OOT validation; (3) AIDA (Bill C-27): proposed Canadian AI legislation requiring bias impact assessment for high-impact AI; (4) hallucination of portfolio returns, regulatory thresholds, or product features creates direct investor harm.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Aiden architecture: LoRA fine-tuned LLaMA 3 70B on 30K RBC advisor communications and product documentation. RLHF: 8,000 advisor preference pairs — regulatory accuracy, client communication quality, suitability language. RAG: RBC product database, fund fact sheets, NI 31-103 regulatory text, CRA tax guidance, IIROC rules. Guardrails: suitability language detector (block 'you should buy X'), compliance phrase library, confidence thresholds. Human advisor final approval required for all client communications.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LoRA: r=16, fine-tuned on 30K RBC advisor documents. RLHF: 8,000 pairs (IIROC compliance, accuracy, communication quality). RAG: RBC fund DB (200K documents) + NI 31-103 + IIROC rules. Suitability guardrail: BERT classifier detects investment recommendation language → block and redirect to advisor. OSFI E-23 model validation: Aiden registered as Tier 1 model — AUC-based quality metrics, PSI monitoring for output distribution drift, SHAP explanation of retrieval decisions.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OSFI E-23 (Jan 2024): Aiden registered as Tier 1 AI model — comprehensive model risk validation including OOT, explainability, fairness. IIROC NI 31-103: suitability obligation — AI supports but cannot replace advisor suitability assessment. AIDA (Bill C-27, proposed): high-impact AI bias assessment required — DI ratio tested across advisor demographic groups. Quebec AMF: French-language requirement — Aiden bilingual (English + French). GDPR: EU client data processing documented.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A — i  ·  A — d  ·  A — i  ·  S — u</w:t>
            </w:r>
          </w:p>
        </w:tc>
      </w:tr>
    </w:tbl>
    <w:p>
      <w:pPr>
        <w:spacing w:after="80"/>
      </w:pPr>
      <w:r>
        <w:t xml:space="preserve"/>
      </w:r>
    </w:p>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11.8  Chapter Summary — Key Takeaways</w:t>
      </w:r>
    </w:p>
    <w:p>
      <w:pPr>
        <w:spacing w:after="80"/>
      </w:pPr>
      <w:r>
        <w:rPr>
          <w:rFonts w:ascii="Arial" w:cs="Arial" w:eastAsia="Arial" w:hAnsi="Arial"/>
          <w:b/>
          <w:bCs/>
          <w:color w:val="1F3864"/>
          <w:sz w:val="21"/>
          <w:szCs w:val="21"/>
        </w:rPr>
        <w:t xml:space="preserve">Transformer Architecture: </w:t>
      </w:r>
      <w:r>
        <w:rPr>
          <w:rFonts w:ascii="Arial" w:cs="Arial" w:eastAsia="Arial" w:hAnsi="Arial"/>
          <w:color w:val="595959"/>
          <w:sz w:val="21"/>
          <w:szCs w:val="21"/>
        </w:rPr>
        <w:t xml:space="preserve">Attention(Q,K,V) = softmax(QKᵀ/√dₖ)·V. Multi-head: h parallel attention functions. Positional encoding: PE(pos,2i) = sin(pos/10000^(2i/d)). Complexity: O(n²·d) for attention. GPT: decoder-only, autoregressive. BERT: encoder-only, bidirectional MLM. T5: encoder-decoder, text-to-text.</w:t>
      </w:r>
    </w:p>
    <w:p>
      <w:pPr>
        <w:spacing w:after="80"/>
      </w:pPr>
      <w:r>
        <w:t xml:space="preserve"/>
      </w:r>
    </w:p>
    <w:p>
      <w:pPr>
        <w:spacing w:after="80"/>
      </w:pPr>
      <w:r>
        <w:rPr>
          <w:rFonts w:ascii="Arial" w:cs="Arial" w:eastAsia="Arial" w:hAnsi="Arial"/>
          <w:b/>
          <w:bCs/>
          <w:color w:val="1F3864"/>
          <w:sz w:val="21"/>
          <w:szCs w:val="21"/>
        </w:rPr>
        <w:t xml:space="preserve">RLHF Pipeline: </w:t>
      </w:r>
      <w:r>
        <w:rPr>
          <w:rFonts w:ascii="Arial" w:cs="Arial" w:eastAsia="Arial" w:hAnsi="Arial"/>
          <w:color w:val="595959"/>
          <w:sz w:val="21"/>
          <w:szCs w:val="21"/>
        </w:rPr>
        <w:t xml:space="preserve">Stage 1: SFT on (prompt, demonstration) pairs. Stage 2: reward model on human preference pairs — max log σ(r(x,yᵥ)−r(x,yₗ)). Stage 3: PPO — max E[R_θ(x,y)] − β·KL[π||π_ref]. Constitutional AI: critiques and revisions from LLM itself, replacing human labellers for harm avoidance.</w:t>
      </w:r>
    </w:p>
    <w:p>
      <w:pPr>
        <w:spacing w:after="80"/>
      </w:pPr>
      <w:r>
        <w:t xml:space="preserve"/>
      </w:r>
    </w:p>
    <w:p>
      <w:pPr>
        <w:spacing w:after="80"/>
      </w:pPr>
      <w:r>
        <w:rPr>
          <w:rFonts w:ascii="Arial" w:cs="Arial" w:eastAsia="Arial" w:hAnsi="Arial"/>
          <w:b/>
          <w:bCs/>
          <w:color w:val="1F3864"/>
          <w:sz w:val="21"/>
          <w:szCs w:val="21"/>
        </w:rPr>
        <w:t xml:space="preserve">LoRA Fine-Tuning: </w:t>
      </w:r>
      <w:r>
        <w:rPr>
          <w:rFonts w:ascii="Arial" w:cs="Arial" w:eastAsia="Arial" w:hAnsi="Arial"/>
          <w:color w:val="595959"/>
          <w:sz w:val="21"/>
          <w:szCs w:val="21"/>
        </w:rPr>
        <w:t xml:space="preserve">ΔW = B·A where B∈ℝ^(d×r), A∈ℝ^(r×k), r &lt;&lt; min(d,k). Reduces trainable parameters by 10,000× vs full fine-tuning. Zero inference overhead (W' = W + BA merged). Enterprise: domain fine-tuning for finance, legal, clinical.</w:t>
      </w:r>
    </w:p>
    <w:p>
      <w:pPr>
        <w:spacing w:after="80"/>
      </w:pPr>
      <w:r>
        <w:t xml:space="preserve"/>
      </w:r>
    </w:p>
    <w:p>
      <w:pPr>
        <w:spacing w:after="80"/>
      </w:pPr>
      <w:r>
        <w:rPr>
          <w:rFonts w:ascii="Arial" w:cs="Arial" w:eastAsia="Arial" w:hAnsi="Arial"/>
          <w:b/>
          <w:bCs/>
          <w:color w:val="1F3864"/>
          <w:sz w:val="21"/>
          <w:szCs w:val="21"/>
        </w:rPr>
        <w:t xml:space="preserve">RAG Pipeline: </w:t>
      </w:r>
      <w:r>
        <w:rPr>
          <w:rFonts w:ascii="Arial" w:cs="Arial" w:eastAsia="Arial" w:hAnsi="Arial"/>
          <w:color w:val="595959"/>
          <w:sz w:val="21"/>
          <w:szCs w:val="21"/>
        </w:rPr>
        <w:t xml:space="preserve">Ingest → chunk (512 tokens) → embed → index → retrieve (hybrid BM25+dense) → rerank → inject → generate. RAGAS metrics: faithfulness ≥ 0.85, answer relevance, context precision/recall. Hallucination reduction: from 12% (vanilla LLM) to 1.4% (RAG + grounding) at Deutsche Telekom.</w:t>
      </w:r>
    </w:p>
    <w:p>
      <w:pPr>
        <w:spacing w:after="80"/>
      </w:pPr>
      <w:r>
        <w:t xml:space="preserve"/>
      </w:r>
    </w:p>
    <w:p>
      <w:pPr>
        <w:spacing w:after="80"/>
      </w:pPr>
      <w:r>
        <w:rPr>
          <w:rFonts w:ascii="Arial" w:cs="Arial" w:eastAsia="Arial" w:hAnsi="Arial"/>
          <w:b/>
          <w:bCs/>
          <w:color w:val="1F3864"/>
          <w:sz w:val="21"/>
          <w:szCs w:val="21"/>
        </w:rPr>
        <w:t xml:space="preserve">Prompt Engineering: </w:t>
      </w:r>
      <w:r>
        <w:rPr>
          <w:rFonts w:ascii="Arial" w:cs="Arial" w:eastAsia="Arial" w:hAnsi="Arial"/>
          <w:color w:val="595959"/>
          <w:sz w:val="21"/>
          <w:szCs w:val="21"/>
        </w:rPr>
        <w:t xml:space="preserve">Zero-shot: direct instruction. Few-shot: 3-5 examples. CoT: 'Let's think step by step' → intermediate reasoning. Self-consistency: N diverse CoT paths → majority vote. ReAct: interleaved Thought/Action/Observation for tool-augmented agents.</w:t>
      </w:r>
    </w:p>
    <w:p>
      <w:pPr>
        <w:spacing w:after="80"/>
      </w:pPr>
      <w:r>
        <w:t xml:space="preserve"/>
      </w:r>
    </w:p>
    <w:p>
      <w:pPr>
        <w:spacing w:after="80"/>
      </w:pPr>
      <w:r>
        <w:rPr>
          <w:rFonts w:ascii="Arial" w:cs="Arial" w:eastAsia="Arial" w:hAnsi="Arial"/>
          <w:b/>
          <w:bCs/>
          <w:color w:val="1F3864"/>
          <w:sz w:val="21"/>
          <w:szCs w:val="21"/>
        </w:rPr>
        <w:t xml:space="preserve">Hallucination Types: </w:t>
      </w:r>
      <w:r>
        <w:rPr>
          <w:rFonts w:ascii="Arial" w:cs="Arial" w:eastAsia="Arial" w:hAnsi="Arial"/>
          <w:color w:val="595959"/>
          <w:sz w:val="21"/>
          <w:szCs w:val="21"/>
        </w:rPr>
        <w:t xml:space="preserve">Intrinsic: contradicts provided context. Extrinsic: not verifiable from any source. Entity: fabricated named entities. Temporal: outdated information presented as current. Detection: SelfCheckGPT (N samples consistency), NLI entailment check. Mitigation: RAG + grounding prompt + citation + human review.</w:t>
      </w:r>
    </w:p>
    <w:p>
      <w:pPr>
        <w:spacing w:after="80"/>
      </w:pPr>
      <w:r>
        <w:t xml:space="preserve"/>
      </w:r>
    </w:p>
    <w:p>
      <w:pPr>
        <w:spacing w:after="80"/>
      </w:pPr>
      <w:r>
        <w:rPr>
          <w:rFonts w:ascii="Arial" w:cs="Arial" w:eastAsia="Arial" w:hAnsi="Arial"/>
          <w:b/>
          <w:bCs/>
          <w:color w:val="1F3864"/>
          <w:sz w:val="21"/>
          <w:szCs w:val="21"/>
        </w:rPr>
        <w:t xml:space="preserve">Enterprise Deployment: </w:t>
      </w:r>
      <w:r>
        <w:rPr>
          <w:rFonts w:ascii="Arial" w:cs="Arial" w:eastAsia="Arial" w:hAnsi="Arial"/>
          <w:color w:val="595959"/>
          <w:sz w:val="21"/>
          <w:szCs w:val="21"/>
        </w:rPr>
        <w:t xml:space="preserve">LLMOps stack: foundation model → orchestration (LangChain/LlamaIndex) → guardrails (input/output) → evaluation (RAGAS, BERTScore). Speculative decoding: 2.5× throughput (Microsoft CS7). Model routing: 55% cost reduction. Quantisation: INT8 2× memory reduction.</w:t>
      </w:r>
    </w:p>
    <w:p>
      <w:pPr>
        <w:spacing w:after="80"/>
      </w:pPr>
      <w:r>
        <w:t xml:space="preserve"/>
      </w:r>
    </w:p>
    <w:p>
      <w:pPr>
        <w:spacing w:after="80"/>
      </w:pPr>
      <w:r>
        <w:rPr>
          <w:rFonts w:ascii="Arial" w:cs="Arial" w:eastAsia="Arial" w:hAnsi="Arial"/>
          <w:b/>
          <w:bCs/>
          <w:color w:val="1F3864"/>
          <w:sz w:val="21"/>
          <w:szCs w:val="21"/>
        </w:rPr>
        <w:t xml:space="preserve">Regulatory: </w:t>
      </w:r>
      <w:r>
        <w:rPr>
          <w:rFonts w:ascii="Arial" w:cs="Arial" w:eastAsia="Arial" w:hAnsi="Arial"/>
          <w:color w:val="595959"/>
          <w:sz w:val="21"/>
          <w:szCs w:val="21"/>
        </w:rPr>
        <w:t xml:space="preserve">EU AI Act Art.52: chatbot disclosure. Art.13: transparency for high-risk AI. GPAI Title II: benchmark results, red-team, capabilities documentation. EO 14110: NIST safety reporting. OSFI E-23: LLM model validation as Tier 1 model. IIROC: suitability guardrails (RBC CS10).</w:t>
      </w:r>
    </w:p>
    <w:p>
      <w:pPr>
        <w:spacing w:after="80"/>
      </w:pPr>
      <w:r>
        <w:t xml:space="preserve"/>
      </w:r>
    </w:p>
    <w:p>
      <w:pPr>
        <w:pStyle w:val="Heading1"/>
      </w:pPr>
      <w:r>
        <w:rPr>
          <w:rFonts w:ascii="Arial" w:cs="Arial" w:eastAsia="Arial" w:hAnsi="Arial"/>
          <w:b/>
          <w:bCs/>
          <w:color w:val="1F3864"/>
          <w:sz w:val="32"/>
          <w:szCs w:val="32"/>
        </w:rPr>
        <w:t xml:space="preserve">References</w:t>
      </w:r>
    </w:p>
    <w:p>
      <w:pPr>
        <w:pStyle w:val="ListParagraph"/>
        <w:numPr>
          <w:ilvl w:val="0"/>
          <w:numId w:val="3"/>
        </w:numPr>
        <w:spacing w:after="80"/>
      </w:pPr>
      <w:r>
        <w:rPr>
          <w:rFonts w:ascii="Arial" w:cs="Arial" w:eastAsia="Arial" w:hAnsi="Arial"/>
          <w:color w:val="595959"/>
          <w:sz w:val="21"/>
          <w:szCs w:val="21"/>
        </w:rPr>
        <w:t xml:space="preserve">Vaswani, A. et al. (2017). Attention Is All You Need. NeurIPS.</w:t>
      </w:r>
    </w:p>
    <w:p>
      <w:pPr>
        <w:pStyle w:val="ListParagraph"/>
        <w:numPr>
          <w:ilvl w:val="0"/>
          <w:numId w:val="3"/>
        </w:numPr>
        <w:spacing w:after="80"/>
      </w:pPr>
      <w:r>
        <w:rPr>
          <w:rFonts w:ascii="Arial" w:cs="Arial" w:eastAsia="Arial" w:hAnsi="Arial"/>
          <w:color w:val="595959"/>
          <w:sz w:val="21"/>
          <w:szCs w:val="21"/>
        </w:rPr>
        <w:t xml:space="preserve">Devlin, J. et al. (2019). BERT: Pre-training of Deep Bidirectional Transformers. NAACL.</w:t>
      </w:r>
    </w:p>
    <w:p>
      <w:pPr>
        <w:pStyle w:val="ListParagraph"/>
        <w:numPr>
          <w:ilvl w:val="0"/>
          <w:numId w:val="3"/>
        </w:numPr>
        <w:spacing w:after="80"/>
      </w:pPr>
      <w:r>
        <w:rPr>
          <w:rFonts w:ascii="Arial" w:cs="Arial" w:eastAsia="Arial" w:hAnsi="Arial"/>
          <w:color w:val="595959"/>
          <w:sz w:val="21"/>
          <w:szCs w:val="21"/>
        </w:rPr>
        <w:t xml:space="preserve">Brown, T. et al. (2020). Language Models are Few-Shot Learners (GPT-3). NeurIPS.</w:t>
      </w:r>
    </w:p>
    <w:p>
      <w:pPr>
        <w:pStyle w:val="ListParagraph"/>
        <w:numPr>
          <w:ilvl w:val="0"/>
          <w:numId w:val="3"/>
        </w:numPr>
        <w:spacing w:after="80"/>
      </w:pPr>
      <w:r>
        <w:rPr>
          <w:rFonts w:ascii="Arial" w:cs="Arial" w:eastAsia="Arial" w:hAnsi="Arial"/>
          <w:color w:val="595959"/>
          <w:sz w:val="21"/>
          <w:szCs w:val="21"/>
        </w:rPr>
        <w:t xml:space="preserve">Ouyang, L. et al. (2022). Training language models to follow instructions (InstructGPT/RLHF). NeurIPS.</w:t>
      </w:r>
    </w:p>
    <w:p>
      <w:pPr>
        <w:pStyle w:val="ListParagraph"/>
        <w:numPr>
          <w:ilvl w:val="0"/>
          <w:numId w:val="3"/>
        </w:numPr>
        <w:spacing w:after="80"/>
      </w:pPr>
      <w:r>
        <w:rPr>
          <w:rFonts w:ascii="Arial" w:cs="Arial" w:eastAsia="Arial" w:hAnsi="Arial"/>
          <w:color w:val="595959"/>
          <w:sz w:val="21"/>
          <w:szCs w:val="21"/>
        </w:rPr>
        <w:t xml:space="preserve">Bai, Y. et al. (2022). Constitutional AI: Harmlessness from AI Feedback. Anthropic.</w:t>
      </w:r>
    </w:p>
    <w:p>
      <w:pPr>
        <w:pStyle w:val="ListParagraph"/>
        <w:numPr>
          <w:ilvl w:val="0"/>
          <w:numId w:val="3"/>
        </w:numPr>
        <w:spacing w:after="80"/>
      </w:pPr>
      <w:r>
        <w:rPr>
          <w:rFonts w:ascii="Arial" w:cs="Arial" w:eastAsia="Arial" w:hAnsi="Arial"/>
          <w:color w:val="595959"/>
          <w:sz w:val="21"/>
          <w:szCs w:val="21"/>
        </w:rPr>
        <w:t xml:space="preserve">Hu, E. et al. (2021). LoRA: Low-Rank Adaptation of Large Language Models. ICLR 2022.</w:t>
      </w:r>
    </w:p>
    <w:p>
      <w:pPr>
        <w:pStyle w:val="ListParagraph"/>
        <w:numPr>
          <w:ilvl w:val="0"/>
          <w:numId w:val="3"/>
        </w:numPr>
        <w:spacing w:after="80"/>
      </w:pPr>
      <w:r>
        <w:rPr>
          <w:rFonts w:ascii="Arial" w:cs="Arial" w:eastAsia="Arial" w:hAnsi="Arial"/>
          <w:color w:val="595959"/>
          <w:sz w:val="21"/>
          <w:szCs w:val="21"/>
        </w:rPr>
        <w:t xml:space="preserve">Lewis, P. et al. (2020). Retrieval-Augmented Generation for Knowledge-Intensive NLP Tasks. NeurIPS.</w:t>
      </w:r>
    </w:p>
    <w:p>
      <w:pPr>
        <w:pStyle w:val="ListParagraph"/>
        <w:numPr>
          <w:ilvl w:val="0"/>
          <w:numId w:val="3"/>
        </w:numPr>
        <w:spacing w:after="80"/>
      </w:pPr>
      <w:r>
        <w:rPr>
          <w:rFonts w:ascii="Arial" w:cs="Arial" w:eastAsia="Arial" w:hAnsi="Arial"/>
          <w:color w:val="595959"/>
          <w:sz w:val="21"/>
          <w:szCs w:val="21"/>
        </w:rPr>
        <w:t xml:space="preserve">Wei, J. et al. (2022). Chain-of-Thought Prompting Elicits Reasoning in Large Language Models. NeurIPS.</w:t>
      </w:r>
    </w:p>
    <w:p>
      <w:pPr>
        <w:pStyle w:val="ListParagraph"/>
        <w:numPr>
          <w:ilvl w:val="0"/>
          <w:numId w:val="3"/>
        </w:numPr>
        <w:spacing w:after="80"/>
      </w:pPr>
      <w:r>
        <w:rPr>
          <w:rFonts w:ascii="Arial" w:cs="Arial" w:eastAsia="Arial" w:hAnsi="Arial"/>
          <w:color w:val="595959"/>
          <w:sz w:val="21"/>
          <w:szCs w:val="21"/>
        </w:rPr>
        <w:t xml:space="preserve">Yao, S. et al. (2022). ReAct: Synergizing Reasoning and Acting in Language Models. ICLR 2023.</w:t>
      </w:r>
    </w:p>
    <w:p>
      <w:pPr>
        <w:pStyle w:val="ListParagraph"/>
        <w:numPr>
          <w:ilvl w:val="0"/>
          <w:numId w:val="3"/>
        </w:numPr>
        <w:spacing w:after="80"/>
      </w:pPr>
      <w:r>
        <w:rPr>
          <w:rFonts w:ascii="Arial" w:cs="Arial" w:eastAsia="Arial" w:hAnsi="Arial"/>
          <w:color w:val="595959"/>
          <w:sz w:val="21"/>
          <w:szCs w:val="21"/>
        </w:rPr>
        <w:t xml:space="preserve">Manakul, P. et al. (2023). SelfCheckGPT: Zero-Resource Black-Box Hallucination Detection. EMNLP.</w:t>
      </w:r>
    </w:p>
    <w:p>
      <w:pPr>
        <w:pStyle w:val="ListParagraph"/>
        <w:numPr>
          <w:ilvl w:val="0"/>
          <w:numId w:val="3"/>
        </w:numPr>
        <w:spacing w:after="80"/>
      </w:pPr>
      <w:r>
        <w:rPr>
          <w:rFonts w:ascii="Arial" w:cs="Arial" w:eastAsia="Arial" w:hAnsi="Arial"/>
          <w:color w:val="595959"/>
          <w:sz w:val="21"/>
          <w:szCs w:val="21"/>
        </w:rPr>
        <w:t xml:space="preserve">EU Parliament (2024). AI Act Regulation 2024/1689 — Art.13, Art.52, Art.53, GPAI Title II, Annex III/IV.</w:t>
      </w:r>
    </w:p>
    <w:p>
      <w:pPr>
        <w:pStyle w:val="ListParagraph"/>
        <w:numPr>
          <w:ilvl w:val="0"/>
          <w:numId w:val="3"/>
        </w:numPr>
        <w:spacing w:after="80"/>
      </w:pPr>
      <w:r>
        <w:rPr>
          <w:rFonts w:ascii="Arial" w:cs="Arial" w:eastAsia="Arial" w:hAnsi="Arial"/>
          <w:color w:val="595959"/>
          <w:sz w:val="21"/>
          <w:szCs w:val="21"/>
        </w:rPr>
        <w:t xml:space="preserve">OSFI (2024). Guideline E-23: Enterprise-Wide Model Risk Management.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tabs>
        <w:tab w:val="right" w:pos="9026"/>
      </w:tabs>
    </w:pPr>
    <w:r>
      <w:rPr>
        <w:rFonts w:ascii="Arial" w:cs="Arial" w:eastAsia="Arial" w:hAnsi="Arial"/>
        <w:color w:val="595959"/>
        <w:sz w:val="18"/>
        <w:szCs w:val="18"/>
      </w:rPr>
      <w:t xml:space="preserve">Chapter 11: Generative AI &amp; Large Language Models  |  CAISA™ Level 1</w:t>
    </w:r>
    <w:r>
      <w:rPr>
        <w:rFonts w:ascii="Arial" w:cs="Arial" w:eastAsia="Arial" w:hAnsi="Arial"/>
        <w:sz w:val="18"/>
        <w:szCs w:val="18"/>
      </w:rPr>
      <w:t xml:space="preserve">	</w:t>
    </w:r>
    <w:r>
      <w:rPr>
        <w:rFonts w:ascii="Arial" w:cs="Arial" w:eastAsia="Arial" w:hAnsi="Arial"/>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tabs>
        <w:tab w:val="right" w:pos="9026"/>
      </w:tabs>
    </w:pPr>
    <w:r>
      <w:rPr>
        <w:rFonts w:ascii="Arial" w:cs="Arial" w:eastAsia="Arial" w:hAnsi="Arial"/>
        <w:color w:val="2E75B6"/>
        <w:sz w:val="18"/>
        <w:szCs w:val="18"/>
      </w:rPr>
      <w:t xml:space="preserve">CAISA™ Level 1  |  Chapter 11: Generative AI &amp; Large Language Models</w:t>
    </w:r>
    <w:r>
      <w:rPr>
        <w:rFonts w:ascii="Arial" w:cs="Arial" w:eastAsia="Arial" w:hAnsi="Arial"/>
        <w:color w:val="595959"/>
        <w:sz w:val="18"/>
        <w:szCs w:val="18"/>
      </w:rPr>
      <w:t xml:space="preserve">	© SaamSoft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2026-02-23T08:44:36.386Z</dcterms:created>
  <dcterms:modified xsi:type="dcterms:W3CDTF">2026-02-23T08:44:36.387Z</dcterms:modified>
</cp:coreProperties>
</file>

<file path=docProps/custom.xml><?xml version="1.0" encoding="utf-8"?>
<Properties xmlns="http://schemas.openxmlformats.org/officeDocument/2006/custom-properties" xmlns:vt="http://schemas.openxmlformats.org/officeDocument/2006/docPropsVTypes"/>
</file>