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12 OF 48</w:t>
      </w:r>
    </w:p>
    <w:p>
      <w:pPr>
        <w:spacing w:after="40"/>
        <w:jc w:val="center"/>
      </w:pPr>
      <w:r>
        <w:rPr>
          <w:rFonts w:ascii="Arial" w:cs="Arial" w:eastAsia="Arial" w:hAnsi="Arial"/>
          <w:b/>
          <w:bCs/>
          <w:color w:val="1F3864"/>
          <w:sz w:val="40"/>
          <w:szCs w:val="40"/>
        </w:rPr>
        <w:t xml:space="preserve">AI Agents &amp; Agentic Frameworks</w:t>
      </w:r>
    </w:p>
    <w:p>
      <w:pPr>
        <w:spacing w:after="200"/>
        <w:jc w:val="center"/>
      </w:pPr>
      <w:r>
        <w:rPr>
          <w:rFonts w:ascii="Arial" w:cs="Arial" w:eastAsia="Arial" w:hAnsi="Arial"/>
          <w:b/>
          <w:bCs/>
          <w:color w:val="C9A227"/>
          <w:sz w:val="26"/>
          <w:szCs w:val="26"/>
        </w:rPr>
        <w:t xml:space="preserve">Tool Use · Planning · Memory · Multi-Agent Systems · AutoGen · LangGraph · Enterprise Deployment</w:t>
      </w:r>
    </w:p>
    <w:p>
      <w:pPr>
        <w:spacing w:after="200"/>
        <w:jc w:val="center"/>
      </w:pPr>
      <w:r>
        <w:rPr>
          <w:rFonts w:ascii="Arial" w:cs="Arial" w:eastAsia="Arial" w:hAnsi="Arial"/>
          <w:color w:val="595959"/>
          <w:sz w:val="19"/>
          <w:szCs w:val="19"/>
        </w:rPr>
        <w:t xml:space="preserve">ReAct · Plan-and-Execute · MRKL · OpenAI Assistants · CrewAI · LangChain Agents · Guardrails · EU AI Act Art.22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3 Hours</w:t>
            </w:r>
          </w:p>
          <w:p>
            <w:pPr>
              <w:spacing w:after="0"/>
              <w:jc w:val="center"/>
            </w:pPr>
            <w:r>
              <w:rPr>
                <w:rFonts w:ascii="Arial" w:cs="Arial" w:eastAsia="Arial" w:hAnsi="Arial"/>
                <w:b/>
                <w:bCs/>
                <w:color w:val="2E75B6"/>
                <w:sz w:val="21"/>
                <w:szCs w:val="21"/>
              </w:rPr>
              <w:t xml:space="preserve">Study Time</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10 Case Studies</w:t>
            </w:r>
          </w:p>
          <w:p>
            <w:pPr>
              <w:spacing w:after="0"/>
              <w:jc w:val="center"/>
            </w:pPr>
            <w:r>
              <w:rPr>
                <w:rFonts w:ascii="Arial" w:cs="Arial" w:eastAsia="Arial" w:hAnsi="Arial"/>
                <w:b/>
                <w:bCs/>
                <w:color w:val="2E75B6"/>
                <w:sz w:val="21"/>
                <w:szCs w:val="21"/>
              </w:rPr>
              <w:t xml:space="preserve">5 EU + 5 NA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DE·GB·SE·NL·ES·US×4·CA</w:t>
            </w:r>
          </w:p>
          <w:p>
            <w:pPr>
              <w:spacing w:after="0"/>
              <w:jc w:val="center"/>
            </w:pPr>
            <w:r>
              <w:rPr>
                <w:rFonts w:ascii="Arial" w:cs="Arial" w:eastAsia="Arial" w:hAnsi="Arial"/>
                <w:b/>
                <w:bCs/>
                <w:color w:val="2E75B6"/>
                <w:sz w:val="21"/>
                <w:szCs w:val="21"/>
              </w:rPr>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Week 5 · Ch.12/48</w:t>
            </w:r>
          </w:p>
          <w:p>
            <w:pPr>
              <w:spacing w:after="0"/>
              <w:jc w:val="center"/>
            </w:pPr>
            <w:r>
              <w:rPr>
                <w:rFonts w:ascii="Arial" w:cs="Arial" w:eastAsia="Arial" w:hAnsi="Arial"/>
                <w:b/>
                <w:bCs/>
                <w:color w:val="2E75B6"/>
                <w:sz w:val="21"/>
                <w:szCs w:val="21"/>
              </w:rPr>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12,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Define AI agents and the agent loop: Observe → Think (Reason) → Act (Tool Call) → Observe cycle with memory integration and termination conditions</w:t>
      </w:r>
    </w:p>
    <w:p>
      <w:pPr>
        <w:pStyle w:val="ListParagraph"/>
        <w:numPr>
          <w:ilvl w:val="0"/>
          <w:numId w:val="2"/>
        </w:numPr>
        <w:spacing w:after="80"/>
      </w:pPr>
      <w:r>
        <w:rPr>
          <w:rFonts w:ascii="Arial" w:cs="Arial" w:eastAsia="Arial" w:hAnsi="Arial"/>
          <w:color w:val="595959"/>
          <w:sz w:val="21"/>
          <w:szCs w:val="21"/>
        </w:rPr>
        <w:t xml:space="preserve">Explain core agentic reasoning patterns: ReAct (Reason+Act), Plan-and-Execute (decompose then execute), MRKL (Modular Reasoning, Knowledge and Language), self-reflection, and tree-of-thought</w:t>
      </w:r>
    </w:p>
    <w:p>
      <w:pPr>
        <w:pStyle w:val="ListParagraph"/>
        <w:numPr>
          <w:ilvl w:val="0"/>
          <w:numId w:val="2"/>
        </w:numPr>
        <w:spacing w:after="80"/>
      </w:pPr>
      <w:r>
        <w:rPr>
          <w:rFonts w:ascii="Arial" w:cs="Arial" w:eastAsia="Arial" w:hAnsi="Arial"/>
          <w:color w:val="595959"/>
          <w:sz w:val="21"/>
          <w:szCs w:val="21"/>
        </w:rPr>
        <w:t xml:space="preserve">Describe tool use and function calling: OpenAI/Anthropic tool call schema, tool selection, parallel tool calls, and structured output with JSON schema validation</w:t>
      </w:r>
    </w:p>
    <w:p>
      <w:pPr>
        <w:pStyle w:val="ListParagraph"/>
        <w:numPr>
          <w:ilvl w:val="0"/>
          <w:numId w:val="2"/>
        </w:numPr>
        <w:spacing w:after="80"/>
      </w:pPr>
      <w:r>
        <w:rPr>
          <w:rFonts w:ascii="Arial" w:cs="Arial" w:eastAsia="Arial" w:hAnsi="Arial"/>
          <w:color w:val="595959"/>
          <w:sz w:val="21"/>
          <w:szCs w:val="21"/>
        </w:rPr>
        <w:t xml:space="preserve">Compare multi-agent frameworks: AutoGen (Microsoft), CrewAI (role-based crews), LangGraph (stateful graph orchestration), and OpenAI Assistants API — architecture, strengths, enterprise use cases</w:t>
      </w:r>
    </w:p>
    <w:p>
      <w:pPr>
        <w:pStyle w:val="ListParagraph"/>
        <w:numPr>
          <w:ilvl w:val="0"/>
          <w:numId w:val="2"/>
        </w:numPr>
        <w:spacing w:after="80"/>
      </w:pPr>
      <w:r>
        <w:rPr>
          <w:rFonts w:ascii="Arial" w:cs="Arial" w:eastAsia="Arial" w:hAnsi="Arial"/>
          <w:color w:val="595959"/>
          <w:sz w:val="21"/>
          <w:szCs w:val="21"/>
        </w:rPr>
        <w:t xml:space="preserve">Design agent memory systems: in-context (conversation history), external (vector DB semantic memory), episodic (past run logs), procedural (tool schemas), and entity memory — trade-offs and implementation</w:t>
      </w:r>
    </w:p>
    <w:p>
      <w:pPr>
        <w:pStyle w:val="ListParagraph"/>
        <w:numPr>
          <w:ilvl w:val="0"/>
          <w:numId w:val="2"/>
        </w:numPr>
        <w:spacing w:after="80"/>
      </w:pPr>
      <w:r>
        <w:rPr>
          <w:rFonts w:ascii="Arial" w:cs="Arial" w:eastAsia="Arial" w:hAnsi="Arial"/>
          <w:color w:val="595959"/>
          <w:sz w:val="21"/>
          <w:szCs w:val="21"/>
        </w:rPr>
        <w:t xml:space="preserve">Identify agent failure modes and mitigation: infinite loops, tool call errors, hallucinated tool parameters, context window overflow, cost runaway, and enterprise guardrail strategies</w:t>
      </w:r>
    </w:p>
    <w:p>
      <w:pPr>
        <w:pStyle w:val="ListParagraph"/>
        <w:numPr>
          <w:ilvl w:val="0"/>
          <w:numId w:val="2"/>
        </w:numPr>
        <w:spacing w:after="80"/>
      </w:pPr>
      <w:r>
        <w:rPr>
          <w:rFonts w:ascii="Arial" w:cs="Arial" w:eastAsia="Arial" w:hAnsi="Arial"/>
          <w:color w:val="595959"/>
          <w:sz w:val="21"/>
          <w:szCs w:val="21"/>
        </w:rPr>
        <w:t xml:space="preserve">Analyse enterprise agentic deployment requirements: human-in-the-loop (HITL) patterns, approval gates, audit logging, cost budgets, rate limiting, and rollback mechanisms</w:t>
      </w:r>
    </w:p>
    <w:p>
      <w:pPr>
        <w:pStyle w:val="ListParagraph"/>
        <w:numPr>
          <w:ilvl w:val="0"/>
          <w:numId w:val="2"/>
        </w:numPr>
        <w:spacing w:after="80"/>
      </w:pPr>
      <w:r>
        <w:rPr>
          <w:rFonts w:ascii="Arial" w:cs="Arial" w:eastAsia="Arial" w:hAnsi="Arial"/>
          <w:color w:val="595959"/>
          <w:sz w:val="21"/>
          <w:szCs w:val="21"/>
        </w:rPr>
        <w:t xml:space="preserve">Apply EU AI Act Art.22 (automated decision-making) and Art.9 (risk management) to agentic AI systems — including minimal footprint, reversibility requirements, and OSFI E-23 agent model risk management</w:t>
      </w:r>
    </w:p>
    <w:p>
      <w:pPr>
        <w:spacing w:after="80"/>
      </w:pPr>
      <w:r>
        <w:t xml:space="preserve"/>
      </w:r>
    </w:p>
    <w:p>
      <w:r>
        <w:br w:type="page"/>
      </w:r>
    </w:p>
    <w:p>
      <w:pPr>
        <w:pStyle w:val="Heading1"/>
      </w:pPr>
      <w:r>
        <w:rPr>
          <w:rFonts w:ascii="Arial" w:cs="Arial" w:eastAsia="Arial" w:hAnsi="Arial"/>
          <w:b/>
          <w:bCs/>
          <w:color w:val="1F3864"/>
          <w:sz w:val="32"/>
          <w:szCs w:val="32"/>
        </w:rPr>
        <w:t xml:space="preserve">12.1  AI Agent Fundamentals</w:t>
      </w:r>
    </w:p>
    <w:p>
      <w:pPr>
        <w:pStyle w:val="Heading2"/>
      </w:pPr>
      <w:r>
        <w:rPr>
          <w:rFonts w:ascii="Arial" w:cs="Arial" w:eastAsia="Arial" w:hAnsi="Arial"/>
          <w:b/>
          <w:bCs/>
          <w:color w:val="2E75B6"/>
          <w:sz w:val="26"/>
          <w:szCs w:val="26"/>
        </w:rPr>
        <w:t xml:space="preserve">12.1.1  What is an AI Agent?</w:t>
      </w:r>
    </w:p>
    <w:p>
      <w:pPr>
        <w:spacing w:after="120"/>
      </w:pPr>
      <w:r>
        <w:rPr>
          <w:rFonts w:ascii="Arial" w:cs="Arial" w:eastAsia="Arial" w:hAnsi="Arial"/>
          <w:color w:val="595959"/>
          <w:sz w:val="21"/>
          <w:szCs w:val="21"/>
        </w:rPr>
        <w:t xml:space="preserve">An AI agent is an LLM-powered system that perceives its environment, reasons about a goal, selects and executes actions (tools), observes the results, and iterates until the goal is achieved or a termination condition is met. Unlike single-turn LLM calls, agents operate in a multi-step loop with persistent state and real-world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AI Agent Loop (ReAct-style):
OBSERVE  →  THINK  →  ACT  →  OBSERVE  →  THINK  →  ACT  ...  TERMINATE
Step 1 — OBSERVE:
  Agent receives: user goal + environment state + memory context
Step 2 — THINK (Reasoning):
  LLM generates: Thought: "I need to check the customer's account balance first."
  Selects: which tool to call and with what parameters
Step 3 — ACT (Tool Call):
  Agent executes: get_account_balance(customer_id="C12345")
  Tool returns: {"balance": 4521.50, "currency": "USD"}
Step 4 — OBSERVE (result):
  Agent receives tool output and updates its context
REPEAT until:
  Goal achieved → final response to user
  Max iterations reached → graceful termination
  Error threshold exceeded → human escalation
Agent State:
  system_prompt:   agent persona, capabilities, constraints
  conversation:    full message history (in-context memory)
  tool_results:    accumulated observations from tool calls
  working_memory:  intermediate reasoning and scratchpad</w:t>
            </w:r>
          </w:p>
        </w:tc>
      </w:tr>
    </w:tbl>
    <w:p>
      <w:pPr>
        <w:spacing w:after="80"/>
      </w:pPr>
      <w:r>
        <w:t xml:space="preserve"/>
      </w:r>
    </w:p>
    <w:p>
      <w:pPr>
        <w:pStyle w:val="Heading2"/>
      </w:pPr>
      <w:r>
        <w:rPr>
          <w:rFonts w:ascii="Arial" w:cs="Arial" w:eastAsia="Arial" w:hAnsi="Arial"/>
          <w:b/>
          <w:bCs/>
          <w:color w:val="2E75B6"/>
          <w:sz w:val="26"/>
          <w:szCs w:val="26"/>
        </w:rPr>
        <w:t xml:space="preserve">12.1.2  Agentic Reasoning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Pattern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Mechanism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When to Use</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Example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ReAct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Interleaved Thought/Action/Observation — agent reasons about each step before acting</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Dynamic tasks requiring decision at each step based on tool results</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Customer service agent deciding which knowledge base to query next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Plan-and-Execute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Phase 1: planner LLM decomposes goal into subtask list. Phase 2: executor agent works through each subtask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Complex multi-step tasks with predictable structure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Due diligence agent: plan (retrieve financials, news, legal) then execute each</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MRKL</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Router selects among specialised modules (calculator, search, DB, code executor) per query type</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Tasks requiring specialised tools with distinct input/output schemas</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Financial agent routing: calculator for maths, SQL for data, search for news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Self-Reflection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critiques its own output and iterates: generate → critique → refine →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Quality-critical tasks where first output may be insufficient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Code agent: write code → run tests → fix errors → resubmit (3 iterations)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Tree-of-Thought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maintains multiple reasoning paths simultaneously, evaluates and prunes tree of hypotheses</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Complex reasoning with multiple valid approaches — optimisation problems</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Legal research agent: explore multiple legal theories, evaluate strength, select best</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12.2  Tool Use &amp; Function Calling</w:t>
      </w:r>
    </w:p>
    <w:p>
      <w:pPr>
        <w:spacing w:after="120"/>
      </w:pPr>
      <w:r>
        <w:rPr>
          <w:rFonts w:ascii="Arial" w:cs="Arial" w:eastAsia="Arial" w:hAnsi="Arial"/>
          <w:color w:val="595959"/>
          <w:sz w:val="21"/>
          <w:szCs w:val="21"/>
        </w:rPr>
        <w:t xml:space="preserve">Tool use (function calling) is the mechanism by which LLMs interact with external systems — APIs, databases, code executors, file systems, and web browsers. The model selects tools by name, generates structured parameters, and receives structured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OpenAI / Anthropic Tool Call Schema:
Tool Definition (JSON Schema):
{
  "name": "get_customer_portfolio",
  "description": "Retrieve a customer's investment portfolio by ID",
  "parameters": {
    "type": "object",
    "properties": {
      "customer_id": {"type": "string", "description": "Customer account identifier"},
      "as_of_date":  {"type": "string", "format": "date", "description": "Portfolio date (YYYY-MM-DD)"}
    },
    "required": ["customer_id"]
  }
}
Agent Tool Call (model output):
{
  "tool_use_id": "tu_01ABC",
  "name": "get_customer_portfolio",
  "input": {"customer_id": "C12345", "as_of_date": "2024-01-15"}
}
Tool Result (application response):
{
  "tool_use_id": "tu_01ABC",
  "content": [{"type": "text", "text": "{"portfolio": [...], "total_value": 125000}"}]
}
Parallel Tool Calls (OpenAI, Anthropic Claude):
  Model may call multiple tools simultaneously in one turn
  Reduces round-trips: fetch customer + fetch market data in parallel
  Risk: ensure tools are independent (no ordering dependency)
JSON Schema Validation:
  All tool inputs must conform to defined JSON Schema
  Application validates before execution — rejects malformed calls
  Prevents: SQL injection via tool parameters, path traversal, etc.</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12.3  Multi-Agent Frameworks</w:t>
      </w:r>
    </w:p>
    <w:p>
      <w:pPr>
        <w:pStyle w:val="Heading2"/>
      </w:pPr>
      <w:r>
        <w:rPr>
          <w:rFonts w:ascii="Arial" w:cs="Arial" w:eastAsia="Arial" w:hAnsi="Arial"/>
          <w:b/>
          <w:bCs/>
          <w:color w:val="2E75B6"/>
          <w:sz w:val="26"/>
          <w:szCs w:val="26"/>
        </w:rPr>
        <w:t xml:space="preserve">12.3.1  AutoGen (Microsoft)</w:t>
      </w:r>
    </w:p>
    <w:p>
      <w:pPr>
        <w:spacing w:after="120"/>
      </w:pPr>
      <w:r>
        <w:rPr>
          <w:rFonts w:ascii="Arial" w:cs="Arial" w:eastAsia="Arial" w:hAnsi="Arial"/>
          <w:color w:val="595959"/>
          <w:sz w:val="21"/>
          <w:szCs w:val="21"/>
        </w:rPr>
        <w:t xml:space="preserve">AutoGen (Wu et al., Microsoft 2023) is a framework for building multi-agent conversations where multiple specialised agents collaborate through a conversation protocol. Agents communicate by exchanging messages with defined roles and termination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AutoGen Architecture:
Agent Types:
  AssistantAgent:  LLM-powered agent — reasons, plans, generates code/text
  UserProxyAgent:  Proxies for human — can execute code, provide human input
  GroupChatManager: Orchestrates multi-agent group conversations with speaker selection
Basic Two-Agent Pattern:
  assistant = AssistantAgent(name="Analyst", llm_config={...})
  user_proxy = UserProxyAgent(name="Executor",
    code_execution_config={"work_dir": "coding"},
    human_input_mode="NEVER")
  user_proxy.initiate_chat(assistant, message="Analyse sales data in sales.csv")
  → assistant generates Python code
  → user_proxy executes code in sandbox
  → user_proxy returns output to assistant
  → assistant interprets results, generates next step
  → continues until task complete
Group Chat (3+ agents):
  researcher = AssistantAgent("Researcher")
  analyst    = AssistantAgent("Analyst")
  critic     = AssistantAgent("Critic")
  groupchat  = GroupChat([researcher, analyst, critic], max_round=12)
  manager    = GroupChatManager(groupchat, llm_config={...})
Termination:
  max_consecutive_auto_reply: agent stops after N auto-replies
  is_termination_msg: function detects "TASK COMPLETE" → stop</w:t>
            </w:r>
          </w:p>
        </w:tc>
      </w:tr>
    </w:tbl>
    <w:p>
      <w:pPr>
        <w:spacing w:after="80"/>
      </w:pPr>
      <w:r>
        <w:t xml:space="preserve"/>
      </w:r>
    </w:p>
    <w:p>
      <w:pPr>
        <w:pStyle w:val="Heading2"/>
      </w:pPr>
      <w:r>
        <w:rPr>
          <w:rFonts w:ascii="Arial" w:cs="Arial" w:eastAsia="Arial" w:hAnsi="Arial"/>
          <w:b/>
          <w:bCs/>
          <w:color w:val="2E75B6"/>
          <w:sz w:val="26"/>
          <w:szCs w:val="26"/>
        </w:rPr>
        <w:t xml:space="preserve">12.3.2  LangGraph (LangChain,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LangGraph — Stateful Graph Orchestration:
Core concept: agent workflow as a directed graph
  Nodes: processing steps (LLM calls, tool calls, conditionals)
  Edges: transitions between nodes (static or conditional)
  State: typed dictionary persisted across all nodes
Graph Definition:
  from langgraph.graph import StateGraph, END
  class AgentState(TypedDict):
      messages: list
      tool_calls: list
      iteration: int
  graph = StateGraph(AgentState)
  graph.add_node("llm_call", llm_node)
  graph.add_node("tool_execution", tool_node)
  graph.add_node("human_review", hitl_node)   # human-in-the-loop node
  graph.add_conditional_edges("llm_call", should_use_tool,
    {"tool": "tool_execution", "end": END, "human": "human_review"})
  graph.set_entry_point("llm_call")
  app = graph.compile()
Key Features:
  Persistence: state saved to DB at every node (PostgreSQL, SQLite)
  Checkpointing: resume from any node after failure
  Branching: conditional edges for HITL approval gates
  Streaming: real-time token streaming at each node
  Time-travel: replay from any historical checkpoint</w:t>
            </w:r>
          </w:p>
        </w:tc>
      </w:tr>
    </w:tbl>
    <w:p>
      <w:pPr>
        <w:spacing w:after="80"/>
      </w:pPr>
      <w:r>
        <w:t xml:space="preserve"/>
      </w:r>
    </w:p>
    <w:p>
      <w:pPr>
        <w:pStyle w:val="Heading2"/>
      </w:pPr>
      <w:r>
        <w:rPr>
          <w:rFonts w:ascii="Arial" w:cs="Arial" w:eastAsia="Arial" w:hAnsi="Arial"/>
          <w:b/>
          <w:bCs/>
          <w:color w:val="2E75B6"/>
          <w:sz w:val="26"/>
          <w:szCs w:val="26"/>
        </w:rPr>
        <w:t xml:space="preserve">12.3.3  CrewAI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CrewAI — Role-Based Agent Crews:
Crew: a collection of agents with defined roles, goals, and tools
Agent: has role (persona), goal (objective), backstory, tools, LLM
Task: specific assignment with description, expected output, assigned agent
crew = Crew(
  agents=[
    Agent(role="Senior Research Analyst", goal="Find market insights",
          backstory="Expert in financial market research", tools=[search, web_scrape]),
    Agent(role="Financial Writer", goal="Draft investment memo",
          backstory="Expert at clear financial communication", tools=[doc_create]),
    Agent(role="Compliance Officer", goal="Review for regulatory compliance",
          backstory="Expert in financial regulations", tools=[regulation_search])
  ],
  tasks=[
    Task(description="Research NVIDIA Q4 2024 earnings", agent=researcher),
    Task(description="Draft investment memo", agent=writer, context=[research_task]),
    Task(description="Review memo for FCA compliance", agent=compliance)
  ],
  process=Process.sequential   # or Process.hierarchical
)
result = crew.kickoff()
Process Types:
  Sequential:    task → task → task (pipeline, context passed forward)
  Hierarchical:  manager agent delegates to sub-agents and reviews output</w:t>
            </w:r>
          </w:p>
        </w:tc>
      </w:tr>
    </w:tbl>
    <w:p>
      <w:pPr>
        <w:spacing w:after="80"/>
      </w:pPr>
      <w:r>
        <w:t xml:space="preserve"/>
      </w:r>
    </w:p>
    <w:p>
      <w:pPr>
        <w:pStyle w:val="Heading2"/>
      </w:pPr>
      <w:r>
        <w:rPr>
          <w:rFonts w:ascii="Arial" w:cs="Arial" w:eastAsia="Arial" w:hAnsi="Arial"/>
          <w:b/>
          <w:bCs/>
          <w:color w:val="2E75B6"/>
          <w:sz w:val="26"/>
          <w:szCs w:val="26"/>
        </w:rPr>
        <w:t xml:space="preserve">12.3.4  Framework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20"/>
        <w:gridCol w:w="1820"/>
        <w:gridCol w:w="1820"/>
        <w:gridCol w:w="2200"/>
      </w:tblGrid>
      <w:tr>
        <w:trPr>
          <w:tblHeader/>
        </w:trPr>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Framework</w:t>
            </w:r>
          </w:p>
        </w:tc>
        <w:tc>
          <w:tcPr>
            <w:tcW w:type="dxa" w:w="18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Architecture</w:t>
            </w:r>
          </w:p>
        </w:tc>
        <w:tc>
          <w:tcPr>
            <w:tcW w:type="dxa" w:w="18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State Management</w:t>
            </w:r>
          </w:p>
        </w:tc>
        <w:tc>
          <w:tcPr>
            <w:tcW w:type="dxa" w:w="18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HITL Support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Best Enterprise Use</w:t>
            </w:r>
          </w:p>
        </w:tc>
      </w:tr>
      <w:tr>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AutoGen</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Conversation-based multi-agent</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In-memory conversation</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UserProxyAgent pause</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Code generation, data analysis, research workflows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LangGraph</w:t>
            </w:r>
          </w:p>
        </w:tc>
        <w:tc>
          <w:tcPr>
            <w:tcW w:type="dxa" w:w="1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Directed stateful graph</w:t>
            </w:r>
          </w:p>
        </w:tc>
        <w:tc>
          <w:tcPr>
            <w:tcW w:type="dxa" w:w="1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Persistent DB checkpoints</w:t>
            </w:r>
          </w:p>
        </w:tc>
        <w:tc>
          <w:tcPr>
            <w:tcW w:type="dxa" w:w="1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HITL node in graph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Complex workflows requiring branching, retry, and auditability</w:t>
            </w:r>
          </w:p>
        </w:tc>
      </w:tr>
      <w:tr>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CrewAI</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Role-based agent crews</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Task context passing</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Process approval steps</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Structured team workflows — research, writing, compliance review</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OpenAI Assistants</w:t>
            </w:r>
          </w:p>
        </w:tc>
        <w:tc>
          <w:tcPr>
            <w:tcW w:type="dxa" w:w="1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Managed threads + tools</w:t>
            </w:r>
          </w:p>
        </w:tc>
        <w:tc>
          <w:tcPr>
            <w:tcW w:type="dxa" w:w="1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OpenAI-hosted threads</w:t>
            </w:r>
          </w:p>
        </w:tc>
        <w:tc>
          <w:tcPr>
            <w:tcW w:type="dxa" w:w="1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Requires webhook integration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Rapid prototyping, consumer apps, code interpreter use cases</w:t>
            </w:r>
          </w:p>
        </w:tc>
      </w:tr>
      <w:tr>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LangChain Agents</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Tool-calling agent loop</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executor memory</w:t>
            </w:r>
          </w:p>
        </w:tc>
        <w:tc>
          <w:tcPr>
            <w:tcW w:type="dxa" w:w="18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Callback handlers</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General-purpose agents with extensive tool ecosystem integration</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12.4  Agent 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Agent Memory Systems:
1. IN-CONTEXT MEMORY (Working Memory):
   What:  Current conversation history and tool results
   Limit: LLM context window (4K–1M tokens depending on model)
   Risk:  Context overflow for long-running agents → summarise or truncate
   Use:   All agents — primary short-term working memory
2. EXTERNAL SEMANTIC MEMORY (Long-Term):
   What:  Vector database of past interactions, documents, domain knowledge
   How:   Key facts → embed → store in Pinecone/pgvector
          At query time: retrieve top-k relevant memories by similarity
   Use:   Customer service agents (recall past conversations), RAG agents
3. EPISODIC MEMORY (Agent Run History):
   What:  Logs of previous agent runs: goal, plan, actions taken, outcome
   How:   Structured storage (PostgreSQL) with run_id, timestamps, status
   Use:   Agents that learn from past failures; debugging; auditability
4. PROCEDURAL MEMORY (Tool &amp; API Schemas):
   What:  Tool definitions, API schemas, workflow templates
   How:   Stored as structured schemas, retrieved by tool name
   Use:   Agent knows WHAT tools exist and HOW to call them
5. ENTITY MEMORY:
   What:  Key facts about specific entities (customers, products, regulations)
   How:   Structured knowledge graph or relational DB; queried by entity ID
   Use:   CRM agents, regulatory agents requiring entity-specific context
Memory Retrieval at Runtime:
  1. Agent receives new task
  2. Query semantic memory: embed task → retrieve similar past experiences
  3. Query entity memory: extract entities from task → retrieve entity facts
  4. Load tool schemas into context (procedural memory)
  5. Inject retrieved memories into system prompt context</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12.5  Agent Failure Modes &amp; Enterprise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Failure Mode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Cause</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Mitigation</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Infinite Loop</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repeatedly calls the same tool with no progress — max_iterations not set</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max_iterations limit (e.g. 20); loop detection (same tool+params twice); hard timeout (e.g. 60 seconds)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Tool Call Hallucination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calls a non-existent tool or passes invalid parameter types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JSON Schema validation before execution; whitelist of allowed tool names; retry with error feedback</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Context Window Overflow</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Long-running agent accumulates too many messages → context limit exceeded</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Conversation summarisation trigger at 80% context; sliding window; episodic memory offload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Cost Runaway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spawns excessive tool calls or sub-agents; no budget ceiling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Token budget per session; cost monitoring (LLMOps); hard stop at $X; human escalation</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Irreversible Action</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executes destructive action (delete, send email, transfer funds) without approval</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HITL approval gate for irreversible actions; dry-run mode; action classification (reversible/irreversible)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Prompt Injection via Tools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Malicious content in tool results overrides agent instructions (indirect injection)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Output sanitisation of tool results; instruction hierarchy enforcement; tool result NLI validation</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 Spawning Explosion</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Hierarchical agent spawns unbounded sub-agents</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Max sub-agent depth limit; resource quota per agent tree; monitoring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jc w:val="center"/>
            </w:pPr>
            <w:r>
              <w:rPr>
                <w:rFonts w:ascii="Arial" w:cs="Arial" w:eastAsia="Arial" w:hAnsi="Arial"/>
                <w:b/>
                <w:bCs/>
                <w:color w:val="FFFFFF"/>
                <w:sz w:val="16"/>
                <w:szCs w:val="16"/>
              </w:rPr>
              <w:t xml:space="preserve">EU AI ACT ART.22 — AUTOMATED DECISION-MAKING</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EU AI Act Art.22 (building on GDPR Art.22): individuals have the right not to be subject to automated decisions with significant effects without human review. For agentic AI systems making decisions affecting individuals (credit, employment, healthcare access, legal outcomes), HITL approval gates are required at decision points. Art.9 risk assessment must document: (1) which agent actions have significant effects, (2) what HITL gates are in place, (3) how individuals can contest automated decisions. Minimal footprint principle (CAISA™ framework): agents should request only minimum permissions and prefer reversible actions. All agent actions must be logged for audit trail.</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12.6  Enterprise Agent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Enterprise Agentic Deployment Requirements:
HUMAN-IN-THE-LOOP (HITL) PATTERNS:
  1. Always-On HITL:    every action requires human approval (regulated decisions)
  2. Approval Gate:     specific action types require approval (transfers &gt; £10K)
  3. Exception-Based:   agent runs autonomously; alerts on anomalies for review
  4. Post-Hoc Review:   agent acts; human reviews audit log at intervals
AUDIT LOGGING (Regulatory Requirement):
  Every agent action logged:
  {run_id, timestamp, agent_id, action_type, tool_name, tool_params,
   tool_result, reasoning_trace, human_approved: bool, cost_tokens}
  Retention: 7 years (MiFID II financial services), 10 years (clinical trials)
COST CONTROLS:
  session_token_budget:   max tokens per agent session (e.g. 100,000)
  max_tool_calls:         per session limit (e.g. 50)
  cost_per_session_alert: alert at £5, hard stop at £20
  model_routing:          simple sub-tasks → cheap model; complex → GPT-4
PERMISSION SCOPING (Minimal Footprint):
  read_only_default:      agents default to read-only permissions
  explicit_write_grant:   write/execute permissions granted per task
  scope_expiry:           permissions expire after task completion
  sandbox_execution:      code executed in isolated container (no network/FS)
RATE LIMITING AND CONCURRENCY:
  max_concurrent_agents:  per user session (e.g. 3)
  tool_rate_limit:        per-tool rate limit (e.g. 10 API calls/minute)
  agent_queue:            queue agents when concurrency limit reached
ROLLBACK AND RECOVERY:
  LangGraph checkpointing: resume from last successful node on failure
  Dry-run mode:           simulate agent actions without execution
  Compensating actions:   for semi-reversible actions (e.g. recall sent email)</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12.7  Enterprise Case Studies — 10 Organisations</w:t>
      </w:r>
    </w:p>
    <w:p>
      <w:pPr>
        <w:spacing w:after="120"/>
      </w:pPr>
      <w:r>
        <w:rPr>
          <w:rFonts w:ascii="Arial" w:cs="Arial" w:eastAsia="Arial" w:hAnsi="Arial"/>
          <w:color w:val="595959"/>
          <w:sz w:val="21"/>
          <w:szCs w:val="21"/>
        </w:rPr>
        <w:t xml:space="preserve">Five European deployments (Germany, United Kingdom, Sweden, Netherlands, Spain) and five North American deployments (United States × 4, Canada) across financial services, technology, legal, healthcare, and e-commerce sectors.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SAP SE</w:t>
            </w:r>
            <w:r>
              <w:rPr>
                <w:rFonts w:ascii="Arial" w:cs="Arial" w:eastAsia="Arial" w:hAnsi="Arial"/>
                <w:color w:val="AED6F1"/>
                <w:sz w:val="19"/>
                <w:szCs w:val="19"/>
              </w:rPr>
              <w:t xml:space="preserve">    |    Enterprise Software — ERP AI Agent for Finance Workflows    |    LangGraph + Function Calling (GDPR, EU AI Act Art.22)</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SAP SE, Walldorf — EUR 34.3B revenue. SAP Business AI: agentic AI embedded in SAP S/4HANA for autonomous finance workflow automation — invoice processing, accounts payable reconciliation, travel expense approval, and month-end close tasks. Regulated by BaFin (banking customers), subject to GDPR, EU AI Act Art.22 (automated decisions on individuals' financial matters), and DSA.</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Finance workflow agents interact with real enterprise systems with financial consequences: (1) EU AI Act Art.22: automated financial decisions (e.g. invoice approval, expense rejection) require HITL for decisions affecting individuals; (2) GDPR Art.5: employee financial data processed by agent must be minimised and purpose-limited; (3) audit trail: all agent actions must be logged for tax authority review (German HGB: 10-year retention). Infinite loops and tool call hallucinations in financial workflows create real monetary risk.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LangGraph stateful graph: Invoice Receive → Extract → Validate → Route (conditional: auto-approve &lt; €500, HITL for &gt; €500) → Post to GL → Notify. HITL node: Slack message to approver → await approval webhook → resume graph. Dry-run mode: agent simulates posting to staging GL before production. Audit log: every node transition logged to SAP Audit Management with {timestamp, agent_id, action, params, user_approved}.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LangGraph graph with 8 nodes, PostgreSQL state persistence, checkpointing at each node. Tools: SAP BAPI calls (read/post GL entries), PDF extraction (invoice OCR), ERP validation APIs. HITL: Slack approval webhook, 24-hour timeout → escalate to manager. Cost control: max 15 tool calls per invoice. Throughput: 85% of invoices processed without human touch (&lt; €500 auto-approve). Error rate: 0.3% requiring manual correction (vs 2.1% pre-agent).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Art.22: automated financial decisions on individuals (expense rejections) require human review option — HITL approval gate implemented. GDPR Art.5: employee expense data processed with purpose limitation. German HGB §257: commercial records (GL entries from agent actions) retained 10 years. German GoBD: digital accounting records require audit trail. DSA Art.17: automated content moderation decisions require contestability.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I — n  ·  D — o  ·  H — I  ·  H — G</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United Kingdom  —  HSBC Holdings plc</w:t>
            </w:r>
            <w:r>
              <w:rPr>
                <w:rFonts w:ascii="Arial" w:cs="Arial" w:eastAsia="Arial" w:hAnsi="Arial"/>
                <w:color w:val="AED6F1"/>
                <w:sz w:val="19"/>
                <w:szCs w:val="19"/>
              </w:rPr>
              <w:t xml:space="preserve">    |    Investment Banking — Multi-Agent Research Platform    |    CrewAI + ReAct (FCA, MiFID II, PRA, EU AI Act)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HSBC Holdings, London — USD 3.0T assets. Global Research: multi-agent platform for investment research automation — equity research, credit analysis, ESG assessment, and regulatory research across 65 markets. FCA regulated. Subject to MiFID II research requirements, FCA COBS, PRA Operational Resilience, and EU AI Act Annex III (AI systems in financial services decision support).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Investment research involves specialised roles (macroeconomist, sector analyst, ESG analyst, compliance reviewer) that must collaborate with distinct expertise. Manual research process: 3-5 days per full equity report. MiFID II Delegated Regulation 2017/565: investment research must disclose conflicts of interest, be objective, and not constitute investment advice without suitability assessment. Agent must not produce content crossing the guidance/advice boundary.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CrewAI crew with 5 specialist agents: (1) Market Research Agent (web search, Bloomberg API, SEC filing retrieval), (2) Financial Analysis Agent (ratio calculator, historical data, peer comparison), (3) ESG Agent (ESG database queries, sustainability scoring), (4) Regulatory Research Agent (FCA handbook, MiFID II text retrieval), (5) Compliance Review Agent (checks output for regulatory boundary violations, conflict disclosure). Process: sequential with compliance review as mandatory final gate.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CrewAI sequential process: Research → Analysis → ESG → Regulatory → Compliance Review. Tools: Bloomberg API (market data), SEC EDGAR API (filings), ESG vendor API, FCA handbook RAG, internal HSBC data warehouse. Compliance review agent: LLM with FCA COBS rules in context, flags regulated advice language. HITL: compliance officer reviews flagged sections before publication. Audit trail: each agent's output logged with sources. Research time: 3-5 days → 6-8 hours.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MiFID II Delegated Regulation 2017/565: investment research objectivity and conflict disclosure — compliance agent enforces. FCA COBS 12.2: research must not constitute investment advice without suitability. PRA Operational Resilience (2021): agent platform must have fallback to manual process. EU AI Act Annex III: financial services decision support AI — Art.13 transparency, Art.9 risk assessment. FCA Consumer Duty 2023: research consumed by retail clients must be clear and fair.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R — e  ·  C — o  ·  C — o  ·  A — d</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Sweden  —  Klarna AB</w:t>
            </w:r>
            <w:r>
              <w:rPr>
                <w:rFonts w:ascii="Arial" w:cs="Arial" w:eastAsia="Arial" w:hAnsi="Arial"/>
                <w:color w:val="AED6F1"/>
                <w:sz w:val="19"/>
                <w:szCs w:val="19"/>
              </w:rPr>
              <w:t xml:space="preserve">    |    FinTech — Customer Service AI Agent at Scale    |    ReAct + OpenAI Assistants (GDPR, PSD2, EU AI Act Art.52)</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Klarna AB, Stockholm — USD 7.7B revenue (2023), 150M customers globally. AI &amp; Engineering: enterprise customer service AI agent handling payments disputes, refund processing, purchase support, and account management. Subject to GDPR, PSD2 (payment services), Finansinspektionen (Swedish FSA), and EU AI Act Art.52 (chatbot disclosure).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Klarna's scale challenge: 2,300 customer service agents (human) handling 2.3M conversations/month pre-AI. AI agent needed to: (1) take real financial actions (refunds, dispute initiation, payment reschedule) — requiring HITL for irreversible actions; (2) handle GDPR subject access requests and deletion; (3) EU AI Act Art.52 chatbot disclosure; (4) comply with PSD2 strong authentication requirements for payment actions.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OpenAI Assistants API with custom tools: refund_initiate (&lt; €75 auto-approve; &gt; €75 HITL), dispute_create (always HITL), payment_reschedule (auto if within policy bounds), account_info (read-only auto). ReAct reasoning for complex multi-step disputes. HITL: high-value refunds escalated to human agents via Zendesk integration. EU AI Act Art.52 disclosure at session start. GDPR: PII minimisation in conversation logs.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OpenAI Assistants API with thread management, function calling. Tools: Klarna payment API (read/write), Zendesk ticket API, identity verification API. HITL trigger: transaction &gt; €75 OR dispute claim → Zendesk ticket + agent notification. Auto-approve: refunds &lt; €75 within 1 minute. Throughput: AI agent handles 2.3M conversations/month — equivalent to 700 FTE human agents. CSAT: 82% (parity with human agents at lower cost). Resolved 65% of inquiries without human involvement.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GDPR Art.5: PII in conversation logs minimised — customer ID not stored in conversation text. GDPR Art.17: right to erasure — agent can initiate deletion request workflow. PSD2 Art.97: strong customer authentication for payment actions &gt; €30 — agent triggers SCA before financial actions. EU AI Act Art.52: chatbot disclosure at session start. Finansinspektionen: AI agent payment actions logged for supervisory review.</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M — o  ·  W — i  ·  S — C  ·  C — h</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Netherlands  —  ING Group N.V.</w:t>
            </w:r>
            <w:r>
              <w:rPr>
                <w:rFonts w:ascii="Arial" w:cs="Arial" w:eastAsia="Arial" w:hAnsi="Arial"/>
                <w:color w:val="AED6F1"/>
                <w:sz w:val="19"/>
                <w:szCs w:val="19"/>
              </w:rPr>
              <w:t xml:space="preserve">    |    Retail Banking — Autonomous Code Generation Agent    |    AutoGen + Code Execution (DORA, EU AI Act, GDPR)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ING Group NV, Amsterdam — EUR 1.0T assets. Technology &amp; Innovation: AutoGen-based code generation and data analysis agent for internal data science and engineering teams — automated exploratory data analysis (EDA), model debugging, report generation, and infrastructure-as-code (IaC) generation. Subject to DORA, EU AI Act Annex III, GDPR, and EBA ICT guidelines.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Internal engineering agents that execute code pose unique risks: (1) DORA (Digital Operational Resilience Act): automated code generation and execution must have operational resilience controls — code execution failure cannot cascade to production systems; (2) generated code could contain security vulnerabilities if not reviewed; (3) agents accessing internal databases must be scoped to minimum necessary permissions; (4) generated IaC could inadvertently modify production infrastructure.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AutoGen two-agent pattern: AssistantAgent (GPT-4 code writer) + UserProxyAgent (code executor). Code execution sandbox: Docker container with no network access, no file system access outside /tmp, 60-second timeout, memory limit 2GB. Human review gate: before any code is promoted from sandbox to production. Security scan: Bandit (Python) + SAST tool scans generated code before execution. IaC: Terraform plan output reviewed by human engineer before apply.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AutoGen: AssistantAgent (GPT-4-turbo) + UserProxyAgent (human_input_mode=NEVER for sandbox, ALWAYS for production promotion). Sandbox: Docker (python:3.11-slim, no --net, tmpfs /tmp). Security: Bandit static analysis on all generated code → block if HIGH severity finding. Max iterations: 10 per task. DORA resilience: agent platform on separate infrastructure from core banking. Audit log: all generated code versions retained 7 years. Human review: mandatory before any production deployment.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DORA Art.6: ICT risk management — code generation agent classified as ICT risk; sandboxed execution mitigates risk of production impact. DORA Art.11: business continuity — fallback to manual coding if agent platform fails. EU AI Act Annex III: AI systems used in critical infrastructure (banking ICT) — Art.9 risk assessment. GDPR Art.25: data minimisation — agent sandbox has no access to production customer data. EBA ICT Guidelines 2019: change management controls for agent-generated code changes.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D — o  ·  B — e  ·  I — C  ·  S — 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Spain  —  Banco Santander S.A.</w:t>
            </w:r>
            <w:r>
              <w:rPr>
                <w:rFonts w:ascii="Arial" w:cs="Arial" w:eastAsia="Arial" w:hAnsi="Arial"/>
                <w:color w:val="AED6F1"/>
                <w:sz w:val="19"/>
                <w:szCs w:val="19"/>
              </w:rPr>
              <w:t xml:space="preserve">    |    Retail Banking — Plan-and-Execute Due Diligence Agent    |    Plan-and-Execute + LangGraph (DORA, EBA, EU AI Act, GDPR)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Banco Santander SA, Madrid — EUR 1.9T assets. Corporate &amp; Investment Banking: Plan-and-Execute agent for corporate due diligence — M&amp;A target analysis, credit underwriting due diligence, ESG risk assessment, and regulatory compliance screening across 10+ jurisdictions. Regulated by Banco de España and ECB SSM. Subject to DORA, EBA GL/2020/06, EU AI Act Annex III, GDPR.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Corporate due diligence requires structured multi-stage research across: financial statements, legal filings, news/reputation, ESG, regulatory compliance, sanctions screening — each requiring different data sources and specialist analysis. Manual process: 10-15 analyst days per target company. Risk: agent accessing confidential CIB data must have strict permission scoping; due diligence conclusions must be human-reviewed before credit decision.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Plan-and-Execute architecture: Planner LLM (GPT-4) decomposes due diligence goal into 8-12 subtasks (financial analysis, news search, ESG assessment, sanctions check, regulatory history, peer comparison, risk summary). Executor LangGraph: each subtask as a graph node with specialist tools. Human review: subtask outputs aggregated into draft report → compliance officer + credit analyst review → approve or request additional research.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Planner: GPT-4, generates structured task list as JSON [{task_id, description, tools, dependencies}]. Executor: LangGraph graph with dynamic node creation per task. Tools: Refinitiv Eikon API (financial data), LexisNexis news, World-Check (sanctions), ESG vendor API, SEC/CNMV filing retrieval, internal Santander credit database (read-only). HITL: credit analyst reviews draft report before any credit decision. Cost control: max 80 tool calls per due diligence run. Time: 10-15 days → 4-6 hours.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DORA Art.6: ICT risk management — due diligence agent classified as critical ICT function; fallback to manual process documented. EBA GL/2020/06: credit assessment must be explainable — agent produces reasoning trace per conclusion. EU AI Act Annex III: credit assessment AI high-risk — Art.9 risk assessment, Art.13 transparency. GDPR Art.5: personal data of individuals in due diligence minimised and purpose-limited. World-Check: sanctions screening complies with EU Regulation 2580/2001.</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D — u  ·  P — l  ·  R — e  ·  M — 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Microsoft Corporation</w:t>
            </w:r>
            <w:r>
              <w:rPr>
                <w:rFonts w:ascii="Arial" w:cs="Arial" w:eastAsia="Arial" w:hAnsi="Arial"/>
                <w:color w:val="AED6F1"/>
                <w:sz w:val="19"/>
                <w:szCs w:val="19"/>
              </w:rPr>
              <w:t xml:space="preserve">    |    Enterprise — Azure AI Agent Service + Copilot Studio    |    AutoGen + LangGraph (EO 14110, EU AI Act GPAI, FedRAMP)</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Microsoft Corporation, Redmond WA — USD 245B revenue. Microsoft AI Platform: Azure AI Agent Service (managed agent infrastructure), Copilot Studio (enterprise agent builder), and Microsoft 365 Copilot agents (Word, Excel, Teams, Outlook agents). Subject to EO 14110, EU AI Act GPAI Title II, FedRAMP High, GDPR, SOC 2 Type II.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Enterprise agent platform challenges at scale: (1) agent execution infrastructure must meet FedRAMP High for US government customers; (2) agent actions (email send, file creation, calendar scheduling) have real-world consequences requiring HITL; (3) multi-tenant isolation — enterprise agents cannot access data from other tenants; (4) agent auditability — enterprise IT admins need full audit trail of all agent actions for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Azure AI Agent Service: managed infrastructure for agent execution — auto-scaling, persistence, observability. Copilot Studio: low-code agent builder with pre-built HITL approval flows, audit logging, and DLP (Data Loss Prevention) integration. Microsoft 365 agents: Outlook agent (email drafting + send approval), Excel agent (data analysis + formula generation), Teams agent (meeting summarisation + action item extraction). Per-tenant data isolation via Azure Private Link.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Azure AI Agent Service: managed LangGraph execution runtime. Tool registry: 200+ pre-built Microsoft connectors (SharePoint, Dynamics 365, Azure DevOps). HITL: Teams Adaptive Card approval flow — agent pauses, sends card to approver, awaits response. Audit log: Azure Monitor — every agent action with actor, timestamp, action, outcome. DLP: agent cannot export sensitive data outside tenant. Cost: per-token billing with session budget controls. FedRAMP High: Azure Government cloud authorisation.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EO 14110: Microsoft voluntary AI safety commitments — agent actions logged and auditable. EU AI Act GPAI Title II: Azure OpenAI GPAI documentation includes agent capabilities. FedRAMP High: government cloud authorisation for agent platform. GDPR Art.28: data processing agreement for enterprise agent data. SOC 2 Type II: agent platform audit controls certified. EU NIS2: cybersecurity requirements — agent platform as critical service.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P — r  ·  U — S  ·  A — d  ·  A — z</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Palantir Technologies</w:t>
            </w:r>
            <w:r>
              <w:rPr>
                <w:rFonts w:ascii="Arial" w:cs="Arial" w:eastAsia="Arial" w:hAnsi="Arial"/>
                <w:color w:val="AED6F1"/>
                <w:sz w:val="19"/>
                <w:szCs w:val="19"/>
              </w:rPr>
              <w:t xml:space="preserve">    |    Government &amp; Defence — Agentic AI for Intelligence Analysis    |    Plan-and-Execute + HITL (FedRAMP High, CMMC, EO 14110)</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Palantir Technologies, Denver CO — USD 2.23B revenue. Palantir AIP (Artificial Intelligence Platform): agentic AI for intelligence analysis, military logistics, and government data operations. Customers: US Army, NHS (UK), NHS England AI deployment. Deployed on FedRAMP High and DoD IL4/IL5 infrastructure. Subject to EO 14110, CMMC (Cybersecurity Maturity Model Certification), ITAR, FISMA.</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Government agentic AI involves uniquely high-stakes actions: intelligence analysis that may inform operational decisions; logistics optimisation with real-world supply chain consequences; and systems that access classified data. Key constraints: (1) FedRAMP High / CMMC Level 3: all infrastructure and agent actions must meet DoD security standards; (2) ITAR: no export of controlled information to non-US agents or personnel; (3) all agent actions must be human-reviewed before operational use — lives may depend on agent output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Palantir AIP ontology-based approach: agents operate on a structured ontology (object types, links, actions) rather than raw API calls — reduces hallucination risk by constraining action space. Action types pre-defined with explicit permission scoping. HITL: mandatory for all action types above READ — analysts review and approve write/execute actions. Audit trail: immutable log of all agent queries, reasoning traces, and analyst approvals. Air-gapped deployment: Palantir AIP deployed on classified networks disconnected from internet.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AIP architecture: ontology layer (structured data model) + AIP Logic (agent workflow engine) + AIP Foundry (data integration). Tool calls: ontology actions (strongly typed, validated against data model). HITL: every non-READ action requires analyst approval in AIP UI. Reasoning trace: full Chain-of-Thought recorded and stored. Air-gap: classified deployments with no external API calls. CMMC Level 3: 130 security controls implemented. FedRAMP High: 421 security controls. ITAR: data residency and personnel access controls.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EO 14110: Palantir signed voluntary commitment — AI safety for government deployments. FedRAMP High: 421 NIST SP 800-53 controls for federal cloud. CMMC Level 3 (DoD contractors): 130 cybersecurity practices. ITAR (22 CFR 120-130): export control on defence-related AI capabilities. FISMA: Federal Information Security Modernization Act — continuous monitoring. UK: NHS AI Governance Framework — AIP NHS deployment governed by NHS AI regulations.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1 — 3  ·  4 — 2  ·  A — l  ·  C — 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Waymo LLC</w:t>
            </w:r>
            <w:r>
              <w:rPr>
                <w:rFonts w:ascii="Arial" w:cs="Arial" w:eastAsia="Arial" w:hAnsi="Arial"/>
                <w:color w:val="AED6F1"/>
                <w:sz w:val="19"/>
                <w:szCs w:val="19"/>
              </w:rPr>
              <w:t xml:space="preserve">    |    Autonomous Vehicles — Agentic AI for Self-Driving Operations    |    Multi-Agent Sensor Fusion (NHTSA, FMVSS, EU AI Act Annex III)</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Waymo LLC, Mountain View CA (Alphabet subsidiary) — world's leading autonomous vehicle operator. Waymo One: robotaxi service in San Francisco, Phoenix, Los Angeles. Waymo Driver: fully autonomous driving system (L4 SAE). Subject to NHTSA AV Safety Framework, California DMV AV regulations, EU AI Act Annex III (AI in transportation — critical infrastructure), and NIST AI RMF.</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Autonomous driving is the most safety-critical agentic AI deployment: (1) agents must make real-time decisions with millisecond latency — no HITL possible during operation; (2) multi-agent system: perception agents (cameras, LiDAR, radar), prediction agents (other vehicle behaviour), planning agent (route and manoeuvre), control agent (steering/acceleration/braking) — must coordinate with hard real-time constraints; (3) regulatory: NHTSA requires voluntary safety reports; California DMV: monthly disengagement reports.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Waymo Driver multi-agent architecture: (1) Perception Agent: sensor fusion (29 cameras, 5 LiDAR, 6 radar) → 3D scene model. (2) Prediction Agent: ML model predicts trajectories of all detected objects for next 8 seconds. (3) Planning Agent: generates multiple candidate trajectories → selects optimal (safety + comfort + progress). (4) Control Agent: converts trajectory plan to real-time actuator commands at 100Hz. Remote monitoring: Waymo Operations Center monitors fleet — can intervene remotely if required.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Perception: Waymo sensor suite (custom LiDAR Honeycomb) → deep learning scene understanding. Prediction: Transformer-based trajectory forecasting for 100+ detected objects. Planning: Monte Carlo tree search + neural network scoring across candidate trajectories. Control: model predictive control at 100Hz. Safety architecture: redundant hardware (dual compute, dual power), watchdog timer, safe-stop manoeuvre. Fleet management: real-time telemetry → Waymo Ops Center. Disengagement: automatic handoff to remote operator in pre-defined scenarios.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NHTSA AV Safety Framework (2023): voluntary safety self-assessment — Waymo publishes annual safety report. NHTSA FMVSS exemption: petitioned for AV-specific exemptions (no steering wheel). California DMV AV Permit: commercial robotaxi permit with monthly disengagement reports. EU AI Act Annex III s.1(e): AI systems used as safety components in road transport — high-risk; Art.9 risk management, Art.15 accuracy/robustness. NIST AI RMF: GOVERN-MAP-MEASURE-MANAGE applied to AV AI.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W — a  ·  R — e  ·  F — u  ·  N — H</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United States  —  Salesforce Inc.</w:t>
            </w:r>
            <w:r>
              <w:rPr>
                <w:rFonts w:ascii="Arial" w:cs="Arial" w:eastAsia="Arial" w:hAnsi="Arial"/>
                <w:color w:val="AED6F1"/>
                <w:sz w:val="19"/>
                <w:szCs w:val="19"/>
              </w:rPr>
              <w:t xml:space="preserve">    |    CRM — Agentforce Multi-Agent Customer Operations    |    Agentforce + ReAct (GDPR, CCPA, FCA Consumer Duty)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Salesforce Inc., San Francisco — USD 34.9B revenue. Salesforce Agentforce (2024): enterprise multi-agent platform for autonomous customer operations — sales development, customer service, marketing personalisation, and field service scheduling. Subject to GDPR (EU customer data), CCPA (California), UK FCA Consumer Duty 2023 (financial services customers), and EU AI Act Art.52 (chatbot disclosure).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Enterprise CRM agents take real business actions: (1) send emails to customers (GDPR consent required), (2) create sales opportunities (data quality risk), (3) schedule service appointments (resource allocation consequences), (4) escalate cases to human agents (SLA implications). EU AI Act Art.52: customers must be informed when interacting with AI. GDPR Art.6: lawful basis required for automated processing of customer data in agent workflows.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Agentforce architecture: Atlas Reasoning Engine (ReAct-based) + Agent Actions (CRM tool calls) + Data Cloud (unified customer data) + Einstein Trust Layer (safety guardrails). Agent types: SDR (Sales Development Rep) Agent — outreach, qualify leads, schedule meetings; Service Agent — resolve cases, process refunds, create tickets; Marketing Agent — personalise campaigns, A/B test messages; Field Service Agent — schedule technician appointments. HITL: high-value actions (enterprise deals &gt; $50K) require sales manager approval.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Agentforce: Atlas Reasoning Engine (GPT-4 based) with Salesforce tool registry (200+ CRM actions). Einstein Trust Layer: PII masking before LLM calls, toxicity filtering, audit logging, data residency (EU data stays in EU region). Data Cloud: 360° customer profile as agent context. HITL: opportunity &gt; $50K → sales VP approval via Slack. EU AI Act Art.52: 'Powered by Salesforce AI' disclosure at session start. GDPR: customer data minimisation via Trust Layer PII masking.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GDPR Art.6: lawful basis for automated customer data processing — consent or legitimate interest documented per use case. GDPR Art.13: customers informed of AI processing at interaction start (Art.52). CCPA §1798.100: California customers' right to know AI is processing their data. UK FCA Consumer Duty 2023: AI customer interactions must deliver good outcomes — CSAT monitoring. EU AI Act Art.52: chatbot disclosure. Einstein Trust Layer: GDPR data residency and PII controls.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A — g  ·  P — I  ·  A — I  ·  D — 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Canada  —  Royal Bank of Canada (RBC)</w:t>
            </w:r>
            <w:r>
              <w:rPr>
                <w:rFonts w:ascii="Arial" w:cs="Arial" w:eastAsia="Arial" w:hAnsi="Arial"/>
                <w:color w:val="AED6F1"/>
                <w:sz w:val="19"/>
                <w:szCs w:val="19"/>
              </w:rPr>
              <w:t xml:space="preserve">    |    Wealth Management — LangGraph Advisor Research Agent    |    LangGraph + Plan-and-Execute (OSFI E-23, IIROC, AIDA)</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Royal Bank of Canada, Toronto — CAD 2.0T assets. RBC Wealth Management: LangGraph-based autonomous research agent for investment advisors — 'Aiden Research Mode' extending the Aiden advisor AI (Chapter 11 CS10) with autonomous multi-step research capabilities. Subject to OSFI E-23, IIROC NI 31-103, AIDA (proposed Bill C-27), Quebec AMF bilingual requirements.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Research agent extension of Aiden (Chapter 11): advisors request deep research on client portfolio positions or prospect companies. Agent must: (1) autonomously gather data from multiple sources (Bloomberg, SEC, SEDAR, news); (2) synthesise insights respecting IIROC suitability language guardrails; (3) maintain OSFI E-23 model risk requirements for an agent classified as Tier 1 model; (4) produce bilingual (English/French) outputs for Quebec clients. AIDA (Bill C-27): proposed bias impact assessment for high-impact autonomous AI.</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LangGraph Plan-and-Execute: Planner (GPT-4) decomposes advisor research request into subtasks (earnings analysis, peer comparison, news sentiment, regulatory filings, ESG scoring). Executor graph: each subtask as LangGraph node with specialist tools. Suitability guardrail: output reviewed by BERT classifier — blocks investment recommendation language → returns research only. HITL: advisor reviews research package before any client-facing use. Bilingual: French translation node in graph for Quebec clients.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w:t>
            </w:r>
          </w:p>
          <w:p>
            <w:pPr>
              <w:spacing w:after="0"/>
            </w:pPr>
            <w:r>
              <w:rPr>
                <w:rFonts w:ascii="Arial" w:cs="Arial" w:eastAsia="Arial" w:hAnsi="Arial"/>
                <w:color w:val="595959"/>
                <w:sz w:val="19"/>
                <w:szCs w:val="19"/>
              </w:rPr>
              <w:t xml:space="preserve">LangGraph: PostgreSQL state persistence, checkpointing per subtask (resume on failure). Tools: Bloomberg API, SEC EDGAR, SEDAR+, news aggregator, ESG vendor, internal RBC data (read-only). Suitability BERT guardrail: research output classified before delivery to advisor — blocks suitability determination language. OSFI E-23 Tier 1: agent model risk — AUC quality metrics, PSI output monitoring, SHAP retrieval explanation. Bilingual node: DeepL API for French translation with financial terminology validation. HITL: advisor approves all research before client use.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OSFI E-23 (Jan 2024): Aiden Research Mode registered as Tier 1 AI model — comprehensive model risk validation. IIROC NI 31-103: suitability obligation — research agent outputs research, not recommendations. AIDA (Bill C-27, proposed): bias impact assessment — DI ratio tested across advisor and client demographic groups. Quebec AMF: French-language requirement — bilingual output node. PIPEDA: personal client investment data accessed by agent with purpose limitation. Canadian AML: agent access to client financial data logged per FINTRAC requirements.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P — e  ·  E — n  ·  A — g  ·  A — l</w:t>
            </w:r>
          </w:p>
        </w:tc>
      </w:tr>
    </w:tbl>
    <w:p>
      <w:pPr>
        <w:spacing w:after="80"/>
      </w:pPr>
      <w:r>
        <w:t xml:space="preserve"/>
      </w:r>
    </w:p>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12.8  Chapter Summary — Key Takeaways</w:t>
      </w:r>
    </w:p>
    <w:p>
      <w:pPr>
        <w:spacing w:after="80"/>
      </w:pPr>
      <w:r>
        <w:rPr>
          <w:rFonts w:ascii="Arial" w:cs="Arial" w:eastAsia="Arial" w:hAnsi="Arial"/>
          <w:b/>
          <w:bCs/>
          <w:color w:val="1F3864"/>
          <w:sz w:val="21"/>
          <w:szCs w:val="21"/>
        </w:rPr>
        <w:t xml:space="preserve">Agent Loop: </w:t>
      </w:r>
      <w:r>
        <w:rPr>
          <w:rFonts w:ascii="Arial" w:cs="Arial" w:eastAsia="Arial" w:hAnsi="Arial"/>
          <w:color w:val="595959"/>
          <w:sz w:val="21"/>
          <w:szCs w:val="21"/>
        </w:rPr>
        <w:t xml:space="preserve">Observe → Think (ReAct) → Act (tool call) → Observe → repeat until terminate. ReAct: interleaved Thought/Action/Observation. Plan-and-Execute: decompose goal into subtasks, then execute. MRKL: route to specialised modules. Self-reflection: generate → critique → refine. Tree-of-Thought: multiple parallel reasoning paths.</w:t>
      </w:r>
    </w:p>
    <w:p>
      <w:pPr>
        <w:spacing w:after="80"/>
      </w:pPr>
      <w:r>
        <w:t xml:space="preserve"/>
      </w:r>
    </w:p>
    <w:p>
      <w:pPr>
        <w:spacing w:after="80"/>
      </w:pPr>
      <w:r>
        <w:rPr>
          <w:rFonts w:ascii="Arial" w:cs="Arial" w:eastAsia="Arial" w:hAnsi="Arial"/>
          <w:b/>
          <w:bCs/>
          <w:color w:val="1F3864"/>
          <w:sz w:val="21"/>
          <w:szCs w:val="21"/>
        </w:rPr>
        <w:t xml:space="preserve">Tool Use &amp; Function Calling: </w:t>
      </w:r>
      <w:r>
        <w:rPr>
          <w:rFonts w:ascii="Arial" w:cs="Arial" w:eastAsia="Arial" w:hAnsi="Arial"/>
          <w:color w:val="595959"/>
          <w:sz w:val="21"/>
          <w:szCs w:val="21"/>
        </w:rPr>
        <w:t xml:space="preserve">JSON Schema tool definition: name, description, parameters (type, required). Model generates structured tool call → application validates schema → executes → returns result. Parallel tool calls reduce round-trips. Validation before execution prevents injection attacks via tool parameters.</w:t>
      </w:r>
    </w:p>
    <w:p>
      <w:pPr>
        <w:spacing w:after="80"/>
      </w:pPr>
      <w:r>
        <w:t xml:space="preserve"/>
      </w:r>
    </w:p>
    <w:p>
      <w:pPr>
        <w:spacing w:after="80"/>
      </w:pPr>
      <w:r>
        <w:rPr>
          <w:rFonts w:ascii="Arial" w:cs="Arial" w:eastAsia="Arial" w:hAnsi="Arial"/>
          <w:b/>
          <w:bCs/>
          <w:color w:val="1F3864"/>
          <w:sz w:val="21"/>
          <w:szCs w:val="21"/>
        </w:rPr>
        <w:t xml:space="preserve">Multi-Agent Frameworks: </w:t>
      </w:r>
      <w:r>
        <w:rPr>
          <w:rFonts w:ascii="Arial" w:cs="Arial" w:eastAsia="Arial" w:hAnsi="Arial"/>
          <w:color w:val="595959"/>
          <w:sz w:val="21"/>
          <w:szCs w:val="21"/>
        </w:rPr>
        <w:t xml:space="preserve">AutoGen: conversation-based, code execution sandbox. LangGraph: stateful graph with DB persistence and checkpointing — best for complex enterprise workflows. CrewAI: role-based crews with sequential/hierarchical process. OpenAI Assistants: managed threads. Framework selection: complexity vs auditability requirements.</w:t>
      </w:r>
    </w:p>
    <w:p>
      <w:pPr>
        <w:spacing w:after="80"/>
      </w:pPr>
      <w:r>
        <w:t xml:space="preserve"/>
      </w:r>
    </w:p>
    <w:p>
      <w:pPr>
        <w:spacing w:after="80"/>
      </w:pPr>
      <w:r>
        <w:rPr>
          <w:rFonts w:ascii="Arial" w:cs="Arial" w:eastAsia="Arial" w:hAnsi="Arial"/>
          <w:b/>
          <w:bCs/>
          <w:color w:val="1F3864"/>
          <w:sz w:val="21"/>
          <w:szCs w:val="21"/>
        </w:rPr>
        <w:t xml:space="preserve">Agent Memory: </w:t>
      </w:r>
      <w:r>
        <w:rPr>
          <w:rFonts w:ascii="Arial" w:cs="Arial" w:eastAsia="Arial" w:hAnsi="Arial"/>
          <w:color w:val="595959"/>
          <w:sz w:val="21"/>
          <w:szCs w:val="21"/>
        </w:rPr>
        <w:t xml:space="preserve">In-context (conversation history), semantic (vector DB), episodic (run logs), procedural (tool schemas), entity (structured facts). Memory retrieval at runtime: embed task → retrieve similar experiences + entity facts + tool schemas → inject into context.</w:t>
      </w:r>
    </w:p>
    <w:p>
      <w:pPr>
        <w:spacing w:after="80"/>
      </w:pPr>
      <w:r>
        <w:t xml:space="preserve"/>
      </w:r>
    </w:p>
    <w:p>
      <w:pPr>
        <w:spacing w:after="80"/>
      </w:pPr>
      <w:r>
        <w:rPr>
          <w:rFonts w:ascii="Arial" w:cs="Arial" w:eastAsia="Arial" w:hAnsi="Arial"/>
          <w:b/>
          <w:bCs/>
          <w:color w:val="1F3864"/>
          <w:sz w:val="21"/>
          <w:szCs w:val="21"/>
        </w:rPr>
        <w:t xml:space="preserve">Failure Modes: </w:t>
      </w:r>
      <w:r>
        <w:rPr>
          <w:rFonts w:ascii="Arial" w:cs="Arial" w:eastAsia="Arial" w:hAnsi="Arial"/>
          <w:color w:val="595959"/>
          <w:sz w:val="21"/>
          <w:szCs w:val="21"/>
        </w:rPr>
        <w:t xml:space="preserve">Infinite loops → max_iterations + loop detection. Tool hallucination → JSON Schema validation + tool whitelist. Context overflow → summarisation + sliding window. Cost runaway → session token budget. Irreversible actions → HITL approval gate. Prompt injection via tools → output sanitisation + instruction hierarchy.</w:t>
      </w:r>
    </w:p>
    <w:p>
      <w:pPr>
        <w:spacing w:after="80"/>
      </w:pPr>
      <w:r>
        <w:t xml:space="preserve"/>
      </w:r>
    </w:p>
    <w:p>
      <w:pPr>
        <w:spacing w:after="80"/>
      </w:pPr>
      <w:r>
        <w:rPr>
          <w:rFonts w:ascii="Arial" w:cs="Arial" w:eastAsia="Arial" w:hAnsi="Arial"/>
          <w:b/>
          <w:bCs/>
          <w:color w:val="1F3864"/>
          <w:sz w:val="21"/>
          <w:szCs w:val="21"/>
        </w:rPr>
        <w:t xml:space="preserve">HITL Patterns: </w:t>
      </w:r>
      <w:r>
        <w:rPr>
          <w:rFonts w:ascii="Arial" w:cs="Arial" w:eastAsia="Arial" w:hAnsi="Arial"/>
          <w:color w:val="595959"/>
          <w:sz w:val="21"/>
          <w:szCs w:val="21"/>
        </w:rPr>
        <w:t xml:space="preserve">Always-on (regulated decisions), approval gate (actions &gt; threshold), exception-based (anomaly alerts), post-hoc review (audit log). LangGraph HITL: human_review node in graph, state persists while awaiting approval. Klarna (CS3): auto-approve refunds &lt; €75; HITL for &gt; €75 or disputes.</w:t>
      </w:r>
    </w:p>
    <w:p>
      <w:pPr>
        <w:spacing w:after="80"/>
      </w:pPr>
      <w:r>
        <w:t xml:space="preserve"/>
      </w:r>
    </w:p>
    <w:p>
      <w:pPr>
        <w:spacing w:after="80"/>
      </w:pPr>
      <w:r>
        <w:rPr>
          <w:rFonts w:ascii="Arial" w:cs="Arial" w:eastAsia="Arial" w:hAnsi="Arial"/>
          <w:b/>
          <w:bCs/>
          <w:color w:val="1F3864"/>
          <w:sz w:val="21"/>
          <w:szCs w:val="21"/>
        </w:rPr>
        <w:t xml:space="preserve">Enterprise Controls: </w:t>
      </w:r>
      <w:r>
        <w:rPr>
          <w:rFonts w:ascii="Arial" w:cs="Arial" w:eastAsia="Arial" w:hAnsi="Arial"/>
          <w:color w:val="595959"/>
          <w:sz w:val="21"/>
          <w:szCs w:val="21"/>
        </w:rPr>
        <w:t xml:space="preserve">Audit logging: {run_id, timestamp, agent_id, action, params, result, user_approved}. Retention: MiFID II 7 years. Cost controls: session_token_budget, max_tool_calls, cost alert + hard stop. Permission scoping: read-only default, explicit write grant, scope expiry. Sandbox: Docker no-network for code execution (ING CS4).</w:t>
      </w:r>
    </w:p>
    <w:p>
      <w:pPr>
        <w:spacing w:after="80"/>
      </w:pPr>
      <w:r>
        <w:t xml:space="preserve"/>
      </w:r>
    </w:p>
    <w:p>
      <w:pPr>
        <w:spacing w:after="80"/>
      </w:pPr>
      <w:r>
        <w:rPr>
          <w:rFonts w:ascii="Arial" w:cs="Arial" w:eastAsia="Arial" w:hAnsi="Arial"/>
          <w:b/>
          <w:bCs/>
          <w:color w:val="1F3864"/>
          <w:sz w:val="21"/>
          <w:szCs w:val="21"/>
        </w:rPr>
        <w:t xml:space="preserve">Regulatory: </w:t>
      </w:r>
      <w:r>
        <w:rPr>
          <w:rFonts w:ascii="Arial" w:cs="Arial" w:eastAsia="Arial" w:hAnsi="Arial"/>
          <w:color w:val="595959"/>
          <w:sz w:val="21"/>
          <w:szCs w:val="21"/>
        </w:rPr>
        <w:t xml:space="preserve">EU AI Act Art.22: automated decisions with significant effects on individuals require human review. Art.9: risk assessment must document HITL gates and contestability. DORA: agent platforms as ICT risk — operational resilience. OSFI E-23: agents as Tier 1 model risk (RBC CS10). FedRAMP High: government agent deployments (Palantir CS7, Microsoft CS6).</w:t>
      </w:r>
    </w:p>
    <w:p>
      <w:pPr>
        <w:spacing w:after="80"/>
      </w:pPr>
      <w:r>
        <w:t xml:space="preserve"/>
      </w:r>
    </w:p>
    <w:p>
      <w:pPr>
        <w:pStyle w:val="Heading1"/>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Yao, S. et al. (2022). ReAct: Synergizing Reasoning and Acting in Language Models. ICLR 2023.</w:t>
      </w:r>
    </w:p>
    <w:p>
      <w:pPr>
        <w:pStyle w:val="ListParagraph"/>
        <w:numPr>
          <w:ilvl w:val="0"/>
          <w:numId w:val="3"/>
        </w:numPr>
        <w:spacing w:after="80"/>
      </w:pPr>
      <w:r>
        <w:rPr>
          <w:rFonts w:ascii="Arial" w:cs="Arial" w:eastAsia="Arial" w:hAnsi="Arial"/>
          <w:color w:val="595959"/>
          <w:sz w:val="21"/>
          <w:szCs w:val="21"/>
        </w:rPr>
        <w:t xml:space="preserve">Wang, L. et al. (2023). Plan-and-Solve Prompting: Improving Zero-Shot Chain-of-Thought Reasoning. ACL 2023.</w:t>
      </w:r>
    </w:p>
    <w:p>
      <w:pPr>
        <w:pStyle w:val="ListParagraph"/>
        <w:numPr>
          <w:ilvl w:val="0"/>
          <w:numId w:val="3"/>
        </w:numPr>
        <w:spacing w:after="80"/>
      </w:pPr>
      <w:r>
        <w:rPr>
          <w:rFonts w:ascii="Arial" w:cs="Arial" w:eastAsia="Arial" w:hAnsi="Arial"/>
          <w:color w:val="595959"/>
          <w:sz w:val="21"/>
          <w:szCs w:val="21"/>
        </w:rPr>
        <w:t xml:space="preserve">Shinn, N. et al. (2023). Reflexion: Language Agents with Verbal Reinforcement Learning. NeurIPS 2023.</w:t>
      </w:r>
    </w:p>
    <w:p>
      <w:pPr>
        <w:pStyle w:val="ListParagraph"/>
        <w:numPr>
          <w:ilvl w:val="0"/>
          <w:numId w:val="3"/>
        </w:numPr>
        <w:spacing w:after="80"/>
      </w:pPr>
      <w:r>
        <w:rPr>
          <w:rFonts w:ascii="Arial" w:cs="Arial" w:eastAsia="Arial" w:hAnsi="Arial"/>
          <w:color w:val="595959"/>
          <w:sz w:val="21"/>
          <w:szCs w:val="21"/>
        </w:rPr>
        <w:t xml:space="preserve">Wu, Q. et al. (2023). AutoGen: Enabling Next-Gen LLM Applications via Multi-Agent Conversation. ICLR 2024.</w:t>
      </w:r>
    </w:p>
    <w:p>
      <w:pPr>
        <w:pStyle w:val="ListParagraph"/>
        <w:numPr>
          <w:ilvl w:val="0"/>
          <w:numId w:val="3"/>
        </w:numPr>
        <w:spacing w:after="80"/>
      </w:pPr>
      <w:r>
        <w:rPr>
          <w:rFonts w:ascii="Arial" w:cs="Arial" w:eastAsia="Arial" w:hAnsi="Arial"/>
          <w:color w:val="595959"/>
          <w:sz w:val="21"/>
          <w:szCs w:val="21"/>
        </w:rPr>
        <w:t xml:space="preserve">Mokhtar, A. et al. (2024). LangGraph: Building Stateful, Multi-Actor Applications with LLMs. LangChain blog.</w:t>
      </w:r>
    </w:p>
    <w:p>
      <w:pPr>
        <w:pStyle w:val="ListParagraph"/>
        <w:numPr>
          <w:ilvl w:val="0"/>
          <w:numId w:val="3"/>
        </w:numPr>
        <w:spacing w:after="80"/>
      </w:pPr>
      <w:r>
        <w:rPr>
          <w:rFonts w:ascii="Arial" w:cs="Arial" w:eastAsia="Arial" w:hAnsi="Arial"/>
          <w:color w:val="595959"/>
          <w:sz w:val="21"/>
          <w:szCs w:val="21"/>
        </w:rPr>
        <w:t xml:space="preserve">CrewAI (2024). CrewAI: Framework for orchestrating role-playing AI agents. GitHub joaomdmoura/crewai.</w:t>
      </w:r>
    </w:p>
    <w:p>
      <w:pPr>
        <w:pStyle w:val="ListParagraph"/>
        <w:numPr>
          <w:ilvl w:val="0"/>
          <w:numId w:val="3"/>
        </w:numPr>
        <w:spacing w:after="80"/>
      </w:pPr>
      <w:r>
        <w:rPr>
          <w:rFonts w:ascii="Arial" w:cs="Arial" w:eastAsia="Arial" w:hAnsi="Arial"/>
          <w:color w:val="595959"/>
          <w:sz w:val="21"/>
          <w:szCs w:val="21"/>
        </w:rPr>
        <w:t xml:space="preserve">OpenAI (2023). Assistants API documentation. platform.openai.com.</w:t>
      </w:r>
    </w:p>
    <w:p>
      <w:pPr>
        <w:pStyle w:val="ListParagraph"/>
        <w:numPr>
          <w:ilvl w:val="0"/>
          <w:numId w:val="3"/>
        </w:numPr>
        <w:spacing w:after="80"/>
      </w:pPr>
      <w:r>
        <w:rPr>
          <w:rFonts w:ascii="Arial" w:cs="Arial" w:eastAsia="Arial" w:hAnsi="Arial"/>
          <w:color w:val="595959"/>
          <w:sz w:val="21"/>
          <w:szCs w:val="21"/>
        </w:rPr>
        <w:t xml:space="preserve">EU Parliament (2024). AI Act 2024/1689 — Art.22 (automated decision-making), Art.9, Annex III.</w:t>
      </w:r>
    </w:p>
    <w:p>
      <w:pPr>
        <w:pStyle w:val="ListParagraph"/>
        <w:numPr>
          <w:ilvl w:val="0"/>
          <w:numId w:val="3"/>
        </w:numPr>
        <w:spacing w:after="80"/>
      </w:pPr>
      <w:r>
        <w:rPr>
          <w:rFonts w:ascii="Arial" w:cs="Arial" w:eastAsia="Arial" w:hAnsi="Arial"/>
          <w:color w:val="595959"/>
          <w:sz w:val="21"/>
          <w:szCs w:val="21"/>
        </w:rPr>
        <w:t xml:space="preserve">DORA Regulation (EU) 2022/2554: Digital Operational Resilience Act — Art.6 ICT risk management.</w:t>
      </w:r>
    </w:p>
    <w:p>
      <w:pPr>
        <w:pStyle w:val="ListParagraph"/>
        <w:numPr>
          <w:ilvl w:val="0"/>
          <w:numId w:val="3"/>
        </w:numPr>
        <w:spacing w:after="80"/>
      </w:pPr>
      <w:r>
        <w:rPr>
          <w:rFonts w:ascii="Arial" w:cs="Arial" w:eastAsia="Arial" w:hAnsi="Arial"/>
          <w:color w:val="595959"/>
          <w:sz w:val="21"/>
          <w:szCs w:val="21"/>
        </w:rPr>
        <w:t xml:space="preserve">OSFI (2024). Guideline E-23: Enterprise-Wide Model Risk Management — agent AI classification.</w:t>
      </w:r>
    </w:p>
    <w:p>
      <w:pPr>
        <w:pStyle w:val="ListParagraph"/>
        <w:numPr>
          <w:ilvl w:val="0"/>
          <w:numId w:val="3"/>
        </w:numPr>
        <w:spacing w:after="80"/>
      </w:pPr>
      <w:r>
        <w:rPr>
          <w:rFonts w:ascii="Arial" w:cs="Arial" w:eastAsia="Arial" w:hAnsi="Arial"/>
          <w:color w:val="595959"/>
          <w:sz w:val="21"/>
          <w:szCs w:val="21"/>
        </w:rPr>
        <w:t xml:space="preserve">NHTSA (2023). Automated Vehicles 3.0: Preparing for the Future of Transportation.</w:t>
      </w:r>
    </w:p>
    <w:p>
      <w:pPr>
        <w:pStyle w:val="ListParagraph"/>
        <w:numPr>
          <w:ilvl w:val="0"/>
          <w:numId w:val="3"/>
        </w:numPr>
        <w:spacing w:after="80"/>
      </w:pPr>
      <w:r>
        <w:rPr>
          <w:rFonts w:ascii="Arial" w:cs="Arial" w:eastAsia="Arial" w:hAnsi="Arial"/>
          <w:color w:val="595959"/>
          <w:sz w:val="21"/>
          <w:szCs w:val="21"/>
        </w:rPr>
        <w:t xml:space="preserve">Palantir (2024). AIP: Artificial Intelligence Platform — ontology-based agent architecture.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12: AI Agents &amp; Agentic Frameworks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12: AI Agents &amp; Agentic Frameworks</w:t>
    </w:r>
    <w:r>
      <w:rPr>
        <w:rFonts w:ascii="Arial" w:cs="Arial" w:eastAsia="Arial" w:hAnsi="Arial"/>
        <w:color w:val="595959"/>
        <w:sz w:val="18"/>
        <w:szCs w:val="18"/>
      </w:rPr>
      <w:t xml:space="preserve">	©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2026-02-23T14:45:27.524Z</dcterms:created>
  <dcterms:modified xsi:type="dcterms:W3CDTF">2026-02-23T14:45:27.525Z</dcterms:modified>
</cp:coreProperties>
</file>

<file path=docProps/custom.xml><?xml version="1.0" encoding="utf-8"?>
<Properties xmlns="http://schemas.openxmlformats.org/officeDocument/2006/custom-properties" xmlns:vt="http://schemas.openxmlformats.org/officeDocument/2006/docPropsVTypes"/>
</file>