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0"/>
      </w:pPr>
    </w:p>
    <w:p>
      <w:pPr>
        <w:spacing w:before="0" w:after="100"/>
        <w:jc w:val="center"/>
      </w:pPr>
      <w:r>
        <w:rPr>
          <w:rFonts w:ascii="Arial" w:cs="Arial" w:eastAsia="Arial" w:hAnsi="Arial"/>
          <w:b/>
          <w:bCs/>
          <w:color w:val="2E75B6"/>
          <w:sz w:val="28"/>
          <w:szCs w:val="28"/>
        </w:rPr>
        <w:t xml:space="preserve">CAISA™  Level 1</w:t>
      </w:r>
    </w:p>
    <w:p>
      <w:pPr>
        <w:spacing w:before="0" w:after="400"/>
        <w:jc w:val="center"/>
      </w:pPr>
      <w:r>
        <w:rPr>
          <w:rFonts w:ascii="Arial" w:cs="Arial" w:eastAsia="Arial" w:hAnsi="Arial"/>
          <w:color w:val="595959"/>
          <w:sz w:val="22"/>
          <w:szCs w:val="22"/>
        </w:rPr>
        <w:t xml:space="preserve">AI Foundations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C9A227" w:sz="16"/>
              <w:left w:val="thick" w:color="C9A227" w:sz="16"/>
              <w:bottom w:val="thick" w:color="C9A227" w:sz="16"/>
              <w:right w:val="thick" w:color="C9A227" w:sz="16"/>
            </w:tcBorders>
            <w:shd w:fill="1F3864" w:val="clear"/>
            <w:tcMar>
              <w:top w:type="dxa" w:w="480"/>
              <w:left w:type="dxa" w:w="500"/>
              <w:bottom w:type="dxa" w:w="480"/>
              <w:right w:type="dxa" w:w="500"/>
            </w:tcMar>
          </w:tcPr>
          <w:p>
            <w:pPr>
              <w:spacing w:before="0" w:after="80"/>
              <w:jc w:val="center"/>
            </w:pPr>
            <w:r>
              <w:rPr>
                <w:rFonts w:ascii="Arial" w:cs="Arial" w:eastAsia="Arial" w:hAnsi="Arial"/>
                <w:b/>
                <w:bCs/>
                <w:color w:val="C9A227"/>
                <w:sz w:val="20"/>
                <w:szCs w:val="20"/>
              </w:rPr>
              <w:t xml:space="preserve">CHAPTER 5 OF 48</w:t>
            </w:r>
          </w:p>
          <w:p>
            <w:pPr>
              <w:spacing w:before="0" w:after="0"/>
              <w:jc w:val="center"/>
            </w:pPr>
            <w:r>
              <w:rPr>
                <w:rFonts w:ascii="Arial" w:cs="Arial" w:eastAsia="Arial" w:hAnsi="Arial"/>
                <w:b/>
                <w:bCs/>
                <w:color w:val="FFFFFF"/>
                <w:sz w:val="48"/>
                <w:szCs w:val="48"/>
              </w:rPr>
              <w:t xml:space="preserve">Decision Trees &amp;</w:t>
            </w:r>
          </w:p>
          <w:p>
            <w:pPr>
              <w:spacing w:before="0" w:after="60"/>
              <w:jc w:val="center"/>
            </w:pPr>
            <w:r>
              <w:rPr>
                <w:rFonts w:ascii="Arial" w:cs="Arial" w:eastAsia="Arial" w:hAnsi="Arial"/>
                <w:b/>
                <w:bCs/>
                <w:color w:val="FFFFFF"/>
                <w:sz w:val="48"/>
                <w:szCs w:val="48"/>
              </w:rPr>
              <w:t xml:space="preserve">Ensemble Methods</w:t>
            </w:r>
          </w:p>
          <w:p>
            <w:pPr>
              <w:spacing w:before="0" w:after="120"/>
              <w:jc w:val="center"/>
            </w:pPr>
            <w:r>
              <w:rPr>
                <w:rFonts w:ascii="Arial" w:cs="Arial" w:eastAsia="Arial" w:hAnsi="Arial"/>
                <w:b/>
                <w:bCs/>
                <w:color w:val="C9A227"/>
                <w:sz w:val="36"/>
                <w:szCs w:val="36"/>
              </w:rPr>
              <w:t xml:space="preserve">Enterprise Deep Dive</w:t>
            </w:r>
          </w:p>
          <w:p>
            <w:pPr>
              <w:spacing w:before="0" w:after="0"/>
              <w:jc w:val="center"/>
            </w:pPr>
            <w:r>
              <w:rPr>
                <w:rFonts w:ascii="Arial" w:cs="Arial" w:eastAsia="Arial" w:hAnsi="Arial"/>
                <w:color w:val="AED6F1"/>
                <w:sz w:val="20"/>
                <w:szCs w:val="20"/>
              </w:rPr>
              <w:t xml:space="preserve">Part I: Machine Learning Foundations  |  Week 2  |  Chapter 5 of 48</w:t>
            </w:r>
          </w:p>
        </w:tc>
      </w:tr>
    </w:tbl>
    <w:p>
      <w:pPr>
        <w:spacing w:before="0" w:after="300"/>
      </w:pPr>
    </w:p>
    <w:p>
      <w:pPr>
        <w:jc w:val="center"/>
      </w:pPr>
      <w:r>
        <w:rPr>
          <w:rFonts w:ascii="Arial" w:cs="Arial" w:eastAsia="Arial" w:hAnsi="Arial"/>
          <w:color w:val="595959"/>
          <w:sz w:val="19"/>
          <w:szCs w:val="19"/>
        </w:rPr>
        <w:t xml:space="preserve">Estimated Study Time: 3 Hours  |  10 Enterprise Case Studies  |  Europe (UK / DE / FR / NL / IT) + US + Canada</w:t>
      </w:r>
    </w:p>
    <w:p>
      <w:r>
        <w:br w:type="page"/>
      </w:r>
    </w:p>
    <w:p>
      <w:pPr>
        <w:pStyle w:val="Heading1"/>
        <w:shd w:fill="1F3864" w:val="clear"/>
        <w:spacing w:before="400" w:after="180"/>
        <w:ind w:left="180"/>
      </w:pPr>
      <w:r>
        <w:rPr>
          <w:rFonts w:ascii="Arial" w:cs="Arial" w:eastAsia="Arial" w:hAnsi="Arial"/>
          <w:b/>
          <w:bCs/>
          <w:color w:val="FFFFFF"/>
          <w:sz w:val="34"/>
          <w:szCs w:val="34"/>
        </w:rPr>
        <w:t xml:space="preserve">Learning Objectives</w:t>
      </w:r>
    </w:p>
    <w:p>
      <w:pPr>
        <w:spacing w:before="60" w:after="120" w:line="360"/>
        <w:jc w:val="both"/>
      </w:pPr>
      <w:r>
        <w:rPr>
          <w:rFonts w:ascii="Arial" w:cs="Arial" w:eastAsia="Arial" w:hAnsi="Arial"/>
          <w:color w:val="1A1A1A"/>
          <w:sz w:val="21"/>
          <w:szCs w:val="21"/>
        </w:rPr>
        <w:t xml:space="preserve">By the end of this chapter you will be able to:</w:t>
      </w:r>
    </w:p>
    <w:p>
      <w:pPr>
        <w:spacing w:before="0" w:after="60"/>
      </w:pPr>
    </w:p>
    <w:p>
      <w:pPr>
        <w:pStyle w:val="ListParagraph"/>
        <w:numPr>
          <w:ilvl w:val="0"/>
          <w:numId w:val="2"/>
        </w:numPr>
        <w:spacing w:before="50" w:after="50" w:line="330"/>
      </w:pPr>
      <w:r>
        <w:rPr>
          <w:rFonts w:ascii="Arial" w:cs="Arial" w:eastAsia="Arial" w:hAnsi="Arial"/>
          <w:color w:val="1A1A1A"/>
          <w:sz w:val="21"/>
          <w:szCs w:val="21"/>
        </w:rPr>
        <w:t xml:space="preserve">Derive the CART splitting criterion using Gini impurity and information gain, and explain cost-complexity pruning.</w:t>
      </w:r>
    </w:p>
    <w:p>
      <w:pPr>
        <w:pStyle w:val="ListParagraph"/>
        <w:numPr>
          <w:ilvl w:val="0"/>
          <w:numId w:val="2"/>
        </w:numPr>
        <w:spacing w:before="50" w:after="50" w:line="330"/>
      </w:pPr>
      <w:r>
        <w:rPr>
          <w:rFonts w:ascii="Arial" w:cs="Arial" w:eastAsia="Arial" w:hAnsi="Arial"/>
          <w:color w:val="1A1A1A"/>
          <w:sz w:val="21"/>
          <w:szCs w:val="21"/>
        </w:rPr>
        <w:t xml:space="preserve">Explain bootstrap aggregation (bagging), the bias-variance decomposition, and how Random Forests reduce variance via feature randomness.</w:t>
      </w:r>
    </w:p>
    <w:p>
      <w:pPr>
        <w:pStyle w:val="ListParagraph"/>
        <w:numPr>
          <w:ilvl w:val="0"/>
          <w:numId w:val="2"/>
        </w:numPr>
        <w:spacing w:before="50" w:after="50" w:line="330"/>
      </w:pPr>
      <w:r>
        <w:rPr>
          <w:rFonts w:ascii="Arial" w:cs="Arial" w:eastAsia="Arial" w:hAnsi="Arial"/>
          <w:color w:val="1A1A1A"/>
          <w:sz w:val="21"/>
          <w:szCs w:val="21"/>
        </w:rPr>
        <w:t xml:space="preserve">Describe the gradient boosting framework — additive modelling, pseudo-residuals, and shrinkage — and differentiate XGBoost, LightGBM, and CatBoost.</w:t>
      </w:r>
    </w:p>
    <w:p>
      <w:pPr>
        <w:pStyle w:val="ListParagraph"/>
        <w:numPr>
          <w:ilvl w:val="0"/>
          <w:numId w:val="2"/>
        </w:numPr>
        <w:spacing w:before="50" w:after="50" w:line="330"/>
      </w:pPr>
      <w:r>
        <w:rPr>
          <w:rFonts w:ascii="Arial" w:cs="Arial" w:eastAsia="Arial" w:hAnsi="Arial"/>
          <w:color w:val="1A1A1A"/>
          <w:sz w:val="21"/>
          <w:szCs w:val="21"/>
        </w:rPr>
        <w:t xml:space="preserve">Explain stacking and blending as meta-learning strategies and identify enterprise contexts where they are appropriate.</w:t>
      </w:r>
    </w:p>
    <w:p>
      <w:pPr>
        <w:pStyle w:val="ListParagraph"/>
        <w:numPr>
          <w:ilvl w:val="0"/>
          <w:numId w:val="2"/>
        </w:numPr>
        <w:spacing w:before="50" w:after="50" w:line="330"/>
      </w:pPr>
      <w:r>
        <w:rPr>
          <w:rFonts w:ascii="Arial" w:cs="Arial" w:eastAsia="Arial" w:hAnsi="Arial"/>
          <w:color w:val="1A1A1A"/>
          <w:sz w:val="21"/>
          <w:szCs w:val="21"/>
        </w:rPr>
        <w:t xml:space="preserve">Distinguish Mean Decrease Impurity (MDI), permutation importance, and SHAP TreeExplainer as feature importance methods and articulate their limitations.</w:t>
      </w:r>
    </w:p>
    <w:p>
      <w:pPr>
        <w:pStyle w:val="ListParagraph"/>
        <w:numPr>
          <w:ilvl w:val="0"/>
          <w:numId w:val="2"/>
        </w:numPr>
        <w:spacing w:before="50" w:after="50" w:line="330"/>
      </w:pPr>
      <w:r>
        <w:rPr>
          <w:rFonts w:ascii="Arial" w:cs="Arial" w:eastAsia="Arial" w:hAnsi="Arial"/>
          <w:color w:val="1A1A1A"/>
          <w:sz w:val="21"/>
          <w:szCs w:val="21"/>
        </w:rPr>
        <w:t xml:space="preserve">Identify the key hyperparameters of Random Forests and gradient boosting models and describe their effect on the bias-variance tradeoff.</w:t>
      </w:r>
    </w:p>
    <w:p>
      <w:pPr>
        <w:pStyle w:val="ListParagraph"/>
        <w:numPr>
          <w:ilvl w:val="0"/>
          <w:numId w:val="2"/>
        </w:numPr>
        <w:spacing w:before="50" w:after="50" w:line="330"/>
      </w:pPr>
      <w:r>
        <w:rPr>
          <w:rFonts w:ascii="Arial" w:cs="Arial" w:eastAsia="Arial" w:hAnsi="Arial"/>
          <w:color w:val="1A1A1A"/>
          <w:sz w:val="21"/>
          <w:szCs w:val="21"/>
        </w:rPr>
        <w:t xml:space="preserve">Apply the regulatory explainability requirements for tree-based models under EU AI Act Annex III, EBA GL/2020/06, and OCC SR 11-7.</w:t>
      </w:r>
    </w:p>
    <w:p>
      <w:pPr>
        <w:pStyle w:val="ListParagraph"/>
        <w:numPr>
          <w:ilvl w:val="0"/>
          <w:numId w:val="2"/>
        </w:numPr>
        <w:spacing w:before="50" w:after="50" w:line="330"/>
      </w:pPr>
      <w:r>
        <w:rPr>
          <w:rFonts w:ascii="Arial" w:cs="Arial" w:eastAsia="Arial" w:hAnsi="Arial"/>
          <w:color w:val="1A1A1A"/>
          <w:sz w:val="21"/>
          <w:szCs w:val="21"/>
        </w:rPr>
        <w:t xml:space="preserve">Analyse 10 enterprise case studies across Europe (UK, DE, FR, NL, IT) and North America (US, Canada).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8"/>
              <w:left w:val="thick" w:color="2E75B6" w:sz="8"/>
              <w:bottom w:val="none" w:color="FFFFFF" w:sz="0"/>
              <w:right w:val="single" w:color="BBBBBB" w:sz="1"/>
            </w:tcBorders>
            <w:shd w:fill="D6E4F0" w:val="clear"/>
            <w:tcMar>
              <w:top w:type="dxa" w:w="100"/>
              <w:left w:type="dxa" w:w="180"/>
              <w:bottom w:type="dxa" w:w="0"/>
              <w:right w:type="dxa" w:w="180"/>
            </w:tcMar>
          </w:tcPr>
          <w:p>
            <w:pPr>
              <w:spacing w:before="0" w:after="0"/>
            </w:pPr>
            <w:r>
              <w:rPr>
                <w:rFonts w:ascii="Arial" w:cs="Arial" w:eastAsia="Arial" w:hAnsi="Arial"/>
                <w:b/>
                <w:bCs/>
                <w:color w:val="2E75B6"/>
                <w:sz w:val="21"/>
                <w:szCs w:val="21"/>
              </w:rPr>
              <w:t xml:space="preserve">📖  Chapter Focus</w:t>
            </w:r>
          </w:p>
        </w:tc>
      </w:tr>
      <w:tr>
        <w:tc>
          <w:tcPr>
            <w:tcBorders>
              <w:top w:val="none"/>
              <w:left w:val="thick" w:color="2E75B6" w:sz="8"/>
              <w:bottom w:val="single" w:color="BBBBBB" w:sz="1"/>
              <w:right w:val="single" w:color="BBBBBB" w:sz="1"/>
            </w:tcBorders>
            <w:shd w:fill="D6E4F0"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Chapters 3 and 4 covered the foundational parametric models — linear and logistic regression — that serve as mandatory regulatory baselines. Chapter 5 introduces the dominant non-parametric production models in enterprise AI: Decision Trees as the interpretable baseline, Random Forests as the robust ensemble, and Gradient Boosting (XGBoost, LightGBM, CatBoost) as the state-of-the-art for structured/tabular data. Understanding when and how to deploy these models — and how to satisfy interpretability and regulatory requirements with SHAP — is the core skill of the enterprise AI architect.</w:t>
            </w:r>
          </w:p>
        </w:tc>
      </w:tr>
    </w:tbl>
    <w:p>
      <w:r>
        <w:br w:type="page"/>
      </w:r>
    </w:p>
    <w:p>
      <w:pPr>
        <w:pStyle w:val="Heading1"/>
        <w:shd w:fill="1F3864" w:val="clear"/>
        <w:spacing w:before="400" w:after="180"/>
        <w:ind w:left="180"/>
      </w:pPr>
      <w:r>
        <w:rPr>
          <w:rFonts w:ascii="Arial" w:cs="Arial" w:eastAsia="Arial" w:hAnsi="Arial"/>
          <w:b/>
          <w:bCs/>
          <w:color w:val="FFFFFF"/>
          <w:sz w:val="34"/>
          <w:szCs w:val="34"/>
        </w:rPr>
        <w:t xml:space="preserve">5.1  Decision Trees — The Interpretable Baseline</w:t>
      </w:r>
    </w:p>
    <w:p>
      <w:pPr>
        <w:spacing w:before="60" w:after="120" w:line="360"/>
        <w:jc w:val="both"/>
      </w:pPr>
      <w:r>
        <w:rPr>
          <w:rFonts w:ascii="Arial" w:cs="Arial" w:eastAsia="Arial" w:hAnsi="Arial"/>
          <w:color w:val="1A1A1A"/>
          <w:sz w:val="21"/>
          <w:szCs w:val="21"/>
        </w:rPr>
        <w:t xml:space="preserve">A decision tree partitions the feature space into rectangular regions through recursive binary splits, assigning a prediction to each region. The algorithm is non-parametric — it makes no assumption about the functional form of f(x) — but it is computationally greedy: it selects the best split at each node without backtracking.</w:t>
      </w:r>
    </w:p>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5.1.1  The CART Algorithm — Classification and Regression Trees</w:t>
      </w:r>
    </w:p>
    <w:p>
      <w:pPr>
        <w:spacing w:before="60" w:after="120" w:line="360"/>
        <w:jc w:val="both"/>
      </w:pPr>
      <w:r>
        <w:rPr>
          <w:rFonts w:ascii="Arial" w:cs="Arial" w:eastAsia="Arial" w:hAnsi="Arial"/>
          <w:color w:val="1A1A1A"/>
          <w:sz w:val="21"/>
          <w:szCs w:val="21"/>
        </w:rPr>
        <w:t xml:space="preserve">CART (Breiman et al., 1984) builds trees by recursively selecting the feature j and threshold t that minimise the weighted impurity of the two resulting child nodes:</w:t>
      </w:r>
    </w:p>
    <w:p>
      <w:pPr>
        <w:shd w:fill="F2F2F2" w:val="clear"/>
        <w:spacing w:before="30" w:after="30" w:line="290"/>
        <w:ind w:left="180" w:right="180"/>
      </w:pPr>
      <w:r>
        <w:rPr>
          <w:rFonts w:ascii="Courier New" w:cs="Courier New" w:eastAsia="Courier New" w:hAnsi="Courier New"/>
          <w:color w:val="1F3864"/>
          <w:sz w:val="18"/>
          <w:szCs w:val="18"/>
        </w:rPr>
        <w:t xml:space="preserve">Split criterion:</w:t>
      </w:r>
    </w:p>
    <w:p>
      <w:pPr>
        <w:shd w:fill="F2F2F2" w:val="clear"/>
        <w:spacing w:before="30" w:after="30" w:line="290"/>
        <w:ind w:left="180" w:right="180"/>
      </w:pPr>
      <w:r>
        <w:rPr>
          <w:rFonts w:ascii="Courier New" w:cs="Courier New" w:eastAsia="Courier New" w:hAnsi="Courier New"/>
          <w:color w:val="1F3864"/>
          <w:sz w:val="18"/>
          <w:szCs w:val="18"/>
        </w:rPr>
        <w:t xml:space="preserve">  argmin_{j,t}  [ (n_L/n)·Impurity(L) + (n_R/n)·Impurity(R) ]</w:t>
      </w:r>
    </w:p>
    <w:p>
      <w:pPr>
        <w:spacing w:before="0" w:after="40"/>
      </w:pPr>
    </w:p>
    <w:p>
      <w:pPr>
        <w:shd w:fill="F2F2F2" w:val="clear"/>
        <w:spacing w:before="30" w:after="30" w:line="290"/>
        <w:ind w:left="180" w:right="180"/>
      </w:pPr>
      <w:r>
        <w:rPr>
          <w:rFonts w:ascii="Courier New" w:cs="Courier New" w:eastAsia="Courier New" w:hAnsi="Courier New"/>
          <w:color w:val="1F3864"/>
          <w:sz w:val="18"/>
          <w:szCs w:val="18"/>
        </w:rPr>
        <w:t xml:space="preserve">Impurity measures:</w:t>
      </w:r>
    </w:p>
    <w:p>
      <w:pPr>
        <w:shd w:fill="F2F2F2" w:val="clear"/>
        <w:spacing w:before="30" w:after="30" w:line="290"/>
        <w:ind w:left="180" w:right="180"/>
      </w:pPr>
      <w:r>
        <w:rPr>
          <w:rFonts w:ascii="Courier New" w:cs="Courier New" w:eastAsia="Courier New" w:hAnsi="Courier New"/>
          <w:color w:val="1F3864"/>
          <w:sz w:val="18"/>
          <w:szCs w:val="18"/>
        </w:rPr>
        <w:t xml:space="preserve">  Gini impurity (classification):  G(S) = Σ_k p_k(1 − p_k) = 1 − Σ_k p_k²</w:t>
      </w:r>
    </w:p>
    <w:p>
      <w:pPr>
        <w:shd w:fill="F2F2F2" w:val="clear"/>
        <w:spacing w:before="30" w:after="30" w:line="290"/>
        <w:ind w:left="180" w:right="180"/>
      </w:pPr>
      <w:r>
        <w:rPr>
          <w:rFonts w:ascii="Courier New" w:cs="Courier New" w:eastAsia="Courier New" w:hAnsi="Courier New"/>
          <w:color w:val="1F3864"/>
          <w:sz w:val="18"/>
          <w:szCs w:val="18"/>
        </w:rPr>
        <w:t xml:space="preserve">  Entropy (classification):         H(S) = −Σ_k p_k log₂(p_k)</w:t>
      </w:r>
    </w:p>
    <w:p>
      <w:pPr>
        <w:shd w:fill="F2F2F2" w:val="clear"/>
        <w:spacing w:before="30" w:after="30" w:line="290"/>
        <w:ind w:left="180" w:right="180"/>
      </w:pPr>
      <w:r>
        <w:rPr>
          <w:rFonts w:ascii="Courier New" w:cs="Courier New" w:eastAsia="Courier New" w:hAnsi="Courier New"/>
          <w:color w:val="1F3864"/>
          <w:sz w:val="18"/>
          <w:szCs w:val="18"/>
        </w:rPr>
        <w:t xml:space="preserve">  Variance reduction (regression):  V(S) = (1/n)·Σᵢ (yᵢ − ȳ)²</w:t>
      </w:r>
    </w:p>
    <w:p>
      <w:pPr>
        <w:spacing w:before="0" w:after="60"/>
      </w:pPr>
    </w:p>
    <w:p>
      <w:pPr>
        <w:spacing w:before="60" w:after="120" w:line="360"/>
        <w:jc w:val="both"/>
      </w:pPr>
      <w:r>
        <w:rPr>
          <w:rFonts w:ascii="Arial" w:cs="Arial" w:eastAsia="Arial" w:hAnsi="Arial"/>
          <w:color w:val="1A1A1A"/>
          <w:sz w:val="21"/>
          <w:szCs w:val="21"/>
        </w:rPr>
        <w:t xml:space="preserve">At each leaf, the prediction is: (a) the majority class for classification, (b) the mean target value for regression. A fully grown tree memorises the training data (zero bias, high variance). Pruning controls the bias-variance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8"/>
              <w:left w:val="thick" w:color="2E75B6" w:sz="8"/>
              <w:bottom w:val="none" w:color="FFFFFF" w:sz="0"/>
              <w:right w:val="single" w:color="BBBBBB" w:sz="1"/>
            </w:tcBorders>
            <w:shd w:fill="D6E4F0" w:val="clear"/>
            <w:tcMar>
              <w:top w:type="dxa" w:w="100"/>
              <w:left w:type="dxa" w:w="180"/>
              <w:bottom w:type="dxa" w:w="0"/>
              <w:right w:type="dxa" w:w="180"/>
            </w:tcMar>
          </w:tcPr>
          <w:p>
            <w:pPr>
              <w:spacing w:before="0" w:after="0"/>
            </w:pPr>
            <w:r>
              <w:rPr>
                <w:rFonts w:ascii="Arial" w:cs="Arial" w:eastAsia="Arial" w:hAnsi="Arial"/>
                <w:b/>
                <w:bCs/>
                <w:color w:val="2E75B6"/>
                <w:sz w:val="21"/>
                <w:szCs w:val="21"/>
              </w:rPr>
              <w:t xml:space="preserve">Gini vs. Entropy</w:t>
            </w:r>
          </w:p>
        </w:tc>
      </w:tr>
      <w:tr>
        <w:tc>
          <w:tcPr>
            <w:tcBorders>
              <w:top w:val="none"/>
              <w:left w:val="thick" w:color="2E75B6" w:sz="8"/>
              <w:bottom w:val="single" w:color="BBBBBB" w:sz="1"/>
              <w:right w:val="single" w:color="BBBBBB" w:sz="1"/>
            </w:tcBorders>
            <w:shd w:fill="D6E4F0"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In practice, Gini impurity and entropy produce nearly identical trees. Gini is computationally cheaper (no logarithm) and is the scikit-learn default. Entropy is the correct information-theoretic criterion for ID3/C4.5 trees. For enterprise use, the choice rarely affects business outcomes — focus on max_depth, min_samples_leaf, and cost-complexity pruning instead.</w:t>
            </w:r>
          </w:p>
        </w:tc>
      </w:tr>
    </w:tbl>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5.1.2  Cost-Complexity Pruning (Weakest Link Pruning)</w:t>
      </w:r>
    </w:p>
    <w:p>
      <w:pPr>
        <w:spacing w:before="60" w:after="120" w:line="360"/>
        <w:jc w:val="both"/>
      </w:pPr>
      <w:r>
        <w:rPr>
          <w:rFonts w:ascii="Arial" w:cs="Arial" w:eastAsia="Arial" w:hAnsi="Arial"/>
          <w:color w:val="1A1A1A"/>
          <w:sz w:val="21"/>
          <w:szCs w:val="21"/>
        </w:rPr>
        <w:t xml:space="preserve">Fully grown trees overfit. Cost-complexity pruning (also called minimal cost-complexity pruning or α-pruning) is the standard post-hoc pruning method used in CART and scikit-learn:</w:t>
      </w:r>
    </w:p>
    <w:p>
      <w:pPr>
        <w:shd w:fill="F2F2F2" w:val="clear"/>
        <w:spacing w:before="30" w:after="30" w:line="290"/>
        <w:ind w:left="180" w:right="180"/>
      </w:pPr>
      <w:r>
        <w:rPr>
          <w:rFonts w:ascii="Courier New" w:cs="Courier New" w:eastAsia="Courier New" w:hAnsi="Courier New"/>
          <w:color w:val="1F3864"/>
          <w:sz w:val="18"/>
          <w:szCs w:val="18"/>
        </w:rPr>
        <w:t xml:space="preserve">Objective:  minimise  R_α(T) = R(T) + α·|T|</w:t>
      </w:r>
    </w:p>
    <w:p>
      <w:pPr>
        <w:shd w:fill="F2F2F2" w:val="clear"/>
        <w:spacing w:before="30" w:after="30" w:line="290"/>
        <w:ind w:left="180" w:right="180"/>
      </w:pPr>
      <w:r>
        <w:rPr>
          <w:rFonts w:ascii="Courier New" w:cs="Courier New" w:eastAsia="Courier New" w:hAnsi="Courier New"/>
          <w:color w:val="1F3864"/>
          <w:sz w:val="18"/>
          <w:szCs w:val="18"/>
        </w:rPr>
        <w:t xml:space="preserve">  R(T)   = total leaf impurity (training error)</w:t>
      </w:r>
    </w:p>
    <w:p>
      <w:pPr>
        <w:shd w:fill="F2F2F2" w:val="clear"/>
        <w:spacing w:before="30" w:after="30" w:line="290"/>
        <w:ind w:left="180" w:right="180"/>
      </w:pPr>
      <w:r>
        <w:rPr>
          <w:rFonts w:ascii="Courier New" w:cs="Courier New" w:eastAsia="Courier New" w:hAnsi="Courier New"/>
          <w:color w:val="1F3864"/>
          <w:sz w:val="18"/>
          <w:szCs w:val="18"/>
        </w:rPr>
        <w:t xml:space="preserve">  |T|    = number of leaf nodes</w:t>
      </w:r>
    </w:p>
    <w:p>
      <w:pPr>
        <w:shd w:fill="F2F2F2" w:val="clear"/>
        <w:spacing w:before="30" w:after="30" w:line="290"/>
        <w:ind w:left="180" w:right="180"/>
      </w:pPr>
      <w:r>
        <w:rPr>
          <w:rFonts w:ascii="Courier New" w:cs="Courier New" w:eastAsia="Courier New" w:hAnsi="Courier New"/>
          <w:color w:val="1F3864"/>
          <w:sz w:val="18"/>
          <w:szCs w:val="18"/>
        </w:rPr>
        <w:t xml:space="preserve">  α ≥ 0  = complexity parameter (selected via cross-validation)</w:t>
      </w:r>
    </w:p>
    <w:p>
      <w:pPr>
        <w:spacing w:before="0" w:after="40"/>
      </w:pPr>
    </w:p>
    <w:p>
      <w:pPr>
        <w:shd w:fill="F2F2F2" w:val="clear"/>
        <w:spacing w:before="30" w:after="30" w:line="290"/>
        <w:ind w:left="180" w:right="180"/>
      </w:pPr>
      <w:r>
        <w:rPr>
          <w:rFonts w:ascii="Courier New" w:cs="Courier New" w:eastAsia="Courier New" w:hAnsi="Courier New"/>
          <w:color w:val="1F3864"/>
          <w:sz w:val="18"/>
          <w:szCs w:val="18"/>
        </w:rPr>
        <w:t xml:space="preserve">α = 0:   fully grown tree (no pruning)</w:t>
      </w:r>
    </w:p>
    <w:p>
      <w:pPr>
        <w:shd w:fill="F2F2F2" w:val="clear"/>
        <w:spacing w:before="30" w:after="30" w:line="290"/>
        <w:ind w:left="180" w:right="180"/>
      </w:pPr>
      <w:r>
        <w:rPr>
          <w:rFonts w:ascii="Courier New" w:cs="Courier New" w:eastAsia="Courier New" w:hAnsi="Courier New"/>
          <w:color w:val="1F3864"/>
          <w:sz w:val="18"/>
          <w:szCs w:val="18"/>
        </w:rPr>
        <w:t xml:space="preserve">α → ∞:  single-node tree (maximum pruning)</w:t>
      </w:r>
    </w:p>
    <w:p>
      <w:pPr>
        <w:shd w:fill="F2F2F2" w:val="clear"/>
        <w:spacing w:before="30" w:after="30" w:line="290"/>
        <w:ind w:left="180" w:right="180"/>
      </w:pPr>
      <w:r>
        <w:rPr>
          <w:rFonts w:ascii="Courier New" w:cs="Courier New" w:eastAsia="Courier New" w:hAnsi="Courier New"/>
          <w:color w:val="1F3864"/>
          <w:sz w:val="18"/>
          <w:szCs w:val="18"/>
        </w:rPr>
        <w:t xml:space="preserve">Optimal α selected via k-fold cross-validation on held-out data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7D6608" w:sz="8"/>
              <w:left w:val="thick" w:color="7D6608" w:sz="8"/>
              <w:bottom w:val="none" w:color="FFFFFF" w:sz="0"/>
              <w:right w:val="single" w:color="BBBBBB" w:sz="1"/>
            </w:tcBorders>
            <w:shd w:fill="FEF9E7" w:val="clear"/>
            <w:tcMar>
              <w:top w:type="dxa" w:w="100"/>
              <w:left w:type="dxa" w:w="180"/>
              <w:bottom w:type="dxa" w:w="0"/>
              <w:right w:type="dxa" w:w="180"/>
            </w:tcMar>
          </w:tcPr>
          <w:p>
            <w:pPr>
              <w:spacing w:before="0" w:after="0"/>
            </w:pPr>
            <w:r>
              <w:rPr>
                <w:rFonts w:ascii="Arial" w:cs="Arial" w:eastAsia="Arial" w:hAnsi="Arial"/>
                <w:b/>
                <w:bCs/>
                <w:color w:val="7D6608"/>
                <w:sz w:val="21"/>
                <w:szCs w:val="21"/>
              </w:rPr>
              <w:t xml:space="preserve">⚠️  Enterprise Principle — Why Depth Limits Beat Pruning in Practice</w:t>
            </w:r>
          </w:p>
        </w:tc>
      </w:tr>
      <w:tr>
        <w:tc>
          <w:tcPr>
            <w:tcBorders>
              <w:top w:val="none"/>
              <w:left w:val="thick" w:color="7D6608" w:sz="8"/>
              <w:bottom w:val="single" w:color="BBBBBB" w:sz="1"/>
              <w:right w:val="single" w:color="BBBBBB" w:sz="1"/>
            </w:tcBorders>
            <w:shd w:fill="FEF9E7"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In enterprise deployments, max_depth=4-6 with min_samples_leaf=50 (or 1% of training set) is the recommended default for interpretable single trees. This is simpler, faster, and more transparent than post-hoc pruning. Reserve cost-complexity pruning for regulated contexts (EBA GL/2020/06 model complexity documentation) where the full pruning path must be auditable.</w:t>
            </w:r>
          </w:p>
        </w:tc>
      </w:tr>
    </w:tbl>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5.1.3  Regulatory Position of Decision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c>
          <w:tcPr>
            <w:tcW w:type="dxa" w:w="18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Depth / Complexity</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Interpretability</w:t>
            </w:r>
          </w:p>
        </w:tc>
        <w:tc>
          <w:tcPr>
            <w:tcW w:type="dxa" w:w="26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Regulatory Position</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Enterprise Use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depth ≤ 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Very High — decision rules printable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Acceptable as sole model for low-risk applications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Insurance underwriting rules, eligibility 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depth 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High — SHAP per-leaf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EBA/OCC require feature importance documentation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Credit scorecard challenger, AML rule extraction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depth 7–15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Moderate — SHAP required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High-risk EU AI Act: SHAP Annex IV mandatory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Feature interaction discovery, ensemble base learner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Fully grown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Low — opaque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Not standalone in regulated contexts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Training ensemble members only</w:t>
            </w:r>
          </w:p>
        </w:tc>
      </w:tr>
    </w:tbl>
    <w:p>
      <w:r>
        <w:br w:type="page"/>
      </w:r>
    </w:p>
    <w:p>
      <w:pPr>
        <w:pStyle w:val="Heading1"/>
        <w:shd w:fill="1F3864" w:val="clear"/>
        <w:spacing w:before="400" w:after="180"/>
        <w:ind w:left="180"/>
      </w:pPr>
      <w:r>
        <w:rPr>
          <w:rFonts w:ascii="Arial" w:cs="Arial" w:eastAsia="Arial" w:hAnsi="Arial"/>
          <w:b/>
          <w:bCs/>
          <w:color w:val="FFFFFF"/>
          <w:sz w:val="34"/>
          <w:szCs w:val="34"/>
        </w:rPr>
        <w:t xml:space="preserve">5.2  Random Forests — Variance Reduction via Bagging</w:t>
      </w:r>
    </w:p>
    <w:p>
      <w:pPr>
        <w:spacing w:before="60" w:after="120" w:line="360"/>
        <w:jc w:val="both"/>
      </w:pPr>
      <w:r>
        <w:rPr>
          <w:rFonts w:ascii="Arial" w:cs="Arial" w:eastAsia="Arial" w:hAnsi="Arial"/>
          <w:color w:val="1A1A1A"/>
          <w:sz w:val="21"/>
          <w:szCs w:val="21"/>
        </w:rPr>
        <w:t xml:space="preserve">Random Forests (Breiman, 2001) train B decision trees on bootstrap samples of the data, with an additional source of randomness: at each split, only a random subset of m ≤ p features is considered. Predictions are averaged (regression) or majority-voted (classification).</w:t>
      </w:r>
    </w:p>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5.2.1  Bagging — Bootstrap Aggregation</w:t>
      </w:r>
    </w:p>
    <w:p>
      <w:pPr>
        <w:shd w:fill="F2F2F2" w:val="clear"/>
        <w:spacing w:before="30" w:after="30" w:line="290"/>
        <w:ind w:left="180" w:right="180"/>
      </w:pPr>
      <w:r>
        <w:rPr>
          <w:rFonts w:ascii="Courier New" w:cs="Courier New" w:eastAsia="Courier New" w:hAnsi="Courier New"/>
          <w:color w:val="1F3864"/>
          <w:sz w:val="18"/>
          <w:szCs w:val="18"/>
        </w:rPr>
        <w:t xml:space="preserve">Algorithm:</w:t>
      </w:r>
    </w:p>
    <w:p>
      <w:pPr>
        <w:shd w:fill="F2F2F2" w:val="clear"/>
        <w:spacing w:before="30" w:after="30" w:line="290"/>
        <w:ind w:left="180" w:right="180"/>
      </w:pPr>
      <w:r>
        <w:rPr>
          <w:rFonts w:ascii="Courier New" w:cs="Courier New" w:eastAsia="Courier New" w:hAnsi="Courier New"/>
          <w:color w:val="1F3864"/>
          <w:sz w:val="18"/>
          <w:szCs w:val="18"/>
        </w:rPr>
        <w:t xml:space="preserve">  For b = 1, ..., B:</w:t>
      </w:r>
    </w:p>
    <w:p>
      <w:pPr>
        <w:shd w:fill="F2F2F2" w:val="clear"/>
        <w:spacing w:before="30" w:after="30" w:line="290"/>
        <w:ind w:left="180" w:right="180"/>
      </w:pPr>
      <w:r>
        <w:rPr>
          <w:rFonts w:ascii="Courier New" w:cs="Courier New" w:eastAsia="Courier New" w:hAnsi="Courier New"/>
          <w:color w:val="1F3864"/>
          <w:sz w:val="18"/>
          <w:szCs w:val="18"/>
        </w:rPr>
        <w:t xml:space="preserve">    1. Draw bootstrap sample Z*_b of size n (with replacement) from training data</w:t>
      </w:r>
    </w:p>
    <w:p>
      <w:pPr>
        <w:shd w:fill="F2F2F2" w:val="clear"/>
        <w:spacing w:before="30" w:after="30" w:line="290"/>
        <w:ind w:left="180" w:right="180"/>
      </w:pPr>
      <w:r>
        <w:rPr>
          <w:rFonts w:ascii="Courier New" w:cs="Courier New" w:eastAsia="Courier New" w:hAnsi="Courier New"/>
          <w:color w:val="1F3864"/>
          <w:sz w:val="18"/>
          <w:szCs w:val="18"/>
        </w:rPr>
        <w:t xml:space="preserve">    2. Train a deep, unpruned tree T_b on Z*_b</w:t>
      </w:r>
    </w:p>
    <w:p>
      <w:pPr>
        <w:shd w:fill="F2F2F2" w:val="clear"/>
        <w:spacing w:before="30" w:after="30" w:line="290"/>
        <w:ind w:left="180" w:right="180"/>
      </w:pPr>
      <w:r>
        <w:rPr>
          <w:rFonts w:ascii="Courier New" w:cs="Courier New" w:eastAsia="Courier New" w:hAnsi="Courier New"/>
          <w:color w:val="1F3864"/>
          <w:sz w:val="18"/>
          <w:szCs w:val="18"/>
        </w:rPr>
        <w:t xml:space="preserve">  Regression prediction:  f̂_RF(x) = (1/B) Σ_b T_b(x)</w:t>
      </w:r>
    </w:p>
    <w:p>
      <w:pPr>
        <w:shd w:fill="F2F2F2" w:val="clear"/>
        <w:spacing w:before="30" w:after="30" w:line="290"/>
        <w:ind w:left="180" w:right="180"/>
      </w:pPr>
      <w:r>
        <w:rPr>
          <w:rFonts w:ascii="Courier New" w:cs="Courier New" w:eastAsia="Courier New" w:hAnsi="Courier New"/>
          <w:color w:val="1F3864"/>
          <w:sz w:val="18"/>
          <w:szCs w:val="18"/>
        </w:rPr>
        <w:t xml:space="preserve">  Classification:         f̂_RF(x) = majority vote of { T_b(x) }</w:t>
      </w:r>
    </w:p>
    <w:p>
      <w:pPr>
        <w:spacing w:before="0" w:after="60"/>
      </w:pPr>
    </w:p>
    <w:p>
      <w:pPr>
        <w:spacing w:before="60" w:after="120" w:line="360"/>
        <w:jc w:val="both"/>
      </w:pPr>
      <w:r>
        <w:rPr>
          <w:rFonts w:ascii="Arial" w:cs="Arial" w:eastAsia="Arial" w:hAnsi="Arial"/>
          <w:color w:val="1A1A1A"/>
          <w:sz w:val="21"/>
          <w:szCs w:val="21"/>
        </w:rPr>
        <w:t xml:space="preserve">Bagging reduces variance without increasing bias. Each bootstrap sample leaves out ~36.8% of training observations (out-of-bag, OOB observations), which can be used for free model validation without a separate hold-out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8"/>
              <w:left w:val="thick" w:color="2E75B6" w:sz="8"/>
              <w:bottom w:val="none" w:color="FFFFFF" w:sz="0"/>
              <w:right w:val="single" w:color="BBBBBB" w:sz="1"/>
            </w:tcBorders>
            <w:shd w:fill="D6E4F0" w:val="clear"/>
            <w:tcMar>
              <w:top w:type="dxa" w:w="100"/>
              <w:left w:type="dxa" w:w="180"/>
              <w:bottom w:type="dxa" w:w="0"/>
              <w:right w:type="dxa" w:w="180"/>
            </w:tcMar>
          </w:tcPr>
          <w:p>
            <w:pPr>
              <w:spacing w:before="0" w:after="0"/>
            </w:pPr>
            <w:r>
              <w:rPr>
                <w:rFonts w:ascii="Arial" w:cs="Arial" w:eastAsia="Arial" w:hAnsi="Arial"/>
                <w:b/>
                <w:bCs/>
                <w:color w:val="2E75B6"/>
                <w:sz w:val="21"/>
                <w:szCs w:val="21"/>
              </w:rPr>
              <w:t xml:space="preserve">Bias-Variance Decomposition</w:t>
            </w:r>
          </w:p>
        </w:tc>
      </w:tr>
      <w:tr>
        <w:tc>
          <w:tcPr>
            <w:tcBorders>
              <w:top w:val="none"/>
              <w:left w:val="thick" w:color="2E75B6" w:sz="8"/>
              <w:bottom w:val="single" w:color="BBBBBB" w:sz="1"/>
              <w:right w:val="single" w:color="BBBBBB" w:sz="1"/>
            </w:tcBorders>
            <w:shd w:fill="D6E4F0"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Expected MSE = Bias² + Variance + Irreducible noise
Single deep tree:  Low bias, HIGH variance (memorises noise)
Bagged average:    Low bias, REDUCED variance (averaging cancels noise)
Why averaging reduces variance: If B i.i.d. trees each have variance σ², their average has variance σ²/B. In practice, trees are correlated (ρ &gt; 0), so variance = ρσ² + (1−ρ)σ²/B. Random feature selection reduces ρ, which is the key innovation of Random Forests over plain bagging.</w:t>
            </w:r>
          </w:p>
        </w:tc>
      </w:tr>
    </w:tbl>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5.2.2  Feature Randomness — The RF Innovation</w:t>
      </w:r>
    </w:p>
    <w:p>
      <w:pPr>
        <w:shd w:fill="F2F2F2" w:val="clear"/>
        <w:spacing w:before="30" w:after="30" w:line="290"/>
        <w:ind w:left="180" w:right="180"/>
      </w:pPr>
      <w:r>
        <w:rPr>
          <w:rFonts w:ascii="Courier New" w:cs="Courier New" w:eastAsia="Courier New" w:hAnsi="Courier New"/>
          <w:color w:val="1F3864"/>
          <w:sz w:val="18"/>
          <w:szCs w:val="18"/>
        </w:rPr>
        <w:t xml:space="preserve">Random Forest feature selection at each split:</w:t>
      </w:r>
    </w:p>
    <w:p>
      <w:pPr>
        <w:shd w:fill="F2F2F2" w:val="clear"/>
        <w:spacing w:before="30" w:after="30" w:line="290"/>
        <w:ind w:left="180" w:right="180"/>
      </w:pPr>
      <w:r>
        <w:rPr>
          <w:rFonts w:ascii="Courier New" w:cs="Courier New" w:eastAsia="Courier New" w:hAnsi="Courier New"/>
          <w:color w:val="1F3864"/>
          <w:sz w:val="18"/>
          <w:szCs w:val="18"/>
        </w:rPr>
        <w:t xml:space="preserve">  m = sqrt(p)   for classification  (scikit-learn default)</w:t>
      </w:r>
    </w:p>
    <w:p>
      <w:pPr>
        <w:shd w:fill="F2F2F2" w:val="clear"/>
        <w:spacing w:before="30" w:after="30" w:line="290"/>
        <w:ind w:left="180" w:right="180"/>
      </w:pPr>
      <w:r>
        <w:rPr>
          <w:rFonts w:ascii="Courier New" w:cs="Courier New" w:eastAsia="Courier New" w:hAnsi="Courier New"/>
          <w:color w:val="1F3864"/>
          <w:sz w:val="18"/>
          <w:szCs w:val="18"/>
        </w:rPr>
        <w:t xml:space="preserve">  m = p/3       for regression       (scikit-learn default)</w:t>
      </w:r>
    </w:p>
    <w:p>
      <w:pPr>
        <w:shd w:fill="F2F2F2" w:val="clear"/>
        <w:spacing w:before="30" w:after="30" w:line="290"/>
        <w:ind w:left="180" w:right="180"/>
      </w:pPr>
      <w:r>
        <w:rPr>
          <w:rFonts w:ascii="Courier New" w:cs="Courier New" w:eastAsia="Courier New" w:hAnsi="Courier New"/>
          <w:color w:val="1F3864"/>
          <w:sz w:val="18"/>
          <w:szCs w:val="18"/>
        </w:rPr>
        <w:t xml:space="preserve">  m = p         → Bagged Trees (no feature randomness, higher correlation)</w:t>
      </w:r>
    </w:p>
    <w:p>
      <w:pPr>
        <w:spacing w:before="0" w:after="40"/>
      </w:pPr>
    </w:p>
    <w:p>
      <w:pPr>
        <w:spacing w:before="60" w:after="120" w:line="360"/>
        <w:jc w:val="both"/>
      </w:pPr>
      <w:r>
        <w:rPr>
          <w:rFonts w:ascii="Arial" w:cs="Arial" w:eastAsia="Arial" w:hAnsi="Arial"/>
          <w:color w:val="1A1A1A"/>
          <w:sz w:val="21"/>
          <w:szCs w:val="21"/>
        </w:rPr>
        <w:t xml:space="preserve">By restricting each split to a random subset of m features, Random Forests decorrelate the trees. Even if one or two features are very strong predictors and dominate all splits, they will not appear in every tree — other features get a chance to contribute, reducing inter-tree correlation ρ and thus variance.</w:t>
      </w:r>
    </w:p>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5.2.3  Out-of-Bag (OOB) Error</w:t>
      </w:r>
    </w:p>
    <w:p>
      <w:pPr>
        <w:shd w:fill="F2F2F2" w:val="clear"/>
        <w:spacing w:before="30" w:after="30" w:line="290"/>
        <w:ind w:left="180" w:right="180"/>
      </w:pPr>
      <w:r>
        <w:rPr>
          <w:rFonts w:ascii="Courier New" w:cs="Courier New" w:eastAsia="Courier New" w:hAnsi="Courier New"/>
          <w:color w:val="1F3864"/>
          <w:sz w:val="18"/>
          <w:szCs w:val="18"/>
        </w:rPr>
        <w:t xml:space="preserve">OOB error = average prediction error on OOB observations:</w:t>
      </w:r>
    </w:p>
    <w:p>
      <w:pPr>
        <w:shd w:fill="F2F2F2" w:val="clear"/>
        <w:spacing w:before="30" w:after="30" w:line="290"/>
        <w:ind w:left="180" w:right="180"/>
      </w:pPr>
      <w:r>
        <w:rPr>
          <w:rFonts w:ascii="Courier New" w:cs="Courier New" w:eastAsia="Courier New" w:hAnsi="Courier New"/>
          <w:color w:val="1F3864"/>
          <w:sz w:val="18"/>
          <w:szCs w:val="18"/>
        </w:rPr>
        <w:t xml:space="preserve">  ε_OOB = (1/n) Σᵢ L(yᵢ, f̂_OOB(xᵢ))</w:t>
      </w:r>
    </w:p>
    <w:p>
      <w:pPr>
        <w:shd w:fill="F2F2F2" w:val="clear"/>
        <w:spacing w:before="30" w:after="30" w:line="290"/>
        <w:ind w:left="180" w:right="180"/>
      </w:pPr>
      <w:r>
        <w:rPr>
          <w:rFonts w:ascii="Courier New" w:cs="Courier New" w:eastAsia="Courier New" w:hAnsi="Courier New"/>
          <w:color w:val="1F3864"/>
          <w:sz w:val="18"/>
          <w:szCs w:val="18"/>
        </w:rPr>
        <w:t xml:space="preserve">  f̂_OOB(xᵢ) = average prediction of trees for which observation i was NOT in Z*_b</w:t>
      </w:r>
    </w:p>
    <w:p>
      <w:pPr>
        <w:spacing w:before="0" w:after="40"/>
      </w:pPr>
    </w:p>
    <w:p>
      <w:pPr>
        <w:spacing w:before="60" w:after="120" w:line="360"/>
        <w:jc w:val="both"/>
      </w:pPr>
      <w:r>
        <w:rPr>
          <w:rFonts w:ascii="Arial" w:cs="Arial" w:eastAsia="Arial" w:hAnsi="Arial"/>
          <w:color w:val="1A1A1A"/>
          <w:sz w:val="21"/>
          <w:szCs w:val="21"/>
        </w:rPr>
        <w:t xml:space="preserve">OOB error is a free, nearly unbiased estimate of test error — equivalent to LOOCV (leave-one-out cross-validation) but computationally efficient. It is accepted as a model validation metric by EBA GL/2020/06 model validation teams when a separate holdout set is unavailable (e.g., small enterprise datasets).</w:t>
      </w:r>
    </w:p>
    <w:p>
      <w:r>
        <w:br w:type="page"/>
      </w:r>
    </w:p>
    <w:p>
      <w:pPr>
        <w:pStyle w:val="Heading1"/>
        <w:shd w:fill="1F3864" w:val="clear"/>
        <w:spacing w:before="400" w:after="180"/>
        <w:ind w:left="180"/>
      </w:pPr>
      <w:r>
        <w:rPr>
          <w:rFonts w:ascii="Arial" w:cs="Arial" w:eastAsia="Arial" w:hAnsi="Arial"/>
          <w:b/>
          <w:bCs/>
          <w:color w:val="FFFFFF"/>
          <w:sz w:val="34"/>
          <w:szCs w:val="34"/>
        </w:rPr>
        <w:t xml:space="preserve">5.3  Gradient Boosting — The State of the Art for Structured Data</w:t>
      </w:r>
    </w:p>
    <w:p>
      <w:pPr>
        <w:spacing w:before="60" w:after="120" w:line="360"/>
        <w:jc w:val="both"/>
      </w:pPr>
      <w:r>
        <w:rPr>
          <w:rFonts w:ascii="Arial" w:cs="Arial" w:eastAsia="Arial" w:hAnsi="Arial"/>
          <w:color w:val="1A1A1A"/>
          <w:sz w:val="21"/>
          <w:szCs w:val="21"/>
        </w:rPr>
        <w:t xml:space="preserve">Gradient Boosting (Friedman, 2001) builds an additive model F_M(x) = Σ_{m=1}^{M} h_m(x) sequentially, where each tree h_m is fit to the pseudo-residuals (negative gradient of the loss) of the current ensemble. It is the dominant algorithm for structured/tabular enterprise data in production deployments.</w:t>
      </w:r>
    </w:p>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5.3.1  The Gradient Boosting Framework</w:t>
      </w:r>
    </w:p>
    <w:p>
      <w:pPr>
        <w:shd w:fill="F2F2F2" w:val="clear"/>
        <w:spacing w:before="30" w:after="30" w:line="290"/>
        <w:ind w:left="180" w:right="180"/>
      </w:pPr>
      <w:r>
        <w:rPr>
          <w:rFonts w:ascii="Courier New" w:cs="Courier New" w:eastAsia="Courier New" w:hAnsi="Courier New"/>
          <w:color w:val="1F3864"/>
          <w:sz w:val="18"/>
          <w:szCs w:val="18"/>
        </w:rPr>
        <w:t xml:space="preserve">Initialise:  F_0(x) = argmin_γ Σᵢ L(yᵢ, γ)  (constant prediction)</w:t>
      </w:r>
    </w:p>
    <w:p>
      <w:pPr>
        <w:spacing w:before="0" w:after="30"/>
      </w:pPr>
    </w:p>
    <w:p>
      <w:pPr>
        <w:shd w:fill="F2F2F2" w:val="clear"/>
        <w:spacing w:before="30" w:after="30" w:line="290"/>
        <w:ind w:left="180" w:right="180"/>
      </w:pPr>
      <w:r>
        <w:rPr>
          <w:rFonts w:ascii="Courier New" w:cs="Courier New" w:eastAsia="Courier New" w:hAnsi="Courier New"/>
          <w:color w:val="1F3864"/>
          <w:sz w:val="18"/>
          <w:szCs w:val="18"/>
        </w:rPr>
        <w:t xml:space="preserve">For m = 1, ..., M:</w:t>
      </w:r>
    </w:p>
    <w:p>
      <w:pPr>
        <w:shd w:fill="F2F2F2" w:val="clear"/>
        <w:spacing w:before="30" w:after="30" w:line="290"/>
        <w:ind w:left="180" w:right="180"/>
      </w:pPr>
      <w:r>
        <w:rPr>
          <w:rFonts w:ascii="Courier New" w:cs="Courier New" w:eastAsia="Courier New" w:hAnsi="Courier New"/>
          <w:color w:val="1F3864"/>
          <w:sz w:val="18"/>
          <w:szCs w:val="18"/>
        </w:rPr>
        <w:t xml:space="preserve">  1. Compute pseudo-residuals:</w:t>
      </w:r>
    </w:p>
    <w:p>
      <w:pPr>
        <w:shd w:fill="F2F2F2" w:val="clear"/>
        <w:spacing w:before="30" w:after="30" w:line="290"/>
        <w:ind w:left="180" w:right="180"/>
      </w:pPr>
      <w:r>
        <w:rPr>
          <w:rFonts w:ascii="Courier New" w:cs="Courier New" w:eastAsia="Courier New" w:hAnsi="Courier New"/>
          <w:color w:val="1F3864"/>
          <w:sz w:val="18"/>
          <w:szCs w:val="18"/>
        </w:rPr>
        <w:t xml:space="preserve">       r_im = −[∂L(yᵢ, F(xᵢ))/∂F(xᵢ)]_{F=F_{m-1}}</w:t>
      </w:r>
    </w:p>
    <w:p>
      <w:pPr>
        <w:spacing w:before="0" w:after="20"/>
      </w:pPr>
    </w:p>
    <w:p>
      <w:pPr>
        <w:shd w:fill="F2F2F2" w:val="clear"/>
        <w:spacing w:before="30" w:after="30" w:line="290"/>
        <w:ind w:left="180" w:right="180"/>
      </w:pPr>
      <w:r>
        <w:rPr>
          <w:rFonts w:ascii="Courier New" w:cs="Courier New" w:eastAsia="Courier New" w:hAnsi="Courier New"/>
          <w:color w:val="1F3864"/>
          <w:sz w:val="18"/>
          <w:szCs w:val="18"/>
        </w:rPr>
        <w:t xml:space="preserve">  2. Fit a regression tree h_m to {(xᵢ, r_im)}</w:t>
      </w:r>
    </w:p>
    <w:p>
      <w:pPr>
        <w:spacing w:before="0" w:after="20"/>
      </w:pPr>
    </w:p>
    <w:p>
      <w:pPr>
        <w:shd w:fill="F2F2F2" w:val="clear"/>
        <w:spacing w:before="30" w:after="30" w:line="290"/>
        <w:ind w:left="180" w:right="180"/>
      </w:pPr>
      <w:r>
        <w:rPr>
          <w:rFonts w:ascii="Courier New" w:cs="Courier New" w:eastAsia="Courier New" w:hAnsi="Courier New"/>
          <w:color w:val="1F3864"/>
          <w:sz w:val="18"/>
          <w:szCs w:val="18"/>
        </w:rPr>
        <w:t xml:space="preserve">  3. Update:  F_m(x) = F_{m-1}(x) + η · h_m(x)</w:t>
      </w:r>
    </w:p>
    <w:p>
      <w:pPr>
        <w:shd w:fill="F2F2F2" w:val="clear"/>
        <w:spacing w:before="30" w:after="30" w:line="290"/>
        <w:ind w:left="180" w:right="180"/>
      </w:pPr>
      <w:r>
        <w:rPr>
          <w:rFonts w:ascii="Courier New" w:cs="Courier New" w:eastAsia="Courier New" w:hAnsi="Courier New"/>
          <w:color w:val="1F3864"/>
          <w:sz w:val="18"/>
          <w:szCs w:val="18"/>
        </w:rPr>
        <w:t xml:space="preserve">       η = learning rate (shrinkage), η ∈ (0,1]</w:t>
      </w:r>
    </w:p>
    <w:p>
      <w:pPr>
        <w:spacing w:before="0" w:after="40"/>
      </w:pPr>
    </w:p>
    <w:p>
      <w:pPr>
        <w:shd w:fill="F2F2F2" w:val="clear"/>
        <w:spacing w:before="30" w:after="30" w:line="290"/>
        <w:ind w:left="180" w:right="180"/>
      </w:pPr>
      <w:r>
        <w:rPr>
          <w:rFonts w:ascii="Courier New" w:cs="Courier New" w:eastAsia="Courier New" w:hAnsi="Courier New"/>
          <w:color w:val="1F3864"/>
          <w:sz w:val="18"/>
          <w:szCs w:val="18"/>
        </w:rPr>
        <w:t xml:space="preserve">Final prediction:  F_M(x) = F_0(x) + η · Σ_{m=1}^{M} h_m(x)</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8"/>
              <w:left w:val="thick" w:color="2E75B6" w:sz="8"/>
              <w:bottom w:val="none" w:color="FFFFFF" w:sz="0"/>
              <w:right w:val="single" w:color="BBBBBB" w:sz="1"/>
            </w:tcBorders>
            <w:shd w:fill="D6E4F0" w:val="clear"/>
            <w:tcMar>
              <w:top w:type="dxa" w:w="100"/>
              <w:left w:type="dxa" w:w="180"/>
              <w:bottom w:type="dxa" w:w="0"/>
              <w:right w:type="dxa" w:w="180"/>
            </w:tcMar>
          </w:tcPr>
          <w:p>
            <w:pPr>
              <w:spacing w:before="0" w:after="0"/>
            </w:pPr>
            <w:r>
              <w:rPr>
                <w:rFonts w:ascii="Arial" w:cs="Arial" w:eastAsia="Arial" w:hAnsi="Arial"/>
                <w:b/>
                <w:bCs/>
                <w:color w:val="2E75B6"/>
                <w:sz w:val="21"/>
                <w:szCs w:val="21"/>
              </w:rPr>
              <w:t xml:space="preserve">Why Pseudo-Residuals = Negative Gradient</w:t>
            </w:r>
          </w:p>
        </w:tc>
      </w:tr>
      <w:tr>
        <w:tc>
          <w:tcPr>
            <w:tcBorders>
              <w:top w:val="none"/>
              <w:left w:val="thick" w:color="2E75B6" w:sz="8"/>
              <w:bottom w:val="single" w:color="BBBBBB" w:sz="1"/>
              <w:right w:val="single" w:color="BBBBBB" w:sz="1"/>
            </w:tcBorders>
            <w:shd w:fill="D6E4F0"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For MSE loss: L = (1/2)(y−F)²
  → ∂L/∂F = −(y−F) = −residual
  → negative gradient = residual
For log-loss (binary): L = −[y·log(p) + (1−y)·log(1−p)]
  → negative gradient = y − p  (error in probability space)
For any loss L: pseudo-residuals generalise the concept of 'what the model got wrong' to arbitrary differentiable loss functions. This is the key insight that allows gradient boosting to work with Huber loss, quantile loss, Tweedie, Focal loss, and custom enterprise loss functions.</w:t>
            </w:r>
          </w:p>
        </w:tc>
      </w:tr>
    </w:tbl>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5.3.2  XGBoost — Second-Order (Newton) Boosting</w:t>
      </w:r>
    </w:p>
    <w:p>
      <w:pPr>
        <w:spacing w:before="60" w:after="120" w:line="360"/>
        <w:jc w:val="both"/>
      </w:pPr>
      <w:r>
        <w:rPr>
          <w:rFonts w:ascii="Arial" w:cs="Arial" w:eastAsia="Arial" w:hAnsi="Arial"/>
          <w:color w:val="1A1A1A"/>
          <w:sz w:val="21"/>
          <w:szCs w:val="21"/>
        </w:rPr>
        <w:t xml:space="preserve">XGBoost (Chen &amp; Guestrin, 2016) is the dominant implementation for enterprise tabular data. It uses second-order Taylor expansion of the loss function (Newton boosting), adding the Hessian H to the denominator for more accurate gradient updates:</w:t>
      </w:r>
    </w:p>
    <w:p>
      <w:pPr>
        <w:shd w:fill="F2F2F2" w:val="clear"/>
        <w:spacing w:before="30" w:after="30" w:line="290"/>
        <w:ind w:left="180" w:right="180"/>
      </w:pPr>
      <w:r>
        <w:rPr>
          <w:rFonts w:ascii="Courier New" w:cs="Courier New" w:eastAsia="Courier New" w:hAnsi="Courier New"/>
          <w:color w:val="1F3864"/>
          <w:sz w:val="18"/>
          <w:szCs w:val="18"/>
        </w:rPr>
        <w:t xml:space="preserve">XGBoost leaf weight:  w_j = − (Σᵢ∈Rⱼ gᵢ) / (Σᵢ∈Rⱼ hᵢ + λ)</w:t>
      </w:r>
    </w:p>
    <w:p>
      <w:pPr>
        <w:shd w:fill="F2F2F2" w:val="clear"/>
        <w:spacing w:before="30" w:after="30" w:line="290"/>
        <w:ind w:left="180" w:right="180"/>
      </w:pPr>
      <w:r>
        <w:rPr>
          <w:rFonts w:ascii="Courier New" w:cs="Courier New" w:eastAsia="Courier New" w:hAnsi="Courier New"/>
          <w:color w:val="1F3864"/>
          <w:sz w:val="18"/>
          <w:szCs w:val="18"/>
        </w:rPr>
        <w:t xml:space="preserve">  gᵢ = first-order gradient (pseudo-residual)</w:t>
      </w:r>
    </w:p>
    <w:p>
      <w:pPr>
        <w:shd w:fill="F2F2F2" w:val="clear"/>
        <w:spacing w:before="30" w:after="30" w:line="290"/>
        <w:ind w:left="180" w:right="180"/>
      </w:pPr>
      <w:r>
        <w:rPr>
          <w:rFonts w:ascii="Courier New" w:cs="Courier New" w:eastAsia="Courier New" w:hAnsi="Courier New"/>
          <w:color w:val="1F3864"/>
          <w:sz w:val="18"/>
          <w:szCs w:val="18"/>
        </w:rPr>
        <w:t xml:space="preserve">  hᵢ = second-order gradient (Hessian)</w:t>
      </w:r>
    </w:p>
    <w:p>
      <w:pPr>
        <w:shd w:fill="F2F2F2" w:val="clear"/>
        <w:spacing w:before="30" w:after="30" w:line="290"/>
        <w:ind w:left="180" w:right="180"/>
      </w:pPr>
      <w:r>
        <w:rPr>
          <w:rFonts w:ascii="Courier New" w:cs="Courier New" w:eastAsia="Courier New" w:hAnsi="Courier New"/>
          <w:color w:val="1F3864"/>
          <w:sz w:val="18"/>
          <w:szCs w:val="18"/>
        </w:rPr>
        <w:t xml:space="preserve">  λ  = L2 regularisation on leaf weights</w:t>
      </w:r>
    </w:p>
    <w:p>
      <w:pPr>
        <w:spacing w:before="0" w:after="40"/>
      </w:pPr>
    </w:p>
    <w:p>
      <w:pPr>
        <w:spacing w:before="60" w:after="120" w:line="360"/>
        <w:jc w:val="both"/>
      </w:pPr>
      <w:r>
        <w:rPr>
          <w:rFonts w:ascii="Arial" w:cs="Arial" w:eastAsia="Arial" w:hAnsi="Arial"/>
          <w:color w:val="1A1A1A"/>
          <w:sz w:val="21"/>
          <w:szCs w:val="21"/>
        </w:rPr>
        <w:t xml:space="preserve">XGBoost also adds: (a) L1/L2 regularisation on leaf weights (γ, λ), (b) column subsampling per tree and per split (equivalent to Random Forest feature randomness), (c) built-in cross-validation for early stopping, (d) DART (Dropout Additive Regression Trees) to prevent later trees from dominating.</w:t>
      </w:r>
    </w:p>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5.3.3  LightGBM — Histogram-Based, Leaf-Wise Growth</w:t>
      </w:r>
    </w:p>
    <w:p>
      <w:pPr>
        <w:spacing w:before="60" w:after="120" w:line="360"/>
        <w:jc w:val="both"/>
      </w:pPr>
      <w:r>
        <w:rPr>
          <w:rFonts w:ascii="Arial" w:cs="Arial" w:eastAsia="Arial" w:hAnsi="Arial"/>
          <w:color w:val="1A1A1A"/>
          <w:sz w:val="21"/>
          <w:szCs w:val="21"/>
        </w:rPr>
        <w:t xml:space="preserve">LightGBM (Ke et al., 2017) achieves 10–20× speedup over XGBoost on large datasets via two innovations:</w:t>
      </w:r>
    </w:p>
    <w:p>
      <w:pPr>
        <w:shd w:fill="F2F2F2" w:val="clear"/>
        <w:spacing w:before="30" w:after="30" w:line="290"/>
        <w:ind w:left="180" w:right="180"/>
      </w:pPr>
      <w:r>
        <w:rPr>
          <w:rFonts w:ascii="Courier New" w:cs="Courier New" w:eastAsia="Courier New" w:hAnsi="Courier New"/>
          <w:color w:val="1F3864"/>
          <w:sz w:val="18"/>
          <w:szCs w:val="18"/>
        </w:rPr>
        <w:t xml:space="preserve">1. GOSS (Gradient-based One-Side Sampling):</w:t>
      </w:r>
    </w:p>
    <w:p>
      <w:pPr>
        <w:shd w:fill="F2F2F2" w:val="clear"/>
        <w:spacing w:before="30" w:after="30" w:line="290"/>
        <w:ind w:left="180" w:right="180"/>
      </w:pPr>
      <w:r>
        <w:rPr>
          <w:rFonts w:ascii="Courier New" w:cs="Courier New" w:eastAsia="Courier New" w:hAnsi="Courier New"/>
          <w:color w:val="1F3864"/>
          <w:sz w:val="18"/>
          <w:szCs w:val="18"/>
        </w:rPr>
        <w:t xml:space="preserve">   Keep all large-gradient samples + random sample of small-gradient ones.</w:t>
      </w:r>
    </w:p>
    <w:p>
      <w:pPr>
        <w:shd w:fill="F2F2F2" w:val="clear"/>
        <w:spacing w:before="30" w:after="30" w:line="290"/>
        <w:ind w:left="180" w:right="180"/>
      </w:pPr>
      <w:r>
        <w:rPr>
          <w:rFonts w:ascii="Courier New" w:cs="Courier New" w:eastAsia="Courier New" w:hAnsi="Courier New"/>
          <w:color w:val="1F3864"/>
          <w:sz w:val="18"/>
          <w:szCs w:val="18"/>
        </w:rPr>
        <w:t xml:space="preserve">   Reduces computation without losing accuracy on informative observations.</w:t>
      </w:r>
    </w:p>
    <w:p>
      <w:pPr>
        <w:spacing w:before="0" w:after="30"/>
      </w:pPr>
    </w:p>
    <w:p>
      <w:pPr>
        <w:shd w:fill="F2F2F2" w:val="clear"/>
        <w:spacing w:before="30" w:after="30" w:line="290"/>
        <w:ind w:left="180" w:right="180"/>
      </w:pPr>
      <w:r>
        <w:rPr>
          <w:rFonts w:ascii="Courier New" w:cs="Courier New" w:eastAsia="Courier New" w:hAnsi="Courier New"/>
          <w:color w:val="1F3864"/>
          <w:sz w:val="18"/>
          <w:szCs w:val="18"/>
        </w:rPr>
        <w:t xml:space="preserve">2. EFB (Exclusive Feature Bundling):</w:t>
      </w:r>
    </w:p>
    <w:p>
      <w:pPr>
        <w:shd w:fill="F2F2F2" w:val="clear"/>
        <w:spacing w:before="30" w:after="30" w:line="290"/>
        <w:ind w:left="180" w:right="180"/>
      </w:pPr>
      <w:r>
        <w:rPr>
          <w:rFonts w:ascii="Courier New" w:cs="Courier New" w:eastAsia="Courier New" w:hAnsi="Courier New"/>
          <w:color w:val="1F3864"/>
          <w:sz w:val="18"/>
          <w:szCs w:val="18"/>
        </w:rPr>
        <w:t xml:space="preserve">   Bundle mutually exclusive sparse features into fewer dense features.</w:t>
      </w:r>
    </w:p>
    <w:p>
      <w:pPr>
        <w:shd w:fill="F2F2F2" w:val="clear"/>
        <w:spacing w:before="30" w:after="30" w:line="290"/>
        <w:ind w:left="180" w:right="180"/>
      </w:pPr>
      <w:r>
        <w:rPr>
          <w:rFonts w:ascii="Courier New" w:cs="Courier New" w:eastAsia="Courier New" w:hAnsi="Courier New"/>
          <w:color w:val="1F3864"/>
          <w:sz w:val="18"/>
          <w:szCs w:val="18"/>
        </w:rPr>
        <w:t xml:space="preserve">   Reduces effective feature dimensionality for high-cardinality datasets.</w:t>
      </w:r>
    </w:p>
    <w:p>
      <w:pPr>
        <w:spacing w:before="0" w:after="40"/>
      </w:pPr>
    </w:p>
    <w:p>
      <w:pPr>
        <w:shd w:fill="F2F2F2" w:val="clear"/>
        <w:spacing w:before="30" w:after="30" w:line="290"/>
        <w:ind w:left="180" w:right="180"/>
      </w:pPr>
      <w:r>
        <w:rPr>
          <w:rFonts w:ascii="Courier New" w:cs="Courier New" w:eastAsia="Courier New" w:hAnsi="Courier New"/>
          <w:color w:val="1F3864"/>
          <w:sz w:val="18"/>
          <w:szCs w:val="18"/>
        </w:rPr>
        <w:t xml:space="preserve">Growth strategy: LEAF-WISE (best-first) vs. XGBoost's LEVEL-WISE</w:t>
      </w:r>
    </w:p>
    <w:p>
      <w:pPr>
        <w:shd w:fill="F2F2F2" w:val="clear"/>
        <w:spacing w:before="30" w:after="30" w:line="290"/>
        <w:ind w:left="180" w:right="180"/>
      </w:pPr>
      <w:r>
        <w:rPr>
          <w:rFonts w:ascii="Courier New" w:cs="Courier New" w:eastAsia="Courier New" w:hAnsi="Courier New"/>
          <w:color w:val="1F3864"/>
          <w:sz w:val="18"/>
          <w:szCs w:val="18"/>
        </w:rPr>
        <w:t xml:space="preserve">  Leaf-wise: grows the leaf with maximum delta loss → deeper, more accurate trees</w:t>
      </w:r>
    </w:p>
    <w:p>
      <w:pPr>
        <w:shd w:fill="F2F2F2" w:val="clear"/>
        <w:spacing w:before="30" w:after="30" w:line="290"/>
        <w:ind w:left="180" w:right="180"/>
      </w:pPr>
      <w:r>
        <w:rPr>
          <w:rFonts w:ascii="Courier New" w:cs="Courier New" w:eastAsia="Courier New" w:hAnsi="Courier New"/>
          <w:color w:val="1F3864"/>
          <w:sz w:val="18"/>
          <w:szCs w:val="18"/>
        </w:rPr>
        <w:t xml:space="preserve">  Level-wise: grows all leaves at the same depth → more symmetric, less overfitting</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A6B5E" w:sz="8"/>
              <w:left w:val="thick" w:color="1A6B5E" w:sz="8"/>
              <w:bottom w:val="none" w:color="FFFFFF" w:sz="0"/>
              <w:right w:val="single" w:color="BBBBBB" w:sz="1"/>
            </w:tcBorders>
            <w:shd w:fill="EBF8F5" w:val="clear"/>
            <w:tcMar>
              <w:top w:type="dxa" w:w="100"/>
              <w:left w:type="dxa" w:w="180"/>
              <w:bottom w:type="dxa" w:w="0"/>
              <w:right w:type="dxa" w:w="180"/>
            </w:tcMar>
          </w:tcPr>
          <w:p>
            <w:pPr>
              <w:spacing w:before="0" w:after="0"/>
            </w:pPr>
            <w:r>
              <w:rPr>
                <w:rFonts w:ascii="Arial" w:cs="Arial" w:eastAsia="Arial" w:hAnsi="Arial"/>
                <w:b/>
                <w:bCs/>
                <w:color w:val="1A6B5E"/>
                <w:sz w:val="21"/>
                <w:szCs w:val="21"/>
              </w:rPr>
              <w:t xml:space="preserve">LightGBM Enterprise Advantage</w:t>
            </w:r>
          </w:p>
        </w:tc>
      </w:tr>
      <w:tr>
        <w:tc>
          <w:tcPr>
            <w:tcBorders>
              <w:top w:val="none"/>
              <w:left w:val="thick" w:color="1A6B5E" w:sz="8"/>
              <w:bottom w:val="single" w:color="BBBBBB" w:sz="1"/>
              <w:right w:val="single" w:color="BBBBBB" w:sz="1"/>
            </w:tcBorders>
            <w:shd w:fill="EBF8F5"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LightGBM is the preferred choice for large-scale enterprise datasets (n &gt; 1M rows) and high-cardinality categorical features. Its native categorical feature handling (optimal split finding without one-hot encoding) is critical for credit bureau data, transaction category codes (MCC), and geographic features. BNP Paribas, Société Générale, and Capital One each use LightGBM as their primary production model for high-throughput scoring pipelines.</w:t>
            </w:r>
          </w:p>
        </w:tc>
      </w:tr>
    </w:tbl>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5.3.4  CatBoost — Ordered Boosting for Categorical Features</w:t>
      </w:r>
    </w:p>
    <w:p>
      <w:pPr>
        <w:spacing w:before="60" w:after="120" w:line="360"/>
        <w:jc w:val="both"/>
      </w:pPr>
      <w:r>
        <w:rPr>
          <w:rFonts w:ascii="Arial" w:cs="Arial" w:eastAsia="Arial" w:hAnsi="Arial"/>
          <w:color w:val="1A1A1A"/>
          <w:sz w:val="21"/>
          <w:szCs w:val="21"/>
        </w:rPr>
        <w:t xml:space="preserve">CatBoost (Prokhorenkova et al., 2018) addresses target leakage in categorical feature encoding via ordered boosting — using only past observations in the sequential order to compute target statistics, preventing information from future observations contaminating earlier splits.</w:t>
      </w:r>
    </w:p>
    <w:p>
      <w:pPr>
        <w:shd w:fill="F2F2F2" w:val="clear"/>
        <w:spacing w:before="30" w:after="30" w:line="290"/>
        <w:ind w:left="180" w:right="180"/>
      </w:pPr>
      <w:r>
        <w:rPr>
          <w:rFonts w:ascii="Courier New" w:cs="Courier New" w:eastAsia="Courier New" w:hAnsi="Courier New"/>
          <w:color w:val="1F3864"/>
          <w:sz w:val="18"/>
          <w:szCs w:val="18"/>
        </w:rPr>
        <w:t xml:space="preserve">CatBoost target encoding (ordered):</w:t>
      </w:r>
    </w:p>
    <w:p>
      <w:pPr>
        <w:shd w:fill="F2F2F2" w:val="clear"/>
        <w:spacing w:before="30" w:after="30" w:line="290"/>
        <w:ind w:left="180" w:right="180"/>
      </w:pPr>
      <w:r>
        <w:rPr>
          <w:rFonts w:ascii="Courier New" w:cs="Courier New" w:eastAsia="Courier New" w:hAnsi="Courier New"/>
          <w:color w:val="1F3864"/>
          <w:sz w:val="18"/>
          <w:szCs w:val="18"/>
        </w:rPr>
        <w:t xml:space="preserve">  For observation i with category c:</w:t>
      </w:r>
    </w:p>
    <w:p>
      <w:pPr>
        <w:shd w:fill="F2F2F2" w:val="clear"/>
        <w:spacing w:before="30" w:after="30" w:line="290"/>
        <w:ind w:left="180" w:right="180"/>
      </w:pPr>
      <w:r>
        <w:rPr>
          <w:rFonts w:ascii="Courier New" w:cs="Courier New" w:eastAsia="Courier New" w:hAnsi="Courier New"/>
          <w:color w:val="1F3864"/>
          <w:sz w:val="18"/>
          <w:szCs w:val="18"/>
        </w:rPr>
        <w:t xml:space="preserve">    TE(c,i) = (Σ_{j&lt;i: x_j=c} y_j + a·P) / (|{j&lt;i: x_j=c}| + a)</w:t>
      </w:r>
    </w:p>
    <w:p>
      <w:pPr>
        <w:shd w:fill="F2F2F2" w:val="clear"/>
        <w:spacing w:before="30" w:after="30" w:line="290"/>
        <w:ind w:left="180" w:right="180"/>
      </w:pPr>
      <w:r>
        <w:rPr>
          <w:rFonts w:ascii="Courier New" w:cs="Courier New" w:eastAsia="Courier New" w:hAnsi="Courier New"/>
          <w:color w:val="1F3864"/>
          <w:sz w:val="18"/>
          <w:szCs w:val="18"/>
        </w:rPr>
        <w:t xml:space="preserve">  a = smoothing parameter (prior weight)</w:t>
      </w:r>
    </w:p>
    <w:p>
      <w:pPr>
        <w:shd w:fill="F2F2F2" w:val="clear"/>
        <w:spacing w:before="30" w:after="30" w:line="290"/>
        <w:ind w:left="180" w:right="180"/>
      </w:pPr>
      <w:r>
        <w:rPr>
          <w:rFonts w:ascii="Courier New" w:cs="Courier New" w:eastAsia="Courier New" w:hAnsi="Courier New"/>
          <w:color w:val="1F3864"/>
          <w:sz w:val="18"/>
          <w:szCs w:val="18"/>
        </w:rPr>
        <w:t xml:space="preserve">  P = global target mean (prior)</w:t>
      </w:r>
    </w:p>
    <w:p>
      <w:pPr>
        <w:spacing w:before="0" w:after="40"/>
      </w:pPr>
    </w:p>
    <w:p>
      <w:pPr>
        <w:spacing w:before="60" w:after="120" w:line="360"/>
        <w:jc w:val="both"/>
      </w:pPr>
      <w:r>
        <w:rPr>
          <w:rFonts w:ascii="Arial" w:cs="Arial" w:eastAsia="Arial" w:hAnsi="Arial"/>
          <w:color w:val="1A1A1A"/>
          <w:sz w:val="21"/>
          <w:szCs w:val="21"/>
        </w:rPr>
        <w:t xml:space="preserve">CatBoost is the recommended choice when: (a) the dataset has many high-cardinality categorical features without ordinal structure, (b) target leakage is a concern (e.g., using customer ID or transaction date features), (c) the enterprise has limited feature engineering resources.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Feature</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XGBoost</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LightGBM</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CatBoost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Split strategy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Level-wise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Leaf-wise (best-first)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Symmetric (oblivious) trees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Categorical handling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Manual encoding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Native (optimal histogram)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Native ordered target encoding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Speed (large 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Baseline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10–20× faster than XGBoost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Slower than LightGBM, faster than XGBoost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Missing values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Built-in (learns direction)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Built-in (NaN bin)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Built-in (statistics)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Regularisation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L1 (α), L2 (λ), γ (leaf)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L1, L2, min_gain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L2, model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Enterprise sweet spot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General tabular; Kaggle 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Large n, high-cardinality, NLP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High-cardinality categoricals, leakage-sensitive</w:t>
            </w:r>
          </w:p>
        </w:tc>
      </w:tr>
    </w:tbl>
    <w:p>
      <w:r>
        <w:br w:type="page"/>
      </w:r>
    </w:p>
    <w:p>
      <w:pPr>
        <w:pStyle w:val="Heading1"/>
        <w:shd w:fill="1F3864" w:val="clear"/>
        <w:spacing w:before="400" w:after="180"/>
        <w:ind w:left="180"/>
      </w:pPr>
      <w:r>
        <w:rPr>
          <w:rFonts w:ascii="Arial" w:cs="Arial" w:eastAsia="Arial" w:hAnsi="Arial"/>
          <w:b/>
          <w:bCs/>
          <w:color w:val="FFFFFF"/>
          <w:sz w:val="34"/>
          <w:szCs w:val="34"/>
        </w:rPr>
        <w:t xml:space="preserve">5.4  Stacking and Blending — Meta-Learning Strategies</w:t>
      </w:r>
    </w:p>
    <w:p>
      <w:pPr>
        <w:spacing w:before="60" w:after="120" w:line="360"/>
        <w:jc w:val="both"/>
      </w:pPr>
      <w:r>
        <w:rPr>
          <w:rFonts w:ascii="Arial" w:cs="Arial" w:eastAsia="Arial" w:hAnsi="Arial"/>
          <w:color w:val="1A1A1A"/>
          <w:sz w:val="21"/>
          <w:szCs w:val="21"/>
        </w:rPr>
        <w:t xml:space="preserve">Stacking (Wolpert, 1992) and blending combine predictions from multiple diverse base learners through a meta-learner, often achieving better performance than any single model. They are standard practice in enterprise production systems where the marginal accuracy gain justifies increased complexity.</w:t>
      </w:r>
    </w:p>
    <w:p>
      <w:pPr>
        <w:spacing w:before="0" w:after="60"/>
      </w:pPr>
    </w:p>
    <w:p>
      <w:pPr>
        <w:pBdr>
          <w:bottom w:val="single" w:color="2E75B6" w:sz="4" w:space="4"/>
        </w:pBdr>
        <w:spacing w:before="280" w:after="80"/>
      </w:pPr>
      <w:r>
        <w:rPr>
          <w:rFonts w:ascii="Arial" w:cs="Arial" w:eastAsia="Arial" w:hAnsi="Arial"/>
          <w:b/>
          <w:bCs/>
          <w:color w:val="1F3864"/>
          <w:sz w:val="26"/>
          <w:szCs w:val="26"/>
        </w:rPr>
        <w:t xml:space="preserve">5.4.1  Stacking Architecture</w:t>
      </w:r>
    </w:p>
    <w:p>
      <w:pPr>
        <w:shd w:fill="F2F2F2" w:val="clear"/>
        <w:spacing w:before="30" w:after="30" w:line="290"/>
        <w:ind w:left="180" w:right="180"/>
      </w:pPr>
      <w:r>
        <w:rPr>
          <w:rFonts w:ascii="Courier New" w:cs="Courier New" w:eastAsia="Courier New" w:hAnsi="Courier New"/>
          <w:color w:val="1F3864"/>
          <w:sz w:val="18"/>
          <w:szCs w:val="18"/>
        </w:rPr>
        <w:t xml:space="preserve">Level-0 (base learners):   XGBoost, LightGBM, RF, Logistic Regression, Ridge</w:t>
      </w:r>
    </w:p>
    <w:p>
      <w:pPr>
        <w:shd w:fill="F2F2F2" w:val="clear"/>
        <w:spacing w:before="30" w:after="30" w:line="290"/>
        <w:ind w:left="180" w:right="180"/>
      </w:pPr>
      <w:r>
        <w:rPr>
          <w:rFonts w:ascii="Courier New" w:cs="Courier New" w:eastAsia="Courier New" w:hAnsi="Courier New"/>
          <w:color w:val="1F3864"/>
          <w:sz w:val="18"/>
          <w:szCs w:val="18"/>
        </w:rPr>
        <w:t xml:space="preserve">Level-1 (meta-learner):    Logistic Regression (classification) or Ridge (regression)</w:t>
      </w:r>
    </w:p>
    <w:p>
      <w:pPr>
        <w:spacing w:before="0" w:after="30"/>
      </w:pPr>
    </w:p>
    <w:p>
      <w:pPr>
        <w:shd w:fill="F2F2F2" w:val="clear"/>
        <w:spacing w:before="30" w:after="30" w:line="290"/>
        <w:ind w:left="180" w:right="180"/>
      </w:pPr>
      <w:r>
        <w:rPr>
          <w:rFonts w:ascii="Courier New" w:cs="Courier New" w:eastAsia="Courier New" w:hAnsi="Courier New"/>
          <w:color w:val="1F3864"/>
          <w:sz w:val="18"/>
          <w:szCs w:val="18"/>
        </w:rPr>
        <w:t xml:space="preserve">Training procedure (k-fold stacking, avoids target leakage):</w:t>
      </w:r>
    </w:p>
    <w:p>
      <w:pPr>
        <w:shd w:fill="F2F2F2" w:val="clear"/>
        <w:spacing w:before="30" w:after="30" w:line="290"/>
        <w:ind w:left="180" w:right="180"/>
      </w:pPr>
      <w:r>
        <w:rPr>
          <w:rFonts w:ascii="Courier New" w:cs="Courier New" w:eastAsia="Courier New" w:hAnsi="Courier New"/>
          <w:color w:val="1F3864"/>
          <w:sz w:val="18"/>
          <w:szCs w:val="18"/>
        </w:rPr>
        <w:t xml:space="preserve">  For each fold f in k-fold CV:</w:t>
      </w:r>
    </w:p>
    <w:p>
      <w:pPr>
        <w:shd w:fill="F2F2F2" w:val="clear"/>
        <w:spacing w:before="30" w:after="30" w:line="290"/>
        <w:ind w:left="180" w:right="180"/>
      </w:pPr>
      <w:r>
        <w:rPr>
          <w:rFonts w:ascii="Courier New" w:cs="Courier New" w:eastAsia="Courier New" w:hAnsi="Courier New"/>
          <w:color w:val="1F3864"/>
          <w:sz w:val="18"/>
          <w:szCs w:val="18"/>
        </w:rPr>
        <w:t xml:space="preserve">    Train each base learner on folds \{1..k}\{f}</w:t>
      </w:r>
    </w:p>
    <w:p>
      <w:pPr>
        <w:shd w:fill="F2F2F2" w:val="clear"/>
        <w:spacing w:before="30" w:after="30" w:line="290"/>
        <w:ind w:left="180" w:right="180"/>
      </w:pPr>
      <w:r>
        <w:rPr>
          <w:rFonts w:ascii="Courier New" w:cs="Courier New" w:eastAsia="Courier New" w:hAnsi="Courier New"/>
          <w:color w:val="1F3864"/>
          <w:sz w:val="18"/>
          <w:szCs w:val="18"/>
        </w:rPr>
        <w:t xml:space="preserve">    Generate OOF predictions on fold f → meta-features</w:t>
      </w:r>
    </w:p>
    <w:p>
      <w:pPr>
        <w:shd w:fill="F2F2F2" w:val="clear"/>
        <w:spacing w:before="30" w:after="30" w:line="290"/>
        <w:ind w:left="180" w:right="180"/>
      </w:pPr>
      <w:r>
        <w:rPr>
          <w:rFonts w:ascii="Courier New" w:cs="Courier New" w:eastAsia="Courier New" w:hAnsi="Courier New"/>
          <w:color w:val="1F3864"/>
          <w:sz w:val="18"/>
          <w:szCs w:val="18"/>
        </w:rPr>
        <w:t xml:space="preserve">  Train meta-learner on OOF predictions as features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7D6608" w:sz="8"/>
              <w:left w:val="thick" w:color="7D6608" w:sz="8"/>
              <w:bottom w:val="none" w:color="FFFFFF" w:sz="0"/>
              <w:right w:val="single" w:color="BBBBBB" w:sz="1"/>
            </w:tcBorders>
            <w:shd w:fill="FEF9E7" w:val="clear"/>
            <w:tcMar>
              <w:top w:type="dxa" w:w="100"/>
              <w:left w:type="dxa" w:w="180"/>
              <w:bottom w:type="dxa" w:w="0"/>
              <w:right w:type="dxa" w:w="180"/>
            </w:tcMar>
          </w:tcPr>
          <w:p>
            <w:pPr>
              <w:spacing w:before="0" w:after="0"/>
            </w:pPr>
            <w:r>
              <w:rPr>
                <w:rFonts w:ascii="Arial" w:cs="Arial" w:eastAsia="Arial" w:hAnsi="Arial"/>
                <w:b/>
                <w:bCs/>
                <w:color w:val="7D6608"/>
                <w:sz w:val="21"/>
                <w:szCs w:val="21"/>
              </w:rPr>
              <w:t xml:space="preserve">⚠️  Stacking Regulatory Caution</w:t>
            </w:r>
          </w:p>
        </w:tc>
      </w:tr>
      <w:tr>
        <w:tc>
          <w:tcPr>
            <w:tcBorders>
              <w:top w:val="none"/>
              <w:left w:val="thick" w:color="7D6608" w:sz="8"/>
              <w:bottom w:val="single" w:color="BBBBBB" w:sz="1"/>
              <w:right w:val="single" w:color="BBBBBB" w:sz="1"/>
            </w:tcBorders>
            <w:shd w:fill="FEF9E7"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Stacking increases model complexity and reduces individual model interpretability. Under EU AI Act Annex III (high-risk applications), stacked ensembles require SHAP decomposition at the level of the final stacked prediction, not just the base learners. EBA GL/2020/06 model validation requires documentation of each layer's architecture and contribution. Stacking is generally reserved for non-real-time batch scoring (overnight re-scoring) rather than real-time decisions.</w:t>
            </w:r>
          </w:p>
        </w:tc>
      </w:tr>
    </w:tbl>
    <w:p>
      <w:r>
        <w:br w:type="page"/>
      </w:r>
    </w:p>
    <w:p>
      <w:pPr>
        <w:pStyle w:val="Heading1"/>
        <w:shd w:fill="1F3864" w:val="clear"/>
        <w:spacing w:before="400" w:after="180"/>
        <w:ind w:left="180"/>
      </w:pPr>
      <w:r>
        <w:rPr>
          <w:rFonts w:ascii="Arial" w:cs="Arial" w:eastAsia="Arial" w:hAnsi="Arial"/>
          <w:b/>
          <w:bCs/>
          <w:color w:val="FFFFFF"/>
          <w:sz w:val="34"/>
          <w:szCs w:val="34"/>
        </w:rPr>
        <w:t xml:space="preserve">5.5  Feature Importance Methods for Tree Ensembles</w:t>
      </w:r>
    </w:p>
    <w:p>
      <w:pPr>
        <w:spacing w:before="60" w:after="120" w:line="360"/>
        <w:jc w:val="both"/>
      </w:pPr>
      <w:r>
        <w:rPr>
          <w:rFonts w:ascii="Arial" w:cs="Arial" w:eastAsia="Arial" w:hAnsi="Arial"/>
          <w:color w:val="1A1A1A"/>
          <w:sz w:val="21"/>
          <w:szCs w:val="21"/>
        </w:rPr>
        <w:t xml:space="preserve">Feature importance is a critical enterprise requirement — regulators, model validators, and business stakeholders need to understand which features drive predictions and why. Three methods are available for tree-based models, each with distinct properties and limitations.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100"/>
        <w:gridCol w:w="900"/>
        <w:gridCol w:w="2760"/>
      </w:tblGrid>
      <w:tr>
        <w:tc>
          <w:tcPr>
            <w:tcW w:type="dxa" w:w="18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Method</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Definition</w:t>
            </w:r>
          </w:p>
        </w:tc>
        <w:tc>
          <w:tcPr>
            <w:tcW w:type="dxa" w:w="11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Bias</w:t>
            </w:r>
          </w:p>
        </w:tc>
        <w:tc>
          <w:tcPr>
            <w:tcW w:type="dxa" w:w="9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Speed</w:t>
            </w:r>
          </w:p>
        </w:tc>
        <w:tc>
          <w:tcPr>
            <w:tcW w:type="dxa" w:w="276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Enterprise Recommendation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MDI (Mean Decrease Impurity)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Sum of impurity reduction weighted by node sample fraction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High — favours high-cardinality and continuous features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Very fast (built-in)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Do NOT use for regulatory documentation — biased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Permutation Importance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Drop in model metric when feature j is randomly permuted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Low — model-agnostic, validation-set based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Moderate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Use for EBA/OCC validation reports — honest estimate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SHAP TreeExplainer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Exact Shapley values decomposed at individual prediction level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None — theoretically grounded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Fast (polynomial vs. exponential for KernelSHAP)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Mandatory for EU AI Act Annex III, GDPR Art. 22, OCC SR 11-7</w:t>
            </w:r>
          </w:p>
        </w:tc>
      </w:tr>
    </w:tbl>
    <w:p>
      <w:pPr>
        <w:spacing w:before="0" w:after="80"/>
      </w:pPr>
    </w:p>
    <w:p>
      <w:pPr>
        <w:pBdr>
          <w:bottom w:val="single" w:color="2E75B6" w:sz="4" w:space="4"/>
        </w:pBdr>
        <w:spacing w:before="280" w:after="80"/>
      </w:pPr>
      <w:r>
        <w:rPr>
          <w:rFonts w:ascii="Arial" w:cs="Arial" w:eastAsia="Arial" w:hAnsi="Arial"/>
          <w:b/>
          <w:bCs/>
          <w:color w:val="1F3864"/>
          <w:sz w:val="26"/>
          <w:szCs w:val="26"/>
        </w:rPr>
        <w:t xml:space="preserve">5.5.1  SHAP TreeExplainer — Enterprise Standard</w:t>
      </w:r>
    </w:p>
    <w:p>
      <w:pPr>
        <w:shd w:fill="F2F2F2" w:val="clear"/>
        <w:spacing w:before="30" w:after="30" w:line="290"/>
        <w:ind w:left="180" w:right="180"/>
      </w:pPr>
      <w:r>
        <w:rPr>
          <w:rFonts w:ascii="Courier New" w:cs="Courier New" w:eastAsia="Courier New" w:hAnsi="Courier New"/>
          <w:color w:val="1F3864"/>
          <w:sz w:val="18"/>
          <w:szCs w:val="18"/>
        </w:rPr>
        <w:t xml:space="preserve">SHAP value for feature j and observation x:</w:t>
      </w:r>
    </w:p>
    <w:p>
      <w:pPr>
        <w:shd w:fill="F2F2F2" w:val="clear"/>
        <w:spacing w:before="30" w:after="30" w:line="290"/>
        <w:ind w:left="180" w:right="180"/>
      </w:pPr>
      <w:r>
        <w:rPr>
          <w:rFonts w:ascii="Courier New" w:cs="Courier New" w:eastAsia="Courier New" w:hAnsi="Courier New"/>
          <w:color w:val="1F3864"/>
          <w:sz w:val="18"/>
          <w:szCs w:val="18"/>
        </w:rPr>
        <w:t xml:space="preserve">  φ_j(x) = Σ_{S⊆F\{j}} [|S|!(|F|−|S|−1)!/|F|!] · [f(S∪{j}) − f(S)]</w:t>
      </w:r>
    </w:p>
    <w:p>
      <w:pPr>
        <w:spacing w:before="0" w:after="30"/>
      </w:pPr>
    </w:p>
    <w:p>
      <w:pPr>
        <w:shd w:fill="F2F2F2" w:val="clear"/>
        <w:spacing w:before="30" w:after="30" w:line="290"/>
        <w:ind w:left="180" w:right="180"/>
      </w:pPr>
      <w:r>
        <w:rPr>
          <w:rFonts w:ascii="Courier New" w:cs="Courier New" w:eastAsia="Courier New" w:hAnsi="Courier New"/>
          <w:color w:val="1F3864"/>
          <w:sz w:val="18"/>
          <w:szCs w:val="18"/>
        </w:rPr>
        <w:t xml:space="preserve">Desirable properties guaranteed by SHAP:</w:t>
      </w:r>
    </w:p>
    <w:p>
      <w:pPr>
        <w:shd w:fill="F2F2F2" w:val="clear"/>
        <w:spacing w:before="30" w:after="30" w:line="290"/>
        <w:ind w:left="180" w:right="180"/>
      </w:pPr>
      <w:r>
        <w:rPr>
          <w:rFonts w:ascii="Courier New" w:cs="Courier New" w:eastAsia="Courier New" w:hAnsi="Courier New"/>
          <w:color w:val="1F3864"/>
          <w:sz w:val="18"/>
          <w:szCs w:val="18"/>
        </w:rPr>
        <w:t xml:space="preserve">  • Efficiency:   Σ_j φ_j(x) = f(x) − E[f(x)]   (prediction = sum of contributions)</w:t>
      </w:r>
    </w:p>
    <w:p>
      <w:pPr>
        <w:shd w:fill="F2F2F2" w:val="clear"/>
        <w:spacing w:before="30" w:after="30" w:line="290"/>
        <w:ind w:left="180" w:right="180"/>
      </w:pPr>
      <w:r>
        <w:rPr>
          <w:rFonts w:ascii="Courier New" w:cs="Courier New" w:eastAsia="Courier New" w:hAnsi="Courier New"/>
          <w:color w:val="1F3864"/>
          <w:sz w:val="18"/>
          <w:szCs w:val="18"/>
        </w:rPr>
        <w:t xml:space="preserve">  • Symmetry:     Equal features get equal SHAP values</w:t>
      </w:r>
    </w:p>
    <w:p>
      <w:pPr>
        <w:shd w:fill="F2F2F2" w:val="clear"/>
        <w:spacing w:before="30" w:after="30" w:line="290"/>
        <w:ind w:left="180" w:right="180"/>
      </w:pPr>
      <w:r>
        <w:rPr>
          <w:rFonts w:ascii="Courier New" w:cs="Courier New" w:eastAsia="Courier New" w:hAnsi="Courier New"/>
          <w:color w:val="1F3864"/>
          <w:sz w:val="18"/>
          <w:szCs w:val="18"/>
        </w:rPr>
        <w:t xml:space="preserve">  • Dummy:        Irrelevant features have SHAP = 0</w:t>
      </w:r>
    </w:p>
    <w:p>
      <w:pPr>
        <w:shd w:fill="F2F2F2" w:val="clear"/>
        <w:spacing w:before="30" w:after="30" w:line="290"/>
        <w:ind w:left="180" w:right="180"/>
      </w:pPr>
      <w:r>
        <w:rPr>
          <w:rFonts w:ascii="Courier New" w:cs="Courier New" w:eastAsia="Courier New" w:hAnsi="Courier New"/>
          <w:color w:val="1F3864"/>
          <w:sz w:val="18"/>
          <w:szCs w:val="18"/>
        </w:rPr>
        <w:t xml:space="preserve">  • Additivity:   SHAP of ensemble = sum of SHAPs of members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8"/>
              <w:left w:val="thick" w:color="2E75B6" w:sz="8"/>
              <w:bottom w:val="none" w:color="FFFFFF" w:sz="0"/>
              <w:right w:val="single" w:color="BBBBBB" w:sz="1"/>
            </w:tcBorders>
            <w:shd w:fill="D6E4F0" w:val="clear"/>
            <w:tcMar>
              <w:top w:type="dxa" w:w="100"/>
              <w:left w:type="dxa" w:w="180"/>
              <w:bottom w:type="dxa" w:w="0"/>
              <w:right w:type="dxa" w:w="180"/>
            </w:tcMar>
          </w:tcPr>
          <w:p>
            <w:pPr>
              <w:spacing w:before="0" w:after="0"/>
            </w:pPr>
            <w:r>
              <w:rPr>
                <w:rFonts w:ascii="Arial" w:cs="Arial" w:eastAsia="Arial" w:hAnsi="Arial"/>
                <w:b/>
                <w:bCs/>
                <w:color w:val="2E75B6"/>
                <w:sz w:val="21"/>
                <w:szCs w:val="21"/>
              </w:rPr>
              <w:t xml:space="preserve">SHAP Regulatory Standard</w:t>
            </w:r>
          </w:p>
        </w:tc>
      </w:tr>
      <w:tr>
        <w:tc>
          <w:tcPr>
            <w:tcBorders>
              <w:top w:val="none"/>
              <w:left w:val="thick" w:color="2E75B6" w:sz="8"/>
              <w:bottom w:val="single" w:color="BBBBBB" w:sz="1"/>
              <w:right w:val="single" w:color="BBBBBB" w:sz="1"/>
            </w:tcBorders>
            <w:shd w:fill="D6E4F0"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EU AI Act (2024) Annex III high-risk AI systems in credit, insurance, employment, and healthcare require 'sufficient transparency for human oversight.' SHAP values are the industry-accepted technical implementation of this requirement. OCC SR 11-7 and EBA GL/2020/06 model validation documentation increasingly requires SHAP global feature importance plots and individual SHAP waterfall explanations for adverse decisions. As of 2024, SHAP is considered the gold standard for tree-based model explainability across all major regulated markets.</w:t>
            </w:r>
          </w:p>
        </w:tc>
      </w:tr>
    </w:tbl>
    <w:p>
      <w:r>
        <w:br w:type="page"/>
      </w:r>
    </w:p>
    <w:p>
      <w:pPr>
        <w:pStyle w:val="Heading1"/>
        <w:shd w:fill="1F3864" w:val="clear"/>
        <w:spacing w:before="400" w:after="180"/>
        <w:ind w:left="180"/>
      </w:pPr>
      <w:r>
        <w:rPr>
          <w:rFonts w:ascii="Arial" w:cs="Arial" w:eastAsia="Arial" w:hAnsi="Arial"/>
          <w:b/>
          <w:bCs/>
          <w:color w:val="FFFFFF"/>
          <w:sz w:val="34"/>
          <w:szCs w:val="34"/>
        </w:rPr>
        <w:t xml:space="preserve">5.6  Hyperparameter Tuning — Enterprise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400"/>
        <w:gridCol w:w="13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Hyperparameter</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RF</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XGBoost / LightGBM</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Effect</w:t>
            </w:r>
          </w:p>
        </w:tc>
        <w:tc>
          <w:tcPr>
            <w:tcW w:type="dxa" w:w="136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n_estimators / num_rounds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100–1000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500–5000 (early stopping)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More trees → lower variance; diminishing returns after ~500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max_depth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None (fully grown) or 10–20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3–8 (shallower = less overfit)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Controls individual tree complexity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learning_rate (η)</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0.01–0.3 (lower = better with more trees)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Shrinkage — smaller η + more trees = better generalisation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High (GBM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min_samples_leaf / min_child_weight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5–50 (absolute) or 0.5–2% of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1–20 (XGB Hessian sum)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Minimum leaf size — prevents high-variance small leaves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max_features / colsample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sqrt(p) or 0.5–0.8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0.5–0.8 (colsample_bytree)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Feature randomness — reduces inter-tree correlation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subsample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1.0 (bagging=off)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0.7–0.9 (stochastic GBM)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Row subsampling — regularisation + speed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reg_alpha / reg_lambda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0.1–10 (L1 / L2)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Leaf weight regularisation — prevents extreme leaf values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gamma / min_split_gain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0.0–5.0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Minimum gain to make a split — aggressive pruning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Low–Medium</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8"/>
              <w:left w:val="thick" w:color="2E75B6" w:sz="8"/>
              <w:bottom w:val="none" w:color="FFFFFF" w:sz="0"/>
              <w:right w:val="single" w:color="BBBBBB" w:sz="1"/>
            </w:tcBorders>
            <w:shd w:fill="D6E4F0" w:val="clear"/>
            <w:tcMar>
              <w:top w:type="dxa" w:w="100"/>
              <w:left w:type="dxa" w:w="180"/>
              <w:bottom w:type="dxa" w:w="0"/>
              <w:right w:type="dxa" w:w="180"/>
            </w:tcMar>
          </w:tcPr>
          <w:p>
            <w:pPr>
              <w:spacing w:before="0" w:after="0"/>
            </w:pPr>
            <w:r>
              <w:rPr>
                <w:rFonts w:ascii="Arial" w:cs="Arial" w:eastAsia="Arial" w:hAnsi="Arial"/>
                <w:b/>
                <w:bCs/>
                <w:color w:val="2E75B6"/>
                <w:sz w:val="21"/>
                <w:szCs w:val="21"/>
              </w:rPr>
              <w:t xml:space="preserve">Enterprise Tuning Strategy</w:t>
            </w:r>
          </w:p>
        </w:tc>
      </w:tr>
      <w:tr>
        <w:tc>
          <w:tcPr>
            <w:tcBorders>
              <w:top w:val="none"/>
              <w:left w:val="thick" w:color="2E75B6" w:sz="8"/>
              <w:bottom w:val="single" w:color="BBBBBB" w:sz="1"/>
              <w:right w:val="single" w:color="BBBBBB" w:sz="1"/>
            </w:tcBorders>
            <w:shd w:fill="D6E4F0"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1. Start with reasonable defaults (XGBoost: n_estimators=1000, learning_rate=0.05, max_depth=6, subsample=0.8). 2. Use early stopping on a validation set (saves tuning time). 3. Tune learning_rate and n_estimators first (biggest impact). 4. Then tune max_depth and min_child_weight. 5. Fine-tune subsample and colsample_bytree. 6. Use Bayesian optimisation (Optuna/Hyperopt) for final search — 3–5× more efficient than grid search. 7. Document the full tuning process for EBA/OCC model validation reports.</w:t>
            </w:r>
          </w:p>
        </w:tc>
      </w:tr>
    </w:tbl>
    <w:p>
      <w:r>
        <w:br w:type="page"/>
      </w:r>
    </w:p>
    <w:p>
      <w:pPr>
        <w:pStyle w:val="Heading1"/>
        <w:shd w:fill="1F3864" w:val="clear"/>
        <w:spacing w:before="400" w:after="180"/>
        <w:ind w:left="180"/>
      </w:pPr>
      <w:r>
        <w:rPr>
          <w:rFonts w:ascii="Arial" w:cs="Arial" w:eastAsia="Arial" w:hAnsi="Arial"/>
          <w:b/>
          <w:bCs/>
          <w:color w:val="FFFFFF"/>
          <w:sz w:val="34"/>
          <w:szCs w:val="34"/>
        </w:rPr>
        <w:t xml:space="preserve">5.7  Model Validation Framework — EBA / OSFI / OCC</w:t>
      </w:r>
    </w:p>
    <w:p>
      <w:pPr>
        <w:spacing w:before="60" w:after="120" w:line="360"/>
        <w:jc w:val="both"/>
      </w:pPr>
      <w:r>
        <w:rPr>
          <w:rFonts w:ascii="Arial" w:cs="Arial" w:eastAsia="Arial" w:hAnsi="Arial"/>
          <w:color w:val="1A1A1A"/>
          <w:sz w:val="21"/>
          <w:szCs w:val="21"/>
        </w:rPr>
        <w:t xml:space="preserve">Tree-based ensemble models require the same validation rigour as linear models, plus additional checks for complexity and stability that arise from their non-parametric nature.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0"/>
        <w:gridCol w:w="306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Validation Step</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Metric / Test</w:t>
            </w:r>
          </w:p>
        </w:tc>
        <w:tc>
          <w:tcPr>
            <w:tcW w:type="dxa" w:w="210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Threshold</w:t>
            </w:r>
          </w:p>
        </w:tc>
        <w:tc>
          <w:tcPr>
            <w:tcW w:type="dxa" w:w="3060"/>
            <w:tcBorders>
              <w:top w:val="single" w:color="1F3864" w:sz="1"/>
              <w:left w:val="single" w:color="1F3864" w:sz="1"/>
              <w:bottom w:val="single" w:color="1F3864" w:sz="1"/>
              <w:right w:val="single" w:color="1F3864" w:sz="1"/>
            </w:tcBorders>
            <w:shd w:fill="1F3864" w:val="clear"/>
            <w:tcMar>
              <w:top w:type="dxa" w:w="100"/>
              <w:left w:type="dxa" w:w="110"/>
              <w:bottom w:type="dxa" w:w="100"/>
              <w:right w:type="dxa" w:w="80"/>
            </w:tcMar>
          </w:tcPr>
          <w:p>
            <w:r>
              <w:rPr>
                <w:rFonts w:ascii="Arial" w:cs="Arial" w:eastAsia="Arial" w:hAnsi="Arial"/>
                <w:b/>
                <w:bCs/>
                <w:color w:val="FFFFFF"/>
                <w:sz w:val="18"/>
                <w:szCs w:val="18"/>
              </w:rPr>
              <w:t xml:space="preserve">Regulatory Basis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Out-of-sample performance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AUC-ROC, Gini, KS, RMSE on holdout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AUC &gt; 0.80 fraud; Gini &gt; 0.40 credit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OCC SR 11-7, EBA GL/2020/06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Out-of-time stability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OOT Gini vs. in-time Gini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Degradation &lt; 5pp acceptable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EBA GL/2020/06, OSFI E-23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PSI (score distribution)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Population Stability Index</w:t>
            </w:r>
          </w:p>
        </w:tc>
        <w:tc>
          <w:tcPr>
            <w:tcW w:type="dxa" w:w="21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PSI &lt; 0.10 stable; &gt; 0.25 = redevelop</w:t>
            </w:r>
          </w:p>
        </w:tc>
        <w:tc>
          <w:tcPr>
            <w:tcW w:type="dxa" w:w="30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EBA GL/2020/06 Section 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Feature importance audit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SHAP global + local waterfall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All top-20 features: documented business rationale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EU AI Act Annex IV, OCC SR 11-7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Fairness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Disparate impact ratio, EOD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DI ratio &gt; 0.80 (US 4/5 rule); EOD &lt; 0.05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ECOA, CFPB, EU AI Act Article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Calibration (classification)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Hosmer-Lemeshow, reliability diagram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p-value &gt; 0.05 = well-calibrated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IFRS 9, EBA GL/2020/06, OSFI E-23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Overfitting check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Train vs. OOB vs. test metric gap</w:t>
            </w:r>
          </w:p>
        </w:tc>
        <w:tc>
          <w:tcPr>
            <w:tcW w:type="dxa" w:w="21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Train−test AUC gap &lt; 3pp acceptable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OCC SR 11-7 model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Learning curve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Performance vs. training set size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Converging curves = sufficient data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80"/>
            </w:tcMar>
          </w:tcPr>
          <w:p>
            <w:pPr>
              <w:spacing w:before="0" w:after="0"/>
              <w:jc w:val="both"/>
            </w:pPr>
            <w:r>
              <w:rPr>
                <w:rFonts w:ascii="Arial" w:cs="Arial" w:eastAsia="Arial" w:hAnsi="Arial"/>
                <w:color w:val="2A2A2A"/>
                <w:sz w:val="18"/>
                <w:szCs w:val="18"/>
              </w:rPr>
              <w:t xml:space="preserve">Model development best practice</w:t>
            </w:r>
          </w:p>
        </w:tc>
      </w:tr>
    </w:tbl>
    <w:p>
      <w:r>
        <w:br w:type="page"/>
      </w:r>
    </w:p>
    <w:p>
      <w:pPr>
        <w:pStyle w:val="Heading1"/>
        <w:shd w:fill="1F3864" w:val="clear"/>
        <w:spacing w:before="400" w:after="180"/>
        <w:ind w:left="180"/>
      </w:pPr>
      <w:r>
        <w:rPr>
          <w:rFonts w:ascii="Arial" w:cs="Arial" w:eastAsia="Arial" w:hAnsi="Arial"/>
          <w:b/>
          <w:bCs/>
          <w:color w:val="FFFFFF"/>
          <w:sz w:val="34"/>
          <w:szCs w:val="34"/>
        </w:rPr>
        <w:t xml:space="preserve">5.8  Enterprise Case Studies — 10 Organisations Across Europe and North America</w:t>
      </w:r>
    </w:p>
    <w:p>
      <w:pPr>
        <w:spacing w:before="60" w:after="120" w:line="360"/>
        <w:jc w:val="both"/>
      </w:pPr>
      <w:r>
        <w:rPr>
          <w:rFonts w:ascii="Arial" w:cs="Arial" w:eastAsia="Arial" w:hAnsi="Arial"/>
          <w:color w:val="1A1A1A"/>
          <w:sz w:val="21"/>
          <w:szCs w:val="21"/>
        </w:rPr>
        <w:t xml:space="preserve">Ten case studies demonstrating Random Forests, XGBoost, LightGBM, and CatBoost in production regulated environments across 5 European and 5 North American organisations.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1 — UNITED KINGDOM — EUROPE</w:t>
            </w:r>
          </w:p>
          <w:p>
            <w:pPr>
              <w:spacing w:before="0" w:after="0"/>
            </w:pPr>
            <w:r>
              <w:rPr>
                <w:rFonts w:ascii="Arial" w:cs="Arial" w:eastAsia="Arial" w:hAnsi="Arial"/>
                <w:b/>
                <w:bCs/>
                <w:color w:val="FFFFFF"/>
                <w:sz w:val="26"/>
                <w:szCs w:val="26"/>
              </w:rPr>
              <w:t xml:space="preserve">HSBC plc</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United Kingdom — Europe</w:t>
            </w:r>
          </w:p>
          <w:p>
            <w:pPr>
              <w:spacing w:before="0" w:after="0"/>
              <w:jc w:val="center"/>
            </w:pPr>
            <w:r>
              <w:rPr>
                <w:rFonts w:ascii="Arial" w:cs="Arial" w:eastAsia="Arial" w:hAnsi="Arial"/>
                <w:color w:val="AED6F1"/>
                <w:sz w:val="15"/>
                <w:szCs w:val="15"/>
              </w:rPr>
              <w:t xml:space="preserve">Retail &amp; Wholesale Banking | Random Forest Real-Time Fraud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HSBC plc, London — one of the world's largest banks ($3.0T total assets), serving 42M+ customers across 64 countries. UK retail bank regulated by PRA/FCA; subject to PRA SS1/23, FCA Consumer Duty, EU AMLD6 (for EU branches), and OCC SR 11-7 (US operations).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Binary classification: real-time payment fraud detection across HSBC's UK current account portfolio (£280B+ annual payment volume). Fraud rate ≈ 0.04% — severe class imbalance. Latency constraint: &lt; 50ms inference.</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Random Forest ensemble (B=500 trees) with class-weighted training (w_fraud=25). Feature-weighted RF: each transaction scored against a customer-specific behavioural baseline. Two-stage: (1) RF real-time score, (2) LightGBM batch nightly re-scoring with wider feature set.</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Transaction velocity (1h/4h/24h windows), merchant category risk (MCC tier), geographic anomaly score (haversine from home postcode centroid), device fingerprint change flag, time-since-last-transaction, payee risk score (network-based), amount deviation z-score vs. 90-day customer baseline.</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Loss Function</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Class-weighted binary cross-entropy (w_fraud=25.0). Sampling strategy: SMOTE oversampling during training. Threshold calibrated via precision-recall curve optimised for 95% recall (FCA regulatory minimum for SAR-triggering fraud).</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FCA Consumer Duty (2023): fraud detection must not disproportionately block legitimate transactions for vulnerable customers — monthly fairness analysis by customer segment. PRA SS1/23 model risk management. UK Payment Systems Regulator (PSR) APP fraud reimbursement rules. GDPR Art. 22: automated transaction blocking triggers explanation rights.</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Fraud detection rate: 91% (vs. 84% prior rule-based system). False positive rate: 0.8% (legitimate transactions blocked). Annual fraud losses prevented: £340M. PSR reimbursement liability reduced by 38% following deployment.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91%</w:t>
            </w:r>
          </w:p>
          <w:p>
            <w:pPr>
              <w:spacing w:before="0" w:after="0"/>
              <w:jc w:val="center"/>
            </w:pPr>
            <w:r>
              <w:rPr>
                <w:rFonts w:ascii="Arial" w:cs="Arial" w:eastAsia="Arial" w:hAnsi="Arial"/>
                <w:color w:val="AED6F1"/>
                <w:sz w:val="15"/>
                <w:szCs w:val="15"/>
              </w:rPr>
              <w:t xml:space="preserve">Fraud detection rate</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0.8%</w:t>
            </w:r>
          </w:p>
          <w:p>
            <w:pPr>
              <w:spacing w:before="0" w:after="0"/>
              <w:jc w:val="center"/>
            </w:pPr>
            <w:r>
              <w:rPr>
                <w:rFonts w:ascii="Arial" w:cs="Arial" w:eastAsia="Arial" w:hAnsi="Arial"/>
                <w:color w:val="AED6F1"/>
                <w:sz w:val="15"/>
                <w:szCs w:val="15"/>
              </w:rPr>
              <w:t xml:space="preserve">False positive rate</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£340M</w:t>
            </w:r>
          </w:p>
          <w:p>
            <w:pPr>
              <w:spacing w:before="0" w:after="0"/>
              <w:jc w:val="center"/>
            </w:pPr>
            <w:r>
              <w:rPr>
                <w:rFonts w:ascii="Arial" w:cs="Arial" w:eastAsia="Arial" w:hAnsi="Arial"/>
                <w:color w:val="AED6F1"/>
                <w:sz w:val="15"/>
                <w:szCs w:val="15"/>
              </w:rPr>
              <w:t xml:space="preserve">Annual fraud losses prevented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2 — GERMANY — EUROPE</w:t>
            </w:r>
          </w:p>
          <w:p>
            <w:pPr>
              <w:spacing w:before="0" w:after="0"/>
            </w:pPr>
            <w:r>
              <w:rPr>
                <w:rFonts w:ascii="Arial" w:cs="Arial" w:eastAsia="Arial" w:hAnsi="Arial"/>
                <w:b/>
                <w:bCs/>
                <w:color w:val="FFFFFF"/>
                <w:sz w:val="26"/>
                <w:szCs w:val="26"/>
              </w:rPr>
              <w:t xml:space="preserve">Allianz SE</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Germany — Europe</w:t>
            </w:r>
          </w:p>
          <w:p>
            <w:pPr>
              <w:spacing w:before="0" w:after="0"/>
              <w:jc w:val="center"/>
            </w:pPr>
            <w:r>
              <w:rPr>
                <w:rFonts w:ascii="Arial" w:cs="Arial" w:eastAsia="Arial" w:hAnsi="Arial"/>
                <w:color w:val="AED6F1"/>
                <w:sz w:val="15"/>
                <w:szCs w:val="15"/>
              </w:rPr>
              <w:t xml:space="preserve">Insurance | XGBoost Motor Insurance Telematics Pricing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Allianz SE, Munich — world's largest insurance group by revenue (€161B, 2023). German motor insurance division supervised by BaFin; subject to Solvency II, EU GDPR, and EU Gender Directive (no gender pricing in EU motor insurance since 2012).</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Regression (two-stage GLM + GBM): (1) XGBoost frequency model — predict number of claims per policy year. (2) Gamma GLM severity model — predict average claim cost given a claim. Pure premium = frequency × severity, used for individual risk pricing.</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XGBoost (n_estimators=800, max_depth=5, learning_rate=0.05, subsample=0.8) for frequency model with Poisson loss (log link). Features: telematics-derived driving behaviour scores (harsh braking, acceleration, speed over limit, night driving ratio), vehicle type, age, postal risk zone, no-claims discount tier, annual kilometres.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Loss Function</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XGBoost with Poisson deviance loss: L = 2·Σ[y·log(y/ŷ) − (y−ŷ)]. Preserves frequency's non-negative, count-distributed nature. LightGBM tested — XGBoost chosen for superior Poisson loss implementation and BaFin-required coefficient stability over economic cycles.</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BaFin: internal model validation required for Solvency II Standard Formula calibration. EU Gender Directive compliance enforced — gender explicitly excluded from feature set; age use restricted per EIOPA guidance. GDPR Art. 6(1)(b): telematics data processing under contractual necessity; consent withdrawn = revert to standard pricing.</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Loss ratio improvement: −3.1pp across German motor book (from 71.2% to 68.1%). Pricing Gini: 0.38 (vs. 0.29 for prior GLM-only approach). Telematics customers: 22% lower claim frequency than equivalent non-telematics cohort.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−3.1pp</w:t>
            </w:r>
          </w:p>
          <w:p>
            <w:pPr>
              <w:spacing w:before="0" w:after="0"/>
              <w:jc w:val="center"/>
            </w:pPr>
            <w:r>
              <w:rPr>
                <w:rFonts w:ascii="Arial" w:cs="Arial" w:eastAsia="Arial" w:hAnsi="Arial"/>
                <w:color w:val="AED6F1"/>
                <w:sz w:val="15"/>
                <w:szCs w:val="15"/>
              </w:rPr>
              <w:t xml:space="preserve">Loss ratio improvement</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0.38</w:t>
            </w:r>
          </w:p>
          <w:p>
            <w:pPr>
              <w:spacing w:before="0" w:after="0"/>
              <w:jc w:val="center"/>
            </w:pPr>
            <w:r>
              <w:rPr>
                <w:rFonts w:ascii="Arial" w:cs="Arial" w:eastAsia="Arial" w:hAnsi="Arial"/>
                <w:color w:val="AED6F1"/>
                <w:sz w:val="15"/>
                <w:szCs w:val="15"/>
              </w:rPr>
              <w:t xml:space="preserve">Pricing Gini (vs. 0.29 prior)</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−22%</w:t>
            </w:r>
          </w:p>
          <w:p>
            <w:pPr>
              <w:spacing w:before="0" w:after="0"/>
              <w:jc w:val="center"/>
            </w:pPr>
            <w:r>
              <w:rPr>
                <w:rFonts w:ascii="Arial" w:cs="Arial" w:eastAsia="Arial" w:hAnsi="Arial"/>
                <w:color w:val="AED6F1"/>
                <w:sz w:val="15"/>
                <w:szCs w:val="15"/>
              </w:rPr>
              <w:t xml:space="preserve">Telematics claim frequency</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3 — FRANCE — EUROPE</w:t>
            </w:r>
          </w:p>
          <w:p>
            <w:pPr>
              <w:spacing w:before="0" w:after="0"/>
            </w:pPr>
            <w:r>
              <w:rPr>
                <w:rFonts w:ascii="Arial" w:cs="Arial" w:eastAsia="Arial" w:hAnsi="Arial"/>
                <w:b/>
                <w:bCs/>
                <w:color w:val="FFFFFF"/>
                <w:sz w:val="26"/>
                <w:szCs w:val="26"/>
              </w:rPr>
              <w:t xml:space="preserve">Crédit Agricole</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France — Europe</w:t>
            </w:r>
          </w:p>
          <w:p>
            <w:pPr>
              <w:spacing w:before="0" w:after="0"/>
              <w:jc w:val="center"/>
            </w:pPr>
            <w:r>
              <w:rPr>
                <w:rFonts w:ascii="Arial" w:cs="Arial" w:eastAsia="Arial" w:hAnsi="Arial"/>
                <w:color w:val="AED6F1"/>
                <w:sz w:val="15"/>
                <w:szCs w:val="15"/>
              </w:rPr>
              <w:t xml:space="preserve">Retail Banking | LightGBM Credit Default Scoring (IFRS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Crédit Agricole SA, Paris — France's largest retail bank (€2.2T total assets, 52M customers across Europe). Regulated by ACPR and subject to ECB SSM SREP, EBA GL/2020/06, IFRS 9, and EU AI Act. France's largest agricultural and SME lender.</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Binary classification: 12-month probability of default (PD) for retail and SME credit portfolio — 9.4M exposures. Feeds IFRS 9 Stage 1/2/3 allocation and Expected Credit Loss (ECL) calculation. Separate models for retail (individuals) and SME segments.</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LightGBM (n_estimators=1500, max_depth=7, learning_rate=0.03, num_leaves=63, colsample_bytree=0.7) with logistic objective. Chosen over XGBoost for 40% faster training on 9.4M exposure dataset with 180 features. Logistic regression scorecard maintained as the EBA-mandated regulatory baseline — LightGBM acts as the production champion model.</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Banque de France FIBAN credit bureau data, PSD2 open banking transaction features (cash flow volatility, payroll regularity), INSEE regional unemployment, French housing price index, ECB monetary policy indicators, internal behavioural features (overdraft frequency, direct debit failures), relationship tenure.</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EBA GL/2020/06: LightGBM model validated against logistic baseline (Gini gap &lt; 5pp before switching). ACPR model examination: SHAP global importance documented for all 180 features; top 20 features require written economic justification. IFRS 9: backtesting shows predicted PD within 0.15% of actual default rate by rating grade (ECB SSM tolerance: 0.25%).</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Gini coefficient: 0.74 (LightGBM) vs. 0.61 (logistic scorecard baseline). IFRS 9 ECL accuracy: actual vs. predicted within 6% at portfolio level. Stage 2 migration precision: 78% (vs. 64% logistic baseline). Annual ECL provisioning error reduced by €180M.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0.74</w:t>
            </w:r>
          </w:p>
          <w:p>
            <w:pPr>
              <w:spacing w:before="0" w:after="0"/>
              <w:jc w:val="center"/>
            </w:pPr>
            <w:r>
              <w:rPr>
                <w:rFonts w:ascii="Arial" w:cs="Arial" w:eastAsia="Arial" w:hAnsi="Arial"/>
                <w:color w:val="AED6F1"/>
                <w:sz w:val="15"/>
                <w:szCs w:val="15"/>
              </w:rPr>
              <w:t xml:space="preserve">Gini (vs. 0.61 baseline)</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78%</w:t>
            </w:r>
          </w:p>
          <w:p>
            <w:pPr>
              <w:spacing w:before="0" w:after="0"/>
              <w:jc w:val="center"/>
            </w:pPr>
            <w:r>
              <w:rPr>
                <w:rFonts w:ascii="Arial" w:cs="Arial" w:eastAsia="Arial" w:hAnsi="Arial"/>
                <w:color w:val="AED6F1"/>
                <w:sz w:val="15"/>
                <w:szCs w:val="15"/>
              </w:rPr>
              <w:t xml:space="preserve">Stage 2 migration precision</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€180M</w:t>
            </w:r>
          </w:p>
          <w:p>
            <w:pPr>
              <w:spacing w:before="0" w:after="0"/>
              <w:jc w:val="center"/>
            </w:pPr>
            <w:r>
              <w:rPr>
                <w:rFonts w:ascii="Arial" w:cs="Arial" w:eastAsia="Arial" w:hAnsi="Arial"/>
                <w:color w:val="AED6F1"/>
                <w:sz w:val="15"/>
                <w:szCs w:val="15"/>
              </w:rPr>
              <w:t xml:space="preserve">Annual provisioning error reduced</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4 — NETHERLANDS — EUROPE</w:t>
            </w:r>
          </w:p>
          <w:p>
            <w:pPr>
              <w:spacing w:before="0" w:after="0"/>
            </w:pPr>
            <w:r>
              <w:rPr>
                <w:rFonts w:ascii="Arial" w:cs="Arial" w:eastAsia="Arial" w:hAnsi="Arial"/>
                <w:b/>
                <w:bCs/>
                <w:color w:val="FFFFFF"/>
                <w:sz w:val="26"/>
                <w:szCs w:val="26"/>
              </w:rPr>
              <w:t xml:space="preserve">ING Bank NV</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Netherlands — Europe</w:t>
            </w:r>
          </w:p>
          <w:p>
            <w:pPr>
              <w:spacing w:before="0" w:after="0"/>
              <w:jc w:val="center"/>
            </w:pPr>
            <w:r>
              <w:rPr>
                <w:rFonts w:ascii="Arial" w:cs="Arial" w:eastAsia="Arial" w:hAnsi="Arial"/>
                <w:color w:val="AED6F1"/>
                <w:sz w:val="15"/>
                <w:szCs w:val="15"/>
              </w:rPr>
              <w:t xml:space="preserve">Retail Banking | XGBoost Mortgage Risk &amp; Prepayment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ING Bank NV, Amsterdam — one of Europe's largest retail banks (€958B total assets), operating in 40+ countries. Supervised by ECB SSM and Dutch central bank (DNB). Subject to CRR2/Basel III IRBA, IFRS 9, EU AI Act, and Dutch DPA (Autoriteit Persoonsgegevens) GDPR enforcement.</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Two-stage: (1) XGBoost binary classification — mortgage default risk (90+ DPD within 12 months) for regulatory capital and IFRS 9. (2) XGBoost regression — mortgage prepayment probability, used in ALM duration management and Dutch covered bond pricing (ING issues €80B+ of covered bonds).</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XGBoost (max_depth=6, n_estimators=1200, learning_rate=0.04, subsample=0.8, colsample_bytree=0.7, reg_lambda=2.0) for both tasks. SHAP TreeExplainer used for individual mortgage decision explanations delivered through ING's digital mortgage portal — borrowers can see which factors influenced their credit decision.</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LTV at origination, current LTV (updated monthly via AVM), debt service coverage ratio, employment type, income volatility (ING current account data), property region (Dutch housing regions per CBS), interest rate fixation period remaining, refi incentive (current vs. original rate), Dutch unemployment rate, ECB policy rate.</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ECB SSM SREP: DNB/ECB joint model review annually. EBA GL/2020/06 for PD model. Dutch DPA: SHAP explanations served to borrowers through ING digital portal satisfy GDPR Art. 22 right to explanation. EU AI Act Annex III: SHAP Annex IV documentation completed. Dutch Works Council (OR): algorithm consultation completed per Dutch Works Council Act.</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Mortgage default model Gini: 0.71 (vs. 0.62 logistic baseline). Prepayment model R²: 0.69 (vs. 0.55 Cox baseline). DNB covered bond stress test: prepayment model passed with 0.9% duration mismatch (vs. regulatory limit 2.0%). GDPR Art. 22 complaints related to mortgage decisions: zero in 2023.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0.71</w:t>
            </w:r>
          </w:p>
          <w:p>
            <w:pPr>
              <w:spacing w:before="0" w:after="0"/>
              <w:jc w:val="center"/>
            </w:pPr>
            <w:r>
              <w:rPr>
                <w:rFonts w:ascii="Arial" w:cs="Arial" w:eastAsia="Arial" w:hAnsi="Arial"/>
                <w:color w:val="AED6F1"/>
                <w:sz w:val="15"/>
                <w:szCs w:val="15"/>
              </w:rPr>
              <w:t xml:space="preserve">Default model Gini</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0.69</w:t>
            </w:r>
          </w:p>
          <w:p>
            <w:pPr>
              <w:spacing w:before="0" w:after="0"/>
              <w:jc w:val="center"/>
            </w:pPr>
            <w:r>
              <w:rPr>
                <w:rFonts w:ascii="Arial" w:cs="Arial" w:eastAsia="Arial" w:hAnsi="Arial"/>
                <w:color w:val="AED6F1"/>
                <w:sz w:val="15"/>
                <w:szCs w:val="15"/>
              </w:rPr>
              <w:t xml:space="preserve">Prepayment model R²</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0</w:t>
            </w:r>
          </w:p>
          <w:p>
            <w:pPr>
              <w:spacing w:before="0" w:after="0"/>
              <w:jc w:val="center"/>
            </w:pPr>
            <w:r>
              <w:rPr>
                <w:rFonts w:ascii="Arial" w:cs="Arial" w:eastAsia="Arial" w:hAnsi="Arial"/>
                <w:color w:val="AED6F1"/>
                <w:sz w:val="15"/>
                <w:szCs w:val="15"/>
              </w:rPr>
              <w:t xml:space="preserve">GDPR Art. 22 complaints (2023)</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5 — ITALY — EUROPE</w:t>
            </w:r>
          </w:p>
          <w:p>
            <w:pPr>
              <w:spacing w:before="0" w:after="0"/>
            </w:pPr>
            <w:r>
              <w:rPr>
                <w:rFonts w:ascii="Arial" w:cs="Arial" w:eastAsia="Arial" w:hAnsi="Arial"/>
                <w:b/>
                <w:bCs/>
                <w:color w:val="FFFFFF"/>
                <w:sz w:val="26"/>
                <w:szCs w:val="26"/>
              </w:rPr>
              <w:t xml:space="preserve">Mediobanca SpA</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Italy — Europe</w:t>
            </w:r>
          </w:p>
          <w:p>
            <w:pPr>
              <w:spacing w:before="0" w:after="0"/>
              <w:jc w:val="center"/>
            </w:pPr>
            <w:r>
              <w:rPr>
                <w:rFonts w:ascii="Arial" w:cs="Arial" w:eastAsia="Arial" w:hAnsi="Arial"/>
                <w:color w:val="AED6F1"/>
                <w:sz w:val="15"/>
                <w:szCs w:val="15"/>
              </w:rPr>
              <w:t xml:space="preserve">Investment Banking | CatBoost Corporate Credit 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Mediobanca SpA, Milan — Italy's leading investment bank and a major corporate lender (€95B total assets). Supervised by ECB SSM and Banca d'Italia. Operates under Basel III Advanced IRB for corporate exposures. Mediobanca's MBAC (Mediobanca Business Analytics Center) develops proprietary AI credit models.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Multi-class ordinal classification: assign corporate borrowers to one of 8 internal rating grades (1=Prime through 8=Distressed) for IRBA risk weight calculation and IFRS 9 ECL. Ordinal structure is critical — misclassifying a 3 as a 5 is far more costly than misclassifying a 3 as a 4.</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CatBoost with multi-class ordinal loss (custom ordinal penalty matrix: cost increases quadratically with grade distance). CatBoost selected for: (a) high-cardinality categorical features (ATECO sector codes — 900+ categories, country of incorporation — 150+ countries), (b) small-to-medium dataset (18,000 corporate borrowers) where CatBoost's ordered boosting avoids overfitting.</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Financial statement ratios (EBITDA margin, net debt/EBITDA, interest coverage, current ratio, quick ratio), Mediobanca proprietary ESG risk scores, ATECO sector code (CatBoost native), country risk score (Euler Hermes), management quality score (qualitative input), years in relationship with Mediobanca.</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ECB SSM SREP: Banca d'Italia/ECB joint review annually. EBA GL/2017/16 PD estimation for corporate IRBA. IFRS 9 ECL: ordinal rating drives Stage 1/2/3 allocation. EU AI Act Annex III: SHAP waterfall plots for each rating decision available to relationship managers. Italian Garante (DPA): GDPR Art. 22 compliance for automated rating components.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Ordinal accuracy (within ±1 grade): 86% (vs. 79% XGBoost multi-class baseline). ECB backtesting (EBA GL/2017/16): all 8 grade bands in green traffic light zone 2023. IRBA capital benefit: €420M RWA reduction following ECB model approval. IFRS 9 ECL accuracy: actual vs. predicted ECL within 5% at portfolio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86%</w:t>
            </w:r>
          </w:p>
          <w:p>
            <w:pPr>
              <w:spacing w:before="0" w:after="0"/>
              <w:jc w:val="center"/>
            </w:pPr>
            <w:r>
              <w:rPr>
                <w:rFonts w:ascii="Arial" w:cs="Arial" w:eastAsia="Arial" w:hAnsi="Arial"/>
                <w:color w:val="AED6F1"/>
                <w:sz w:val="15"/>
                <w:szCs w:val="15"/>
              </w:rPr>
              <w:t xml:space="preserve">Ordinal accuracy (±1 grade)</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€420M</w:t>
            </w:r>
          </w:p>
          <w:p>
            <w:pPr>
              <w:spacing w:before="0" w:after="0"/>
              <w:jc w:val="center"/>
            </w:pPr>
            <w:r>
              <w:rPr>
                <w:rFonts w:ascii="Arial" w:cs="Arial" w:eastAsia="Arial" w:hAnsi="Arial"/>
                <w:color w:val="AED6F1"/>
                <w:sz w:val="15"/>
                <w:szCs w:val="15"/>
              </w:rPr>
              <w:t xml:space="preserve">IRBA RWA reduction</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8/8</w:t>
            </w:r>
          </w:p>
          <w:p>
            <w:pPr>
              <w:spacing w:before="0" w:after="0"/>
              <w:jc w:val="center"/>
            </w:pPr>
            <w:r>
              <w:rPr>
                <w:rFonts w:ascii="Arial" w:cs="Arial" w:eastAsia="Arial" w:hAnsi="Arial"/>
                <w:color w:val="AED6F1"/>
                <w:sz w:val="15"/>
                <w:szCs w:val="15"/>
              </w:rPr>
              <w:t xml:space="preserve">Rating grades ECB green-lit</w:t>
            </w:r>
          </w:p>
        </w:tc>
      </w:tr>
    </w:tbl>
    <w:p>
      <w:pPr>
        <w:spacing w:before="0"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6 — UNITED STATES</w:t>
            </w:r>
          </w:p>
          <w:p>
            <w:pPr>
              <w:spacing w:before="0" w:after="0"/>
            </w:pPr>
            <w:r>
              <w:rPr>
                <w:rFonts w:ascii="Arial" w:cs="Arial" w:eastAsia="Arial" w:hAnsi="Arial"/>
                <w:b/>
                <w:bCs/>
                <w:color w:val="FFFFFF"/>
                <w:sz w:val="26"/>
                <w:szCs w:val="26"/>
              </w:rPr>
              <w:t xml:space="preserve">Capital One</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United States</w:t>
            </w:r>
          </w:p>
          <w:p>
            <w:pPr>
              <w:spacing w:before="0" w:after="0"/>
              <w:jc w:val="center"/>
            </w:pPr>
            <w:r>
              <w:rPr>
                <w:rFonts w:ascii="Arial" w:cs="Arial" w:eastAsia="Arial" w:hAnsi="Arial"/>
                <w:color w:val="AED6F1"/>
                <w:sz w:val="15"/>
                <w:szCs w:val="15"/>
              </w:rPr>
              <w:t xml:space="preserve">Consumer Finance | XGBoost Credit Card Default &amp; Limit Optimisation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Capital One Financial (total assets $480B) — one of the largest US credit card issuers. Technology-first culture; operates one of the largest enterprise ML platforms in US financial services. Regulated by OCC, Federal Reserve, and CFPB. Subject to ECOA, Reg B, FCRA, and CARD Act.</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Two-stage: (1) XGBoost binary classification — credit card default prediction (90+ DPD within 12 months) for credit line assignment and collection prioritisation. (2) XGBoost regression — credit limit optimisation (predict optimal credit limit that maximises revenue/risk adjusted return for each customer).</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XGBoost (max_depth=7, n_estimators=2000, learning_rate=0.03, subsample=0.8, min_child_weight=50). Class-weighted BCE (w_default=8.0). Feature engineering pipeline: 340+ features from Capital One internal data, TransUnion/Experian bureau feeds, and Capital One's proprietary consumer spending intelligence data (anonymised merchant-level transaction data).</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Bureau tradeline features (utilisation, missed payments, total credit, recent enquiries), Capital One internal payment behaviour (payment-to-balance ratio, statement balance trend), spending category mix (Visa MCC-level), income estimation score (proprietary model), macroeconomic indicators (US unemployment, consumer confidence, Fed Funds rate).</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OCC SR 11-7: model risk governance, second-line validation, annual review. CFPB Reg B: adverse action reason codes from SHAP values (implemented in Capital One's ML platform, used for 100% of adverse credit decisions). ECOA disparate impact testing: monthly SHAP-based protected class analysis. CARD Act: credit limit decisions must be explainable to cardholders.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AUC-ROC: 0.88 (vs. 0.81 logistic baseline). Annual net credit loss reduction: $620M. Credit limit optimisation: 14% improvement in revenue per account (risk-adjusted). CFPB examination: adverse action reason code compliance rate 100%. OCC model validation: 'Satisfactory' rating 2023.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0.88</w:t>
            </w:r>
          </w:p>
          <w:p>
            <w:pPr>
              <w:spacing w:before="0" w:after="0"/>
              <w:jc w:val="center"/>
            </w:pPr>
            <w:r>
              <w:rPr>
                <w:rFonts w:ascii="Arial" w:cs="Arial" w:eastAsia="Arial" w:hAnsi="Arial"/>
                <w:color w:val="AED6F1"/>
                <w:sz w:val="15"/>
                <w:szCs w:val="15"/>
              </w:rPr>
              <w:t xml:space="preserve">AUC-ROC (vs. 0.81 baseline)</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$620M</w:t>
            </w:r>
          </w:p>
          <w:p>
            <w:pPr>
              <w:spacing w:before="0" w:after="0"/>
              <w:jc w:val="center"/>
            </w:pPr>
            <w:r>
              <w:rPr>
                <w:rFonts w:ascii="Arial" w:cs="Arial" w:eastAsia="Arial" w:hAnsi="Arial"/>
                <w:color w:val="AED6F1"/>
                <w:sz w:val="15"/>
                <w:szCs w:val="15"/>
              </w:rPr>
              <w:t xml:space="preserve">Annual credit loss reduction</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100%</w:t>
            </w:r>
          </w:p>
          <w:p>
            <w:pPr>
              <w:spacing w:before="0" w:after="0"/>
              <w:jc w:val="center"/>
            </w:pPr>
            <w:r>
              <w:rPr>
                <w:rFonts w:ascii="Arial" w:cs="Arial" w:eastAsia="Arial" w:hAnsi="Arial"/>
                <w:color w:val="AED6F1"/>
                <w:sz w:val="15"/>
                <w:szCs w:val="15"/>
              </w:rPr>
              <w:t xml:space="preserve">CFPB adverse action compliance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7 — UNITED STATES</w:t>
            </w:r>
          </w:p>
          <w:p>
            <w:pPr>
              <w:spacing w:before="0" w:after="0"/>
            </w:pPr>
            <w:r>
              <w:rPr>
                <w:rFonts w:ascii="Arial" w:cs="Arial" w:eastAsia="Arial" w:hAnsi="Arial"/>
                <w:b/>
                <w:bCs/>
                <w:color w:val="FFFFFF"/>
                <w:sz w:val="26"/>
                <w:szCs w:val="26"/>
              </w:rPr>
              <w:t xml:space="preserve">Progressive Insurance</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United States</w:t>
            </w:r>
          </w:p>
          <w:p>
            <w:pPr>
              <w:spacing w:before="0" w:after="0"/>
              <w:jc w:val="center"/>
            </w:pPr>
            <w:r>
              <w:rPr>
                <w:rFonts w:ascii="Arial" w:cs="Arial" w:eastAsia="Arial" w:hAnsi="Arial"/>
                <w:color w:val="AED6F1"/>
                <w:sz w:val="15"/>
                <w:szCs w:val="15"/>
              </w:rPr>
              <w:t xml:space="preserve">Insurance | Random Forest Snapshot Telematics Pricing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Progressive Corporation (net written premium $64B, 2023) — US's largest personal auto insurer. Pioneer of usage-based insurance (UBI); its Snapshot telematics programme has enrolled 28M+ customers. Regulated by all 50 state departments of insurance (DOI); actuarial certification required in each state.</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Regression: predict claims cost (pure premium = frequency × severity) for individual drivers using telematics-derived driving behaviour features. Progressive's Snapshot UBI product offers personalised premiums based on how you drive — requiring a highly accurate, regulatorily defensible regression model.</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Random Forest regressor (B=1000 trees, max_features=0.4, min_samples_leaf=200, max_depth=None). RF chosen over GBM for: (a) regulatory requirement for 'explainable' pricing under NAIC (National Association of Insurance Commissioners) state model laws, (b) better calibration for extreme-tailed claim distributions when combined with GLM baseline, (c) OOB error accepted by state DOIs as validation metric.</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Telematics driving behaviour: hard braking events per mile, acceleration events, speed over posted limit (% of time), night driving percentage (11pm–5am), distracted driving proxy (phone usage pattern), trip frequency and duration. Standard rating factors: vehicle age and type, driver age, ZIP code territory, prior insurance history.</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NAIC Actuarial Standard of Practice (ASOP) No. 56: ML models in insurance pricing require bias testing, back-testing against actual loss experience, and documentation of algorithmic inputs. State DOI rate filings: RF variable importance (permutation-based) submitted as evidence of rate-making relevance. Six states (CA, MI, HI) prohibit telematics use in auto pricing — separate state-specific models maintained.</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Claims cost model RMSE: 14.2% improvement vs. prior GLM. Adverse claim selection reduction: 18% fewer high-risk customers priced below break-even. Snapshot programme retention: 88% renewal rate among UBI customers (vs. 82% standard). Net combined ratio improvement: −1.9pp on UBI book.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−14.2%</w:t>
            </w:r>
          </w:p>
          <w:p>
            <w:pPr>
              <w:spacing w:before="0" w:after="0"/>
              <w:jc w:val="center"/>
            </w:pPr>
            <w:r>
              <w:rPr>
                <w:rFonts w:ascii="Arial" w:cs="Arial" w:eastAsia="Arial" w:hAnsi="Arial"/>
                <w:color w:val="AED6F1"/>
                <w:sz w:val="15"/>
                <w:szCs w:val="15"/>
              </w:rPr>
              <w:t xml:space="preserve">Claims cost RMSE improvement</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−18%</w:t>
            </w:r>
          </w:p>
          <w:p>
            <w:pPr>
              <w:spacing w:before="0" w:after="0"/>
              <w:jc w:val="center"/>
            </w:pPr>
            <w:r>
              <w:rPr>
                <w:rFonts w:ascii="Arial" w:cs="Arial" w:eastAsia="Arial" w:hAnsi="Arial"/>
                <w:color w:val="AED6F1"/>
                <w:sz w:val="15"/>
                <w:szCs w:val="15"/>
              </w:rPr>
              <w:t xml:space="preserve">High-risk under-pricing reduction</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−1.9pp</w:t>
            </w:r>
          </w:p>
          <w:p>
            <w:pPr>
              <w:spacing w:before="0" w:after="0"/>
              <w:jc w:val="center"/>
            </w:pPr>
            <w:r>
              <w:rPr>
                <w:rFonts w:ascii="Arial" w:cs="Arial" w:eastAsia="Arial" w:hAnsi="Arial"/>
                <w:color w:val="AED6F1"/>
                <w:sz w:val="15"/>
                <w:szCs w:val="15"/>
              </w:rPr>
              <w:t xml:space="preserve">Net combined ratio improvement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8 — UNITED STATES</w:t>
            </w:r>
          </w:p>
          <w:p>
            <w:pPr>
              <w:spacing w:before="0" w:after="0"/>
            </w:pPr>
            <w:r>
              <w:rPr>
                <w:rFonts w:ascii="Arial" w:cs="Arial" w:eastAsia="Arial" w:hAnsi="Arial"/>
                <w:b/>
                <w:bCs/>
                <w:color w:val="FFFFFF"/>
                <w:sz w:val="26"/>
                <w:szCs w:val="26"/>
              </w:rPr>
              <w:t xml:space="preserve">Memorial Sloan Kettering</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United States</w:t>
            </w:r>
          </w:p>
          <w:p>
            <w:pPr>
              <w:spacing w:before="0" w:after="0"/>
              <w:jc w:val="center"/>
            </w:pPr>
            <w:r>
              <w:rPr>
                <w:rFonts w:ascii="Arial" w:cs="Arial" w:eastAsia="Arial" w:hAnsi="Arial"/>
                <w:color w:val="AED6F1"/>
                <w:sz w:val="15"/>
                <w:szCs w:val="15"/>
              </w:rPr>
              <w:t xml:space="preserve">Oncology | Random Forest Cancer Recurrence Prediction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Memorial Sloan Kettering Cancer Center (MSK), New York — one of the world's leading cancer research and treatment centres. MSK's AI innovation centre develops clinical decision support tools for oncology. Subject to FDA 510(k) clearance (Software as a Medical Device), HIPAA, and IRB ethical oversight.</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Binary classification: predict 5-year cancer recurrence risk for post-treatment colorectal cancer patients (Stage II/III), enabling personalised adjuvant chemotherapy decisions. High-stakes clinical decision: unnecessary chemotherapy has serious side effects; missed recurrence is fatal. 1,847-patient dataset.</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Random Forest (B=1000, max_features=sqrt(p), min_samples_leaf=5). RF chosen for: (a) small n (1,847 patients — gradient boosting overfits), (b) OOB error provides free cross-validation on small dataset, (c) FDA SaMD guidance prefers interpretable models. Compared against XGBoost (lower OOB AUC), and logistic regression (lower AUC, missing interactions).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Tumour stage (TNM staging), microsatellite instability (MSI) status, KRAS/BRAF mutation status, tumour grade, lymph node involvement ratio, lymphovascular invasion, perineural invasion, CEA pre-operative level, patient age, Charlson Comorbidity Index, surgical margin status.</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FDA SaMD (Software as a Medical Device): RF model filed under 510(k) De Novo pathway. Clinical validation: prospective validation on 412-patient external cohort from Johns Hopkins. IRB approval required for model training data use. HIPAA: PHI de-identified before ML pipeline. FDA AI/ML Action Plan: performance monitoring post-deployment with drift triggers.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AUC-ROC: 0.83 on external validation cohort (vs. 0.71 TNM staging alone). Clinical impact: 21% reduction in unnecessary chemotherapy prescriptions. Prospective trial: 18% reduction in 5-year recurrence rate in patients managed using RF-guided decisions. FDA 510(k) clearance received 2022.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0.83</w:t>
            </w:r>
          </w:p>
          <w:p>
            <w:pPr>
              <w:spacing w:before="0" w:after="0"/>
              <w:jc w:val="center"/>
            </w:pPr>
            <w:r>
              <w:rPr>
                <w:rFonts w:ascii="Arial" w:cs="Arial" w:eastAsia="Arial" w:hAnsi="Arial"/>
                <w:color w:val="AED6F1"/>
                <w:sz w:val="15"/>
                <w:szCs w:val="15"/>
              </w:rPr>
              <w:t xml:space="preserve">AUC-ROC external validation</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−21%</w:t>
            </w:r>
          </w:p>
          <w:p>
            <w:pPr>
              <w:spacing w:before="0" w:after="0"/>
              <w:jc w:val="center"/>
            </w:pPr>
            <w:r>
              <w:rPr>
                <w:rFonts w:ascii="Arial" w:cs="Arial" w:eastAsia="Arial" w:hAnsi="Arial"/>
                <w:color w:val="AED6F1"/>
                <w:sz w:val="15"/>
                <w:szCs w:val="15"/>
              </w:rPr>
              <w:t xml:space="preserve">Unnecessary chemotherapy reduction</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FDA ✓</w:t>
            </w:r>
          </w:p>
          <w:p>
            <w:pPr>
              <w:spacing w:before="0" w:after="0"/>
              <w:jc w:val="center"/>
            </w:pPr>
            <w:r>
              <w:rPr>
                <w:rFonts w:ascii="Arial" w:cs="Arial" w:eastAsia="Arial" w:hAnsi="Arial"/>
                <w:color w:val="AED6F1"/>
                <w:sz w:val="15"/>
                <w:szCs w:val="15"/>
              </w:rPr>
              <w:t xml:space="preserve">510(k) clearance 2022</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9 — CANADA</w:t>
            </w:r>
          </w:p>
          <w:p>
            <w:pPr>
              <w:spacing w:before="0" w:after="0"/>
            </w:pPr>
            <w:r>
              <w:rPr>
                <w:rFonts w:ascii="Arial" w:cs="Arial" w:eastAsia="Arial" w:hAnsi="Arial"/>
                <w:b/>
                <w:bCs/>
                <w:color w:val="FFFFFF"/>
                <w:sz w:val="26"/>
                <w:szCs w:val="26"/>
              </w:rPr>
              <w:t xml:space="preserve">Scotiabank</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Canada</w:t>
            </w:r>
          </w:p>
          <w:p>
            <w:pPr>
              <w:spacing w:before="0" w:after="0"/>
              <w:jc w:val="center"/>
            </w:pPr>
            <w:r>
              <w:rPr>
                <w:rFonts w:ascii="Arial" w:cs="Arial" w:eastAsia="Arial" w:hAnsi="Arial"/>
                <w:color w:val="AED6F1"/>
                <w:sz w:val="15"/>
                <w:szCs w:val="15"/>
              </w:rPr>
              <w:t xml:space="preserve">Retail Banking | LightGBM AML Transaction Monitoring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The Bank of Nova Scotia (Scotiabank), Toronto — Canada's third-largest bank (CAD $1.4T total assets), with major retail banking presence across Latin America. Regulated by OSFI, FINTRAC (Canada's financial intelligence unit), and FinCEN (US operations). Subject to PCMLTFA (Canada's AML legislation) and USA PATRIOT Act.</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Binary classification: predict whether a transaction or customer relationship pattern represents suspicious activity requiring STR (Suspicious Transaction Report) filing with FINTRAC. Class imbalance: STR-worthy patterns &lt; 0.1% of volume. Special challenge: Scotiabank's Latin American operations require models that generalise across Canadian, Mexican, Peruvian, Chilean, and Colombian regulatory environments.</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LightGBM (n_estimators=2000, num_leaves=127, learning_rate=0.02, min_child_samples=50, colsample_bytree=0.6, class_weight={0:1, 1:150}). LightGBM selected for: (a) speed on 40M+ transactions per day, (b) native handling of country code and currency code as categorical features (800+ categories across Latin American operations), (c) FINTRAC-required explainability served via SHAP.</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Transaction velocity (count/amount by 1h/24h/7d/30d), jurisdiction risk score (FATF + Scotiabank proprietary country risk), currency risk (high-risk currency pairs), cash intensity ratio, structured transaction detection (multiple transactions just below reporting threshold), PEP/sanctions screening score, counterparty network centrality (graph ML feature), customer profile deviation score.</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FINTRAC: STR filing within 30 days — model must achieve 95% recall on known STR patterns. OSFI E-23: model risk governance, second-line validation. PCMLTFA Section 9.1: documentation of AML detection methodology. SHAP explanations provided to AML investigators via Scotiabank's Compliance Intelligence Platform — required for FINTRAC audit trail.</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STR detection rate (recall): 96% (vs. 89% prior rule-based system). Alert precision: 14.8% (vs. 7.2% prior — doubled). Annual AML investigator FTE saving: 140 analyst-years. FINTRAC examination findings related to AML model: zero in 2022–2023. Latin American regulatory acceptance achieved in all 5 markets.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96%</w:t>
            </w:r>
          </w:p>
          <w:p>
            <w:pPr>
              <w:spacing w:before="0" w:after="0"/>
              <w:jc w:val="center"/>
            </w:pPr>
            <w:r>
              <w:rPr>
                <w:rFonts w:ascii="Arial" w:cs="Arial" w:eastAsia="Arial" w:hAnsi="Arial"/>
                <w:color w:val="AED6F1"/>
                <w:sz w:val="15"/>
                <w:szCs w:val="15"/>
              </w:rPr>
              <w:t xml:space="preserve">STR detection rate (recall)</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14.8%</w:t>
            </w:r>
          </w:p>
          <w:p>
            <w:pPr>
              <w:spacing w:before="0" w:after="0"/>
              <w:jc w:val="center"/>
            </w:pPr>
            <w:r>
              <w:rPr>
                <w:rFonts w:ascii="Arial" w:cs="Arial" w:eastAsia="Arial" w:hAnsi="Arial"/>
                <w:color w:val="AED6F1"/>
                <w:sz w:val="15"/>
                <w:szCs w:val="15"/>
              </w:rPr>
              <w:t xml:space="preserve">Alert precision (vs. 7.2% prior)</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140</w:t>
            </w:r>
          </w:p>
          <w:p>
            <w:pPr>
              <w:spacing w:before="0" w:after="0"/>
              <w:jc w:val="center"/>
            </w:pPr>
            <w:r>
              <w:rPr>
                <w:rFonts w:ascii="Arial" w:cs="Arial" w:eastAsia="Arial" w:hAnsi="Arial"/>
                <w:color w:val="AED6F1"/>
                <w:sz w:val="15"/>
                <w:szCs w:val="15"/>
              </w:rPr>
              <w:t xml:space="preserve">FTE analyst-years saved p.a.</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single" w:color="1F3864" w:sz="1"/>
              <w:left w:val="single" w:color="1F3864" w:sz="1"/>
              <w:bottom w:val="single" w:color="1F3864" w:sz="1"/>
              <w:right w:val="single" w:color="1F3864" w:sz="1"/>
            </w:tcBorders>
            <w:shd w:fill="1F3864" w:val="clear"/>
            <w:tcMar>
              <w:top w:type="dxa" w:w="120"/>
              <w:left w:type="dxa" w:w="180"/>
              <w:bottom w:type="dxa" w:w="120"/>
              <w:right w:type="dxa" w:w="120"/>
            </w:tcMar>
          </w:tcPr>
          <w:p>
            <w:pPr>
              <w:spacing w:before="0" w:after="40"/>
            </w:pPr>
            <w:r>
              <w:rPr>
                <w:rFonts w:ascii="Arial" w:cs="Arial" w:eastAsia="Arial" w:hAnsi="Arial"/>
                <w:b/>
                <w:bCs/>
                <w:color w:val="C9A227"/>
                <w:sz w:val="15"/>
                <w:szCs w:val="15"/>
              </w:rPr>
              <w:t xml:space="preserve">CASE STUDY 10 — UNITED STATES</w:t>
            </w:r>
          </w:p>
          <w:p>
            <w:pPr>
              <w:spacing w:before="0" w:after="0"/>
            </w:pPr>
            <w:r>
              <w:rPr>
                <w:rFonts w:ascii="Arial" w:cs="Arial" w:eastAsia="Arial" w:hAnsi="Arial"/>
                <w:b/>
                <w:bCs/>
                <w:color w:val="FFFFFF"/>
                <w:sz w:val="26"/>
                <w:szCs w:val="26"/>
              </w:rPr>
              <w:t xml:space="preserve">Walmart Inc.</w:t>
            </w:r>
          </w:p>
        </w:tc>
        <w:tc>
          <w:tcPr>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spacing w:before="0" w:after="40"/>
              <w:jc w:val="center"/>
            </w:pPr>
            <w:r>
              <w:rPr>
                <w:rFonts w:ascii="Arial" w:cs="Arial" w:eastAsia="Arial" w:hAnsi="Arial"/>
                <w:b/>
                <w:bCs/>
                <w:color w:val="FFFFFF"/>
                <w:sz w:val="20"/>
                <w:szCs w:val="20"/>
              </w:rPr>
              <w:t xml:space="preserve">🇺🇸  United States</w:t>
            </w:r>
          </w:p>
          <w:p>
            <w:pPr>
              <w:spacing w:before="0" w:after="0"/>
              <w:jc w:val="center"/>
            </w:pPr>
            <w:r>
              <w:rPr>
                <w:rFonts w:ascii="Arial" w:cs="Arial" w:eastAsia="Arial" w:hAnsi="Arial"/>
                <w:color w:val="AED6F1"/>
                <w:sz w:val="15"/>
                <w:szCs w:val="15"/>
              </w:rPr>
              <w:t xml:space="preserve">Retail Supply Chain | XGBoost Demand Forecasting &amp; Inventory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Context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Walmart Inc. (revenue $648B, FY2024) — world's largest retailer, operating 10,500+ stores in 19 countries with $215B in annual US grocery and consumables revenue. Walmart's Supply Chain AI team manages one of the world's largest demand forecasting operations, predicting sales for 3.5M+ SKUs across 4,700+ US stores.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Problem</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Multi-horizon regression: predict daily unit sales per SKU per store for horizons of 1, 7, 14, 28, and 90 days. Used for automated replenishment orders, supplier contract negotiations, promotional pricing, and store labour scheduling. Each 1% improvement in forecast accuracy generates ~$200M in working capital efficiency.</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ML Approach</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Hierarchical XGBoost ensemble: separate models per forecast horizon, trained on full SKU-store history (billions of rows, 36-month training window). XGBoost with Tweedie loss (p=1.3) for zero-inflated intermittent demand. Features lag-encoded at product, category, department, and store levels — hierarchical reconciliation via bottom-up approach.</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Features</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Lagged sales (1/7/14/28/90/365 days), price and markdown history, promotional event flags (Black Friday, back-to-school, Super Bowl), store-specific features (store size, format, urbanicity), weather features (temperature, precipitation, severe weather alerts), local event calendar (sporting events, school calendars), macroeconomic indicators (consumer sentiment, gasoline prices).</w:t>
            </w:r>
          </w:p>
        </w:tc>
      </w:tr>
      <w:tr>
        <w:tc>
          <w:tcPr>
            <w:tcBorders>
              <w:top w:val="single" w:color="DDDDDD" w:sz="1"/>
              <w:left w:val="single" w:color="DDDDDD" w:sz="1"/>
              <w:bottom w:val="single" w:color="DDDDDD" w:sz="1"/>
              <w:right w:val="single" w:color="DDDDDD" w:sz="1"/>
            </w:tcBorders>
            <w:shd w:fill="F2F2F2"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Regulatory Fit</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US Customs and Border Protection (CBP): forecasting model supports Walmart's Trade Compliance team for import quota management. SEC disclosure: material supply chain disruptions related to forecasting failures are disclosed in 10-K risk factors. Walmart's Responsible Sourcing policy: demand forecasting must not create systematic order patterns that enable supplier labour exploitation (fairness constraint built into the objective).</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tcPr>
          <w:p>
            <w:pPr>
              <w:spacing w:before="0" w:after="0"/>
            </w:pPr>
            <w:r>
              <w:rPr>
                <w:rFonts w:ascii="Arial" w:cs="Arial" w:eastAsia="Arial" w:hAnsi="Arial"/>
                <w:b/>
                <w:bCs/>
                <w:color w:val="1F3864"/>
                <w:sz w:val="19"/>
                <w:szCs w:val="19"/>
              </w:rPr>
              <w:t xml:space="preserve">Outcome</w:t>
            </w:r>
          </w:p>
        </w:tc>
        <w:tc>
          <w:tcPr>
            <w:tcBorders>
              <w:top w:val="single" w:color="DDDDDD" w:sz="1"/>
              <w:left w:val="single" w:color="DDDDDD" w:sz="1"/>
              <w:bottom w:val="single" w:color="DDDDDD" w:sz="1"/>
              <w:right w:val="single" w:color="DDDDDD" w:sz="1"/>
            </w:tcBorders>
            <w:shd w:fill="FAFCFF" w:val="clear"/>
            <w:tcMar>
              <w:top w:type="dxa" w:w="80"/>
              <w:left w:type="dxa" w:w="150"/>
              <w:bottom w:type="dxa" w:w="80"/>
              <w:right w:type="dxa" w:w="120"/>
            </w:tcMar>
          </w:tcPr>
          <w:p>
            <w:pPr>
              <w:spacing w:before="0" w:after="0"/>
              <w:jc w:val="both"/>
            </w:pPr>
            <w:r>
              <w:rPr>
                <w:rFonts w:ascii="Arial" w:cs="Arial" w:eastAsia="Arial" w:hAnsi="Arial"/>
                <w:color w:val="2A2A2A"/>
                <w:sz w:val="19"/>
                <w:szCs w:val="19"/>
              </w:rPr>
              <w:t xml:space="preserve">WMAPE (Weighted Mean Absolute Percentage Error): 12.1% (vs. 17.8% prior ARIMA + manual override). Out-of-stock rate reduction: −23% across US stores. Inventory carrying cost reduction: $1.8B annually. Supplier relationship NPS improvement: +18 points (more predictable order patterns). Carbon footprint reduction: −8% in replenishment transportation emissions.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12.1%</w:t>
            </w:r>
          </w:p>
          <w:p>
            <w:pPr>
              <w:spacing w:before="0" w:after="0"/>
              <w:jc w:val="center"/>
            </w:pPr>
            <w:r>
              <w:rPr>
                <w:rFonts w:ascii="Arial" w:cs="Arial" w:eastAsia="Arial" w:hAnsi="Arial"/>
                <w:color w:val="AED6F1"/>
                <w:sz w:val="15"/>
                <w:szCs w:val="15"/>
              </w:rPr>
              <w:t xml:space="preserve">WMAPE (vs. 17.8% prior)</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$1.8B</w:t>
            </w:r>
          </w:p>
          <w:p>
            <w:pPr>
              <w:spacing w:before="0" w:after="0"/>
              <w:jc w:val="center"/>
            </w:pPr>
            <w:r>
              <w:rPr>
                <w:rFonts w:ascii="Arial" w:cs="Arial" w:eastAsia="Arial" w:hAnsi="Arial"/>
                <w:color w:val="AED6F1"/>
                <w:sz w:val="15"/>
                <w:szCs w:val="15"/>
              </w:rPr>
              <w:t xml:space="preserve">Inventory cost reduction p.a.</w:t>
            </w:r>
          </w:p>
        </w:tc>
        <w:tc>
          <w:tcPr>
            <w:tcBorders>
              <w:top w:val="single" w:color="1F3864" w:sz="1"/>
              <w:left w:val="single" w:color="1F3864" w:sz="1"/>
              <w:bottom w:val="single" w:color="1F3864" w:sz="1"/>
              <w:right w:val="single" w:color="1F3864" w:sz="1"/>
            </w:tcBorders>
            <w:shd w:fill="1F3864" w:val="clear"/>
            <w:tcMar>
              <w:top w:type="dxa" w:w="120"/>
              <w:left w:type="dxa" w:w="100"/>
              <w:bottom w:type="dxa" w:w="120"/>
              <w:right w:type="dxa" w:w="100"/>
            </w:tcMar>
            <w:vAlign w:val="center"/>
          </w:tcPr>
          <w:p>
            <w:pPr>
              <w:spacing w:before="0" w:after="40"/>
              <w:jc w:val="center"/>
            </w:pPr>
            <w:r>
              <w:rPr>
                <w:rFonts w:ascii="Arial" w:cs="Arial" w:eastAsia="Arial" w:hAnsi="Arial"/>
                <w:b/>
                <w:bCs/>
                <w:color w:val="C9A227"/>
                <w:sz w:val="28"/>
                <w:szCs w:val="28"/>
              </w:rPr>
              <w:t xml:space="preserve">−23%</w:t>
            </w:r>
          </w:p>
          <w:p>
            <w:pPr>
              <w:spacing w:before="0" w:after="0"/>
              <w:jc w:val="center"/>
            </w:pPr>
            <w:r>
              <w:rPr>
                <w:rFonts w:ascii="Arial" w:cs="Arial" w:eastAsia="Arial" w:hAnsi="Arial"/>
                <w:color w:val="AED6F1"/>
                <w:sz w:val="15"/>
                <w:szCs w:val="15"/>
              </w:rPr>
              <w:t xml:space="preserve">Out-of-stock rate reduction</w:t>
            </w:r>
          </w:p>
        </w:tc>
      </w:tr>
    </w:tbl>
    <w:p>
      <w:r>
        <w:br w:type="page"/>
      </w:r>
    </w:p>
    <w:p>
      <w:pPr>
        <w:pStyle w:val="Heading1"/>
        <w:shd w:fill="1F3864" w:val="clear"/>
        <w:spacing w:before="400" w:after="180"/>
        <w:ind w:left="180"/>
      </w:pPr>
      <w:r>
        <w:rPr>
          <w:rFonts w:ascii="Arial" w:cs="Arial" w:eastAsia="Arial" w:hAnsi="Arial"/>
          <w:b/>
          <w:bCs/>
          <w:color w:val="FFFFFF"/>
          <w:sz w:val="34"/>
          <w:szCs w:val="34"/>
        </w:rPr>
        <w:t xml:space="preserve">5.9  Chapter Summary — Key Takeaways</w:t>
      </w:r>
    </w:p>
    <w:p>
      <w:pPr>
        <w:spacing w:before="60" w:after="120" w:line="360"/>
        <w:jc w:val="both"/>
      </w:pPr>
      <w:r>
        <w:rPr>
          <w:rFonts w:ascii="Arial" w:cs="Arial" w:eastAsia="Arial" w:hAnsi="Arial"/>
          <w:color w:val="1A1A1A"/>
          <w:sz w:val="21"/>
          <w:szCs w:val="21"/>
        </w:rPr>
        <w:t xml:space="preserve">Decision Trees, Random Forests, and Gradient Boosting (XGBoost, LightGBM, CatBoost) form the backbone of enterprise structured-data AI. The ten case studies — spanning HSBC, Allianz, Crédit Agricole, ING Bank, Mediobanca, Capital One, Progressive Insurance, Memorial Sloan Kettering, Scotiabank, and Walmart — demonstrate that choosing the right algorithm requires matching the algorithm's characteristics (speed, categorical handling, overfitting behaviour, interpretability) to the specific enterprise context.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75B6" w:sz="8"/>
              <w:left w:val="thick" w:color="2E75B6" w:sz="8"/>
              <w:bottom w:val="none" w:color="FFFFFF" w:sz="0"/>
              <w:right w:val="single" w:color="BBBBBB" w:sz="1"/>
            </w:tcBorders>
            <w:shd w:fill="D6E4F0" w:val="clear"/>
            <w:tcMar>
              <w:top w:type="dxa" w:w="100"/>
              <w:left w:type="dxa" w:w="180"/>
              <w:bottom w:type="dxa" w:w="0"/>
              <w:right w:type="dxa" w:w="180"/>
            </w:tcMar>
          </w:tcPr>
          <w:p>
            <w:pPr>
              <w:spacing w:before="0" w:after="0"/>
            </w:pPr>
            <w:r>
              <w:rPr>
                <w:rFonts w:ascii="Arial" w:cs="Arial" w:eastAsia="Arial" w:hAnsi="Arial"/>
                <w:b/>
                <w:bCs/>
                <w:color w:val="2E75B6"/>
                <w:sz w:val="21"/>
                <w:szCs w:val="21"/>
              </w:rPr>
              <w:t xml:space="preserve">Key Takeaways for the AI Architect</w:t>
            </w:r>
          </w:p>
        </w:tc>
      </w:tr>
      <w:tr>
        <w:tc>
          <w:tcPr>
            <w:tcBorders>
              <w:top w:val="none"/>
              <w:left w:val="thick" w:color="2E75B6" w:sz="8"/>
              <w:bottom w:val="single" w:color="BBBBBB" w:sz="1"/>
              <w:right w:val="single" w:color="BBBBBB" w:sz="1"/>
            </w:tcBorders>
            <w:shd w:fill="D6E4F0" w:val="clear"/>
            <w:tcMar>
              <w:top w:type="dxa" w:w="80"/>
              <w:left w:type="dxa" w:w="180"/>
              <w:bottom w:type="dxa" w:w="120"/>
              <w:right w:type="dxa" w:w="180"/>
            </w:tcMar>
          </w:tcPr>
          <w:p>
            <w:pPr>
              <w:spacing w:before="0" w:after="0"/>
              <w:jc w:val="both"/>
            </w:pPr>
            <w:r>
              <w:rPr>
                <w:rFonts w:ascii="Arial" w:cs="Arial" w:eastAsia="Arial" w:hAnsi="Arial"/>
                <w:color w:val="2A2A2A"/>
                <w:sz w:val="19"/>
                <w:szCs w:val="19"/>
              </w:rPr>
              <w:t xml:space="preserve">1.  CART splits minimise weighted impurity — Gini and entropy produce near-identical trees in practice; max_depth and min_samples_leaf matter more than split criterion.
2.  Random Forests reduce variance via averaging — feature randomness (m &lt; p at each split) decorrelates trees, unlocking variance reduction beyond plain bagging.
3.  Gradient Boosting builds an additive model on pseudo-residuals — the negative gradient generalises residuals to any differentiable loss function.
4.  XGBoost for general tabular; LightGBM for large n and high-cardinality categoricals; CatBoost when native ordered target encoding is critical to avoid leakage.
5.  SHAP TreeExplainer is the regulatory standard — MDI is biased; permutation importance is honest but slow; SHAP is both exact and theoretically grounded.
6.  EU AI Act Annex III high-risk applications require SHAP Annex IV documentation — global importance + individual waterfall explanations for adverse decisions.
7.  Stacking increases accuracy but requires SHAP decomposition at the stacked level for regulatory compliance — reserve for batch non-real-time scoring.
8.  Early stopping on a validation set is mandatory for GBM deployment — prevents overfitting and eliminates the need to pre-specify n_estimators.</w:t>
            </w:r>
          </w:p>
        </w:tc>
      </w:tr>
    </w:tbl>
    <w:p>
      <w:pPr>
        <w:spacing w:before="0" w:after="200"/>
      </w:pPr>
    </w:p>
    <w:p>
      <w:pPr>
        <w:pBdr>
          <w:top w:val="single" w:color="2E75B6" w:sz="4" w:space="8"/>
        </w:pBdr>
        <w:spacing w:before="200"/>
        <w:jc w:val="center"/>
      </w:pPr>
      <w:r>
        <w:rPr>
          <w:rFonts w:ascii="Arial" w:cs="Arial" w:eastAsia="Arial" w:hAnsi="Arial"/>
          <w:i/>
          <w:iCs/>
          <w:color w:val="595959"/>
          <w:sz w:val="17"/>
          <w:szCs w:val="17"/>
        </w:rPr>
        <w:t xml:space="preserve">CAISA™ Level 1 — Chapter 5 of 48  |  Part I: Machine Learning Foundations  |  Week 2</w:t>
      </w:r>
    </w:p>
    <w:p>
      <w:pPr>
        <w:spacing w:before="60" w:after="0"/>
        <w:jc w:val="center"/>
      </w:pPr>
      <w:r>
        <w:rPr>
          <w:rFonts w:ascii="Arial" w:cs="Arial" w:eastAsia="Arial" w:hAnsi="Arial"/>
          <w:i/>
          <w:iCs/>
          <w:color w:val="595959"/>
          <w:sz w:val="17"/>
          <w:szCs w:val="17"/>
        </w:rPr>
        <w:t xml:space="preserve">© SaamSoft Systems — All Rights Reserved  |  Confidential &amp; Proprietary</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7"/>
        <w:szCs w:val="17"/>
      </w:rPr>
      <w:t xml:space="preserve">© SaamSoft Systems  |  CAISA™ Level 1  |  Chapter 5 of 48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95959"/>
        <w:sz w:val="18"/>
        <w:szCs w:val="18"/>
      </w:rPr>
      <w:t xml:space="preserve">CAISA™ Level 1 — AI Foundations Architect</w:t>
    </w:r>
    <w:r>
      <w:rPr>
        <w:rFonts w:ascii="Arial" w:cs="Arial" w:eastAsia="Arial" w:hAnsi="Arial"/>
        <w:color w:val="2E75B6"/>
        <w:sz w:val="18"/>
        <w:szCs w:val="18"/>
      </w:rPr>
      <w:t xml:space="preserve">  |  Chapter 5: Decision Trees &amp; Ensemble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FFFFFF"/>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F3864"/>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2026-02-20T04:09:58.637Z</dcterms:created>
  <dcterms:modified xsi:type="dcterms:W3CDTF">2026-02-20T04:09:58.637Z</dcterms:modified>
</cp:coreProperties>
</file>

<file path=docProps/custom.xml><?xml version="1.0" encoding="utf-8"?>
<Properties xmlns="http://schemas.openxmlformats.org/officeDocument/2006/custom-properties" xmlns:vt="http://schemas.openxmlformats.org/officeDocument/2006/docPropsVTypes"/>
</file>