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2E75B6"/>
          <w:sz w:val="20"/>
          <w:szCs w:val="20"/>
        </w:rPr>
        <w:t xml:space="preserve">CAISA™ LEVEL 1  |  CHAPTER 6 OF 48</w:t>
      </w:r>
    </w:p>
    <w:p>
      <w:pPr>
        <w:spacing w:after="40"/>
        <w:jc w:val="center"/>
      </w:pPr>
      <w:r>
        <w:rPr>
          <w:rFonts w:ascii="Arial" w:cs="Arial" w:eastAsia="Arial" w:hAnsi="Arial"/>
          <w:b/>
          <w:bCs/>
          <w:color w:val="1F3864"/>
          <w:sz w:val="48"/>
          <w:szCs w:val="48"/>
        </w:rPr>
        <w:t xml:space="preserve">Neural Networks &amp; Deep Learning</w:t>
      </w:r>
    </w:p>
    <w:p>
      <w:pPr>
        <w:spacing w:after="40"/>
        <w:jc w:val="center"/>
      </w:pPr>
      <w:r>
        <w:rPr>
          <w:rFonts w:ascii="Arial" w:cs="Arial" w:eastAsia="Arial" w:hAnsi="Arial"/>
          <w:b/>
          <w:bCs/>
          <w:color w:val="C9A227"/>
          <w:sz w:val="34"/>
          <w:szCs w:val="34"/>
        </w:rPr>
        <w:t xml:space="preserve">Enterprise Deep Dive</w:t>
      </w:r>
    </w:p>
    <w:p>
      <w:pPr>
        <w:spacing w:after="200"/>
        <w:jc w:val="center"/>
      </w:pPr>
      <w:r>
        <w:rPr>
          <w:rFonts w:ascii="Arial" w:cs="Arial" w:eastAsia="Arial" w:hAnsi="Arial"/>
          <w:color w:val="595959"/>
          <w:sz w:val="19"/>
          <w:szCs w:val="19"/>
        </w:rPr>
        <w:t xml:space="preserve">MLP · Backpropagation · CNN · LSTM · Transformers · BERT · Attention · Explainability ·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Study Time</w:t>
            </w:r>
          </w:p>
          <w:p>
            <w:pPr>
              <w:spacing w:after="0"/>
              <w:jc w:val="center"/>
            </w:pPr>
            <w:r>
              <w:rPr>
                <w:rFonts w:ascii="Arial" w:cs="Arial" w:eastAsia="Arial" w:hAnsi="Arial"/>
                <w:b/>
                <w:bCs/>
                <w:color w:val="2E75B6"/>
                <w:sz w:val="21"/>
                <w:szCs w:val="21"/>
              </w:rPr>
              <w:t xml:space="preserve">3 Hours</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Case Studies</w:t>
            </w:r>
          </w:p>
          <w:p>
            <w:pPr>
              <w:spacing w:after="0"/>
              <w:jc w:val="center"/>
            </w:pPr>
            <w:r>
              <w:rPr>
                <w:rFonts w:ascii="Arial" w:cs="Arial" w:eastAsia="Arial" w:hAnsi="Arial"/>
                <w:b/>
                <w:bCs/>
                <w:color w:val="2E75B6"/>
                <w:sz w:val="21"/>
                <w:szCs w:val="21"/>
              </w:rPr>
              <w:t xml:space="preserve">10 Organisations</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Jurisdictions</w:t>
            </w:r>
          </w:p>
          <w:p>
            <w:pPr>
              <w:spacing w:after="0"/>
              <w:jc w:val="center"/>
            </w:pPr>
            <w:r>
              <w:rPr>
                <w:rFonts w:ascii="Arial" w:cs="Arial" w:eastAsia="Arial" w:hAnsi="Arial"/>
                <w:b/>
                <w:bCs/>
                <w:color w:val="2E75B6"/>
                <w:sz w:val="19"/>
                <w:szCs w:val="19"/>
              </w:rPr>
              <w:t xml:space="preserve">EU/UK/DE/FR/CH/NL/US/CA</w:t>
            </w:r>
          </w:p>
        </w:tc>
        <w:tc>
          <w:tcPr>
            <w:tcW w:type="dxa" w:w="2340"/>
            <w:tcBorders>
              <w:top w:val="single" w:color="2E75B6" w:sz="1"/>
              <w:left w:val="single" w:color="2E75B6" w:sz="1"/>
              <w:bottom w:val="single" w:color="2E75B6" w:sz="1"/>
              <w:right w:val="single" w:color="2E75B6" w:sz="1"/>
            </w:tcBorders>
            <w:shd w:fill="F2F2F2" w:val="clear"/>
            <w:tcMar>
              <w:top w:type="dxa" w:w="80"/>
              <w:left w:type="dxa" w:w="120"/>
              <w:bottom w:type="dxa" w:w="80"/>
              <w:right w:type="dxa" w:w="120"/>
            </w:tcMar>
          </w:tcPr>
          <w:p>
            <w:pPr>
              <w:spacing w:after="40"/>
              <w:jc w:val="center"/>
            </w:pPr>
            <w:r>
              <w:rPr>
                <w:rFonts w:ascii="Arial" w:cs="Arial" w:eastAsia="Arial" w:hAnsi="Arial"/>
                <w:b/>
                <w:bCs/>
                <w:color w:val="1F3864"/>
                <w:sz w:val="19"/>
                <w:szCs w:val="19"/>
              </w:rPr>
              <w:t xml:space="preserve">📅 Programme</w:t>
            </w:r>
          </w:p>
          <w:p>
            <w:pPr>
              <w:spacing w:after="0"/>
              <w:jc w:val="center"/>
            </w:pPr>
            <w:r>
              <w:rPr>
                <w:rFonts w:ascii="Arial" w:cs="Arial" w:eastAsia="Arial" w:hAnsi="Arial"/>
                <w:b/>
                <w:bCs/>
                <w:color w:val="2E75B6"/>
                <w:sz w:val="21"/>
                <w:szCs w:val="21"/>
              </w:rPr>
              <w:t xml:space="preserve">Week 2  |  Ch.6/48</w:t>
            </w:r>
          </w:p>
        </w:tc>
      </w:tr>
    </w:tbl>
    <w:p>
      <w:pPr>
        <w:spacing w:after="80"/>
      </w:pPr>
      <w:r>
        <w:t xml:space="preserve"/>
      </w:r>
    </w:p>
    <w:p>
      <w:pPr>
        <w:spacing w:after="80"/>
      </w:pPr>
      <w:r>
        <w:t xml:space="preserve"/>
      </w:r>
    </w:p>
    <w:p>
      <w:pPr>
        <w:pStyle w:val="Heading1"/>
        <w:spacing w:before="360" w:after="160"/>
      </w:pPr>
      <w:r>
        <w:rPr>
          <w:rFonts w:ascii="Arial" w:cs="Arial" w:eastAsia="Arial" w:hAnsi="Arial"/>
          <w:b/>
          <w:bCs/>
          <w:color w:val="1F3864"/>
          <w:sz w:val="32"/>
          <w:szCs w:val="32"/>
        </w:rPr>
        <w:t xml:space="preserve">Learning Objectives</w:t>
      </w:r>
    </w:p>
    <w:p>
      <w:pPr>
        <w:spacing w:after="120"/>
      </w:pPr>
      <w:r>
        <w:rPr>
          <w:rFonts w:ascii="Arial" w:cs="Arial" w:eastAsia="Arial" w:hAnsi="Arial"/>
          <w:color w:val="595959"/>
          <w:sz w:val="21"/>
          <w:szCs w:val="21"/>
        </w:rPr>
        <w:t xml:space="preserve">On completion of Chapter 6, the CAISA™ Level 1 candidate will be able to:</w:t>
      </w:r>
    </w:p>
    <w:p>
      <w:pPr>
        <w:pStyle w:val="ListParagraph"/>
        <w:numPr>
          <w:ilvl w:val="0"/>
          <w:numId w:val="2"/>
        </w:numPr>
        <w:spacing w:after="80"/>
      </w:pPr>
      <w:r>
        <w:rPr>
          <w:rFonts w:ascii="Arial" w:cs="Arial" w:eastAsia="Arial" w:hAnsi="Arial"/>
          <w:color w:val="595959"/>
          <w:sz w:val="21"/>
          <w:szCs w:val="21"/>
        </w:rPr>
        <w:t xml:space="preserve">Derive forward and backward propagation through a multi-layer network using the chain rule</w:t>
      </w:r>
    </w:p>
    <w:p>
      <w:pPr>
        <w:pStyle w:val="ListParagraph"/>
        <w:numPr>
          <w:ilvl w:val="0"/>
          <w:numId w:val="2"/>
        </w:numPr>
        <w:spacing w:after="80"/>
      </w:pPr>
      <w:r>
        <w:rPr>
          <w:rFonts w:ascii="Arial" w:cs="Arial" w:eastAsia="Arial" w:hAnsi="Arial"/>
          <w:color w:val="595959"/>
          <w:sz w:val="21"/>
          <w:szCs w:val="21"/>
        </w:rPr>
        <w:t xml:space="preserve">Describe activation functions — ReLU, sigmoid, tanh, softmax, GELU — and their gradient properties</w:t>
      </w:r>
    </w:p>
    <w:p>
      <w:pPr>
        <w:pStyle w:val="ListParagraph"/>
        <w:numPr>
          <w:ilvl w:val="0"/>
          <w:numId w:val="2"/>
        </w:numPr>
        <w:spacing w:after="80"/>
      </w:pPr>
      <w:r>
        <w:rPr>
          <w:rFonts w:ascii="Arial" w:cs="Arial" w:eastAsia="Arial" w:hAnsi="Arial"/>
          <w:color w:val="595959"/>
          <w:sz w:val="21"/>
          <w:szCs w:val="21"/>
        </w:rPr>
        <w:t xml:space="preserve">Explain the convolution operation, feature maps, pooling, and enterprise CNN architectures (ResNet, EfficientNet)</w:t>
      </w:r>
    </w:p>
    <w:p>
      <w:pPr>
        <w:pStyle w:val="ListParagraph"/>
        <w:numPr>
          <w:ilvl w:val="0"/>
          <w:numId w:val="2"/>
        </w:numPr>
        <w:spacing w:after="80"/>
      </w:pPr>
      <w:r>
        <w:rPr>
          <w:rFonts w:ascii="Arial" w:cs="Arial" w:eastAsia="Arial" w:hAnsi="Arial"/>
          <w:color w:val="595959"/>
          <w:sz w:val="21"/>
          <w:szCs w:val="21"/>
        </w:rPr>
        <w:t xml:space="preserve">Derive the LSTM gating mechanism and explain how it addresses the vanishing gradient problem</w:t>
      </w:r>
    </w:p>
    <w:p>
      <w:pPr>
        <w:pStyle w:val="ListParagraph"/>
        <w:numPr>
          <w:ilvl w:val="0"/>
          <w:numId w:val="2"/>
        </w:numPr>
        <w:spacing w:after="80"/>
      </w:pPr>
      <w:r>
        <w:rPr>
          <w:rFonts w:ascii="Arial" w:cs="Arial" w:eastAsia="Arial" w:hAnsi="Arial"/>
          <w:color w:val="595959"/>
          <w:sz w:val="21"/>
          <w:szCs w:val="21"/>
        </w:rPr>
        <w:t xml:space="preserve">Describe the Transformer self-attention mechanism (Q, K, V) and multi-head attention</w:t>
      </w:r>
    </w:p>
    <w:p>
      <w:pPr>
        <w:pStyle w:val="ListParagraph"/>
        <w:numPr>
          <w:ilvl w:val="0"/>
          <w:numId w:val="2"/>
        </w:numPr>
        <w:spacing w:after="80"/>
      </w:pPr>
      <w:r>
        <w:rPr>
          <w:rFonts w:ascii="Arial" w:cs="Arial" w:eastAsia="Arial" w:hAnsi="Arial"/>
          <w:color w:val="595959"/>
          <w:sz w:val="21"/>
          <w:szCs w:val="21"/>
        </w:rPr>
        <w:t xml:space="preserve">Identify appropriate regularisation strategies: Dropout, Batch Normalisation, Layer Normalisation, weight decay</w:t>
      </w:r>
    </w:p>
    <w:p>
      <w:pPr>
        <w:pStyle w:val="ListParagraph"/>
        <w:numPr>
          <w:ilvl w:val="0"/>
          <w:numId w:val="2"/>
        </w:numPr>
        <w:spacing w:after="80"/>
      </w:pPr>
      <w:r>
        <w:rPr>
          <w:rFonts w:ascii="Arial" w:cs="Arial" w:eastAsia="Arial" w:hAnsi="Arial"/>
          <w:color w:val="595959"/>
          <w:sz w:val="21"/>
          <w:szCs w:val="21"/>
        </w:rPr>
        <w:t xml:space="preserve">Apply neural network explainability methods — LIME, Integrated Gradients, GradCAM — to EU AI Act and OCC SR 11-7 requirements</w:t>
      </w:r>
    </w:p>
    <w:p>
      <w:pPr>
        <w:pStyle w:val="ListParagraph"/>
        <w:numPr>
          <w:ilvl w:val="0"/>
          <w:numId w:val="2"/>
        </w:numPr>
        <w:spacing w:after="80"/>
      </w:pPr>
      <w:r>
        <w:rPr>
          <w:rFonts w:ascii="Arial" w:cs="Arial" w:eastAsia="Arial" w:hAnsi="Arial"/>
          <w:color w:val="595959"/>
          <w:sz w:val="21"/>
          <w:szCs w:val="21"/>
        </w:rPr>
        <w:t xml:space="preserve">Analyse 10 enterprise deployments (5 Europe + 5 North America) with full regulatory mapping</w:t>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6.1  Multi-Layer Perceptron (MLP)</w:t>
      </w:r>
    </w:p>
    <w:p>
      <w:pPr>
        <w:pStyle w:val="Heading2"/>
        <w:spacing w:before="240" w:after="120"/>
      </w:pPr>
      <w:r>
        <w:rPr>
          <w:rFonts w:ascii="Arial" w:cs="Arial" w:eastAsia="Arial" w:hAnsi="Arial"/>
          <w:b/>
          <w:bCs/>
          <w:color w:val="2E75B6"/>
          <w:sz w:val="26"/>
          <w:szCs w:val="26"/>
        </w:rPr>
        <w:t xml:space="preserve">6.1.1  The Artificial Neuron</w:t>
      </w:r>
    </w:p>
    <w:p>
      <w:pPr>
        <w:spacing w:after="120"/>
      </w:pPr>
      <w:r>
        <w:rPr>
          <w:rFonts w:ascii="Arial" w:cs="Arial" w:eastAsia="Arial" w:hAnsi="Arial"/>
          <w:color w:val="595959"/>
          <w:sz w:val="21"/>
          <w:szCs w:val="21"/>
        </w:rPr>
        <w:t xml:space="preserve"/>
      </w:r>
      <w:r>
        <w:rPr>
          <w:rFonts w:ascii="Arial" w:cs="Arial" w:eastAsia="Arial" w:hAnsi="Arial"/>
          <w:b/>
          <w:bCs/>
          <w:color w:val="1F3864"/>
          <w:sz w:val="21"/>
          <w:szCs w:val="21"/>
        </w:rPr>
        <w:t xml:space="preserve">Biological analogy: </w:t>
      </w:r>
      <w:r>
        <w:rPr>
          <w:rFonts w:ascii="Arial" w:cs="Arial" w:eastAsia="Arial" w:hAnsi="Arial"/>
          <w:color w:val="595959"/>
          <w:sz w:val="21"/>
          <w:szCs w:val="21"/>
        </w:rPr>
        <w:t xml:space="preserve">The artificial neuron maps dendrites → input weights, cell body → weighted sum + bias, axon → activation output. Frank Rosenblatt's Perceptron (1958) formalised this. Stacking neurons in layers creates a Multi-Layer Perceptron (MLP), also called a fully connected feedforward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Single neuron:
  z = w·x + b = w₀ + w₁x₁ + w₂x₂ + ... + wₚxₚ
  a = σ(z)       (activation function applied element-wise)
Matrix form for layer l:
  z⁽ˡ⁾ = W⁽ˡ⁾ · a⁽ˡ⁻¹⁾ + b⁽ˡ⁾
  a⁽ˡ⁾ = σ(z⁽ˡ⁾)</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6.1.2  Activation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2E75B6"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KEY</w:t>
            </w:r>
          </w:p>
        </w:tc>
        <w:tc>
          <w:tcPr>
            <w:tcW w:type="dxa" w:w="9120"/>
            <w:tcBorders>
              <w:top w:val="single" w:color="FFFFFF" w:sz="1"/>
              <w:left w:val="single" w:color="FFFFFF" w:sz="1"/>
              <w:bottom w:val="single" w:color="FFFFFF" w:sz="1"/>
              <w:right w:val="single" w:color="FFFFFF" w:sz="1"/>
            </w:tcBorders>
            <w:shd w:fill="D6E4F0" w:val="clear"/>
            <w:tcMar>
              <w:top w:type="dxa" w:w="80"/>
              <w:left w:type="dxa" w:w="120"/>
              <w:bottom w:type="dxa" w:w="80"/>
              <w:right w:type="dxa" w:w="120"/>
            </w:tcMar>
          </w:tcPr>
          <w:p>
            <w:pPr>
              <w:spacing w:after="0"/>
            </w:pPr>
            <w:r>
              <w:rPr>
                <w:rFonts w:ascii="Arial" w:cs="Arial" w:eastAsia="Arial" w:hAnsi="Arial"/>
                <w:color w:val="595959"/>
                <w:sz w:val="20"/>
                <w:szCs w:val="20"/>
              </w:rPr>
              <w:t xml:space="preserve">Activation functions introduce non-linearity — without them, any depth of linear layers collapses to a single affine transformation. The Universal Approximation Theorem (Cybenko 1989; Hornik 1991) proves that a single hidden layer MLP with sufficient neurons can approximate any continuous function. Depth provides exponential representational efficiency over width alone.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1440"/>
        <w:gridCol w:w="1680"/>
        <w:gridCol w:w="2280"/>
      </w:tblGrid>
      <w:tr>
        <w:trPr>
          <w:tblHeader/>
        </w:trPr>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Function</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Formula</w:t>
            </w:r>
          </w:p>
        </w:tc>
        <w:tc>
          <w:tcPr>
            <w:tcW w:type="dxa" w:w="144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Range</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Issue</w:t>
            </w:r>
          </w:p>
        </w:tc>
        <w:tc>
          <w:tcPr>
            <w:tcW w:type="dxa" w:w="22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Use</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ReLU</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max(0,z)</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[0, ∞)</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Dying ReLU</w:t>
            </w:r>
          </w:p>
        </w:tc>
        <w:tc>
          <w:tcPr>
            <w:tcW w:type="dxa" w:w="22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Default hidden layers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Leaky ReLU</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max(0.01z, z)</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 ∞)</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None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Deep networks</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Sigmoid</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1/(1+e⁻ᶻ)</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(0, 1)</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Vanishing gradient</w:t>
            </w:r>
          </w:p>
        </w:tc>
        <w:tc>
          <w:tcPr>
            <w:tcW w:type="dxa" w:w="22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Binary output layer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Tanh</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(eᶻ-e⁻ᶻ)/(eᶻ+e⁻ᶻ)</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(-1, 1)</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Vanishing (mild)</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LSTM gates</w:t>
            </w:r>
          </w:p>
        </w:tc>
      </w:tr>
      <w:tr>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Softmax</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eᶻᵏ/Σeᶻʲ</w:t>
            </w:r>
          </w:p>
        </w:tc>
        <w:tc>
          <w:tcPr>
            <w:tcW w:type="dxa" w:w="144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(0,1) sums to 1</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w:t>
            </w:r>
          </w:p>
        </w:tc>
        <w:tc>
          <w:tcPr>
            <w:tcW w:type="dxa" w:w="22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Multi-class output</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GELU</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z·Φ(z)</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 ∞)</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Transformers (BERT, GPT)</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6.2  Backpropagation &amp; Gradient Descent</w:t>
      </w:r>
    </w:p>
    <w:p>
      <w:pPr>
        <w:pStyle w:val="Heading2"/>
        <w:spacing w:before="240" w:after="120"/>
      </w:pPr>
      <w:r>
        <w:rPr>
          <w:rFonts w:ascii="Arial" w:cs="Arial" w:eastAsia="Arial" w:hAnsi="Arial"/>
          <w:b/>
          <w:bCs/>
          <w:color w:val="2E75B6"/>
          <w:sz w:val="26"/>
          <w:szCs w:val="26"/>
        </w:rPr>
        <w:t xml:space="preserve">6.2.1  The Chain Rule</w:t>
      </w:r>
    </w:p>
    <w:p>
      <w:pPr>
        <w:spacing w:after="120"/>
      </w:pPr>
      <w:r>
        <w:rPr>
          <w:rFonts w:ascii="Arial" w:cs="Arial" w:eastAsia="Arial" w:hAnsi="Arial"/>
          <w:color w:val="595959"/>
          <w:sz w:val="21"/>
          <w:szCs w:val="21"/>
        </w:rPr>
        <w:t xml:space="preserve">Backpropagation (Rumelhart, Hinton &amp; Williams, 1986) computes ∂L/∂W⁽ˡ⁾ for all layers via one reverse pass through the network — as efficient as the forward pass. The key insight: error signals δ⁽ˡ⁾ flow backward, accumulating gradients layer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Forward:  compute activations a⁽¹⁾,...,a⁽ᴸ⁾ and loss L(y, a⁽ᴸ⁾)
Backward (for each layer l from L down to 1):
  δ⁽ᴸ⁾ = ∇_{a⁽ᴸ⁾}L ⊙ σ'(z⁽ᴸ⁾)                    (output layer error)
  δ⁽ˡ⁾ = (W⁽ˡ⁺¹⁾)ᵀ · δ⁽ˡ⁺¹⁾ ⊙ σ'(z⁽ˡ⁾)            (hidden layer error)
  ∂L/∂W⁽ˡ⁾ = δ⁽ˡ⁾ · (a⁽ˡ⁻¹⁾)ᵀ   (weight gradient)
  ∂L/∂b⁽ˡ⁾ = δ⁽ˡ⁾                (bias gradient)
SGD update:  W⁽ˡ⁾ ← W⁽ˡ⁾ − η · ∂L/∂W⁽ˡ⁾</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6.2.2  Optimisers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Optimiser</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Update Rule</w:t>
            </w:r>
          </w:p>
        </w:tc>
        <w:tc>
          <w:tcPr>
            <w:tcW w:type="dxa" w:w="3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Notes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SGD</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θ ← θ − η·∇L</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With momentum=0.9; LR scheduling critical for CNNs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RMSprop</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v ← ρv+(1-ρ)g²; θ ← θ−η/√v·g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Adaptive per-param LR; good for RNNs</w:t>
            </w:r>
          </w:p>
        </w:tc>
      </w:tr>
      <w:tr>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Adam</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m=β₁m+(1-β₁)g; v=β₂v+(1-β₂)g²; θ←θ−η·m̂/√v̂</w:t>
            </w:r>
          </w:p>
        </w:tc>
        <w:tc>
          <w:tcPr>
            <w:tcW w:type="dxa" w:w="3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Default for MLPs and Transformers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AdamW</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Adam + decoupled L2 weight decay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Preferred for BERT/GPT fine-tuning</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6.3  Convolutional Neural Networks (CNN)</w:t>
      </w:r>
    </w:p>
    <w:p>
      <w:pPr>
        <w:pStyle w:val="Heading2"/>
        <w:spacing w:before="240" w:after="120"/>
      </w:pPr>
      <w:r>
        <w:rPr>
          <w:rFonts w:ascii="Arial" w:cs="Arial" w:eastAsia="Arial" w:hAnsi="Arial"/>
          <w:b/>
          <w:bCs/>
          <w:color w:val="2E75B6"/>
          <w:sz w:val="26"/>
          <w:szCs w:val="26"/>
        </w:rPr>
        <w:t xml:space="preserve">6.3.1  The Convolution Operation</w:t>
      </w:r>
    </w:p>
    <w:p>
      <w:pPr>
        <w:spacing w:after="120"/>
      </w:pPr>
      <w:r>
        <w:rPr>
          <w:rFonts w:ascii="Arial" w:cs="Arial" w:eastAsia="Arial" w:hAnsi="Arial"/>
          <w:color w:val="595959"/>
          <w:sz w:val="21"/>
          <w:szCs w:val="21"/>
        </w:rPr>
        <w:t xml:space="preserve">Convolution exploits spatial structure: a small learnable filter slides across the input computing dot products at each position. Weight sharing across positions makes CNNs highly parameter-efficient vs. MLPs for images. Key properties: local receptive field, translation equivariance, spatial hierarchy through stacked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2D Convolution:  S[i,j] = Σₘ Σₙ I[i+m, j+n] · K[m,n]
Output size:  H_out = floor((H_in + 2P − F) / S) + 1
  P = zero-padding,  F = filter size,  S = stride
ResNet skip connection (He et al., 2015):
  a⁽ˡ⁺²⁾ = ReLU( F(a⁽ˡ⁾, {W}) + a⁽ˡ⁾ )
  Gradient flows directly via identity shortcut → solves vanishing gradient for 100+ layer networks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2E75B6"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TRANSFER LEARNING</w:t>
            </w:r>
          </w:p>
        </w:tc>
        <w:tc>
          <w:tcPr>
            <w:tcW w:type="dxa" w:w="9120"/>
            <w:tcBorders>
              <w:top w:val="single" w:color="FFFFFF" w:sz="1"/>
              <w:left w:val="single" w:color="FFFFFF" w:sz="1"/>
              <w:bottom w:val="single" w:color="FFFFFF" w:sz="1"/>
              <w:right w:val="single" w:color="FFFFFF" w:sz="1"/>
            </w:tcBorders>
            <w:shd w:fill="EAF0FB" w:val="clear"/>
            <w:tcMar>
              <w:top w:type="dxa" w:w="80"/>
              <w:left w:type="dxa" w:w="120"/>
              <w:bottom w:type="dxa" w:w="80"/>
              <w:right w:type="dxa" w:w="120"/>
            </w:tcMar>
          </w:tcPr>
          <w:p>
            <w:pPr>
              <w:spacing w:after="0"/>
            </w:pPr>
            <w:r>
              <w:rPr>
                <w:rFonts w:ascii="Arial" w:cs="Arial" w:eastAsia="Arial" w:hAnsi="Arial"/>
                <w:color w:val="595959"/>
                <w:sz w:val="20"/>
                <w:szCs w:val="20"/>
              </w:rPr>
              <w:t xml:space="preserve">ImageNet pre-trained weights (ResNet-50, EfficientNet-B4) are the enterprise default for any image task. Fine-tuning the final 2–3 layers requires 10,000–100,000 labelled examples and converges in hours vs. weeks for training from scratch. This is used in all image-based case studies in §6.8.</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6.4  Recurrent Networks &amp; LSTM</w:t>
      </w:r>
    </w:p>
    <w:p>
      <w:pPr>
        <w:pStyle w:val="Heading2"/>
        <w:spacing w:before="240" w:after="120"/>
      </w:pPr>
      <w:r>
        <w:rPr>
          <w:rFonts w:ascii="Arial" w:cs="Arial" w:eastAsia="Arial" w:hAnsi="Arial"/>
          <w:b/>
          <w:bCs/>
          <w:color w:val="2E75B6"/>
          <w:sz w:val="26"/>
          <w:szCs w:val="26"/>
        </w:rPr>
        <w:t xml:space="preserve">6.4.1  Vanishing Gradient Problem</w:t>
      </w:r>
    </w:p>
    <w:p>
      <w:pPr>
        <w:spacing w:after="120"/>
      </w:pPr>
      <w:r>
        <w:rPr>
          <w:rFonts w:ascii="Arial" w:cs="Arial" w:eastAsia="Arial" w:hAnsi="Arial"/>
          <w:color w:val="595959"/>
          <w:sz w:val="21"/>
          <w:szCs w:val="21"/>
        </w:rPr>
        <w:t xml:space="preserve">Standard RNNs propagate gradients T timesteps back via BPTT. With T steps, gradients involve ||W||^T — vanishing to zero (||W||&lt;1) or exploding to infinity (||W||&gt;1). Practical limit: ~10–20 timesteps. LSTM (Hochreiter &amp; Schmidhuber, 1997) solves this via a cell state with additive — not multiplicative — updates.</w:t>
      </w:r>
    </w:p>
    <w:p>
      <w:pPr>
        <w:pStyle w:val="Heading2"/>
        <w:spacing w:before="240" w:after="120"/>
      </w:pPr>
      <w:r>
        <w:rPr>
          <w:rFonts w:ascii="Arial" w:cs="Arial" w:eastAsia="Arial" w:hAnsi="Arial"/>
          <w:b/>
          <w:bCs/>
          <w:color w:val="2E75B6"/>
          <w:sz w:val="26"/>
          <w:szCs w:val="26"/>
        </w:rPr>
        <w:t xml:space="preserve">6.4.2  LSTM Gating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LSTM Equations (σ = sigmoid, ⊙ = element-wise multiply):
  Forget gate:   fₜ = σ(Wf·[hₜ₋₁, xₜ] + bf)       What to forget from cₜ₋₁
  Input gate:    iₜ = σ(Wi·[hₜ₋₁, xₜ] + bi)       What new info to store
  Cell candidate: c̃ₜ = tanh(Wc·[hₜ₋₁, xₜ] + bc)  New candidate values
  Cell state:    cₜ = fₜ⊙cₜ₋₁ + iₜ⊙c̃ₜ            Additive update (no vanishing!)
  Output gate:   oₜ = σ(Wo·[hₜ₋₁, xₜ] + bo)       What to expose
  Hidden state:  hₜ = oₜ ⊙ tanh(cₜ)               Filtered output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2E75B6"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BiLSTM</w:t>
            </w:r>
          </w:p>
        </w:tc>
        <w:tc>
          <w:tcPr>
            <w:tcW w:type="dxa" w:w="9120"/>
            <w:tcBorders>
              <w:top w:val="single" w:color="FFFFFF" w:sz="1"/>
              <w:left w:val="single" w:color="FFFFFF" w:sz="1"/>
              <w:bottom w:val="single" w:color="FFFFFF" w:sz="1"/>
              <w:right w:val="single" w:color="FFFFFF" w:sz="1"/>
            </w:tcBorders>
            <w:shd w:fill="D6E4F0" w:val="clear"/>
            <w:tcMar>
              <w:top w:type="dxa" w:w="80"/>
              <w:left w:type="dxa" w:w="120"/>
              <w:bottom w:type="dxa" w:w="80"/>
              <w:right w:type="dxa" w:w="120"/>
            </w:tcMar>
          </w:tcPr>
          <w:p>
            <w:pPr>
              <w:spacing w:after="0"/>
            </w:pPr>
            <w:r>
              <w:rPr>
                <w:rFonts w:ascii="Arial" w:cs="Arial" w:eastAsia="Arial" w:hAnsi="Arial"/>
                <w:color w:val="595959"/>
                <w:sz w:val="20"/>
                <w:szCs w:val="20"/>
              </w:rPr>
              <w:t xml:space="preserve">Bidirectional LSTM runs two LSTMs — one forward, one backward over the sequence — and concatenates their hidden states. Captures both past and future context. Enterprise default for text classification, NER, and sequence labelling where full sequence is available at inference time.</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6.5  Transformers &amp; Attention</w:t>
      </w:r>
    </w:p>
    <w:p>
      <w:pPr>
        <w:pStyle w:val="Heading2"/>
        <w:spacing w:before="240" w:after="120"/>
      </w:pPr>
      <w:r>
        <w:rPr>
          <w:rFonts w:ascii="Arial" w:cs="Arial" w:eastAsia="Arial" w:hAnsi="Arial"/>
          <w:b/>
          <w:bCs/>
          <w:color w:val="2E75B6"/>
          <w:sz w:val="26"/>
          <w:szCs w:val="26"/>
        </w:rPr>
        <w:t xml:space="preserve">6.5.1  Self-Attention</w:t>
      </w:r>
    </w:p>
    <w:p>
      <w:pPr>
        <w:spacing w:after="120"/>
      </w:pPr>
      <w:r>
        <w:rPr>
          <w:rFonts w:ascii="Arial" w:cs="Arial" w:eastAsia="Arial" w:hAnsi="Arial"/>
          <w:color w:val="595959"/>
          <w:sz w:val="21"/>
          <w:szCs w:val="21"/>
        </w:rPr>
        <w:t xml:space="preserve">'Attention Is All You Need' (Vaswani et al., 2017) replaces recurrence with self-attention. Every token attends to every other token in parallel — O(1) distance for any dependency, full training parallelism. Scaled dot-product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Q = XWq,  K = XWk,  V = XWv       (learned projections from input X)
Attention(Q,K,V) = softmax( QKᵀ / √dₖ ) · V
  Q = queries (what am I looking for?)
  K = keys    (what do I have?)
  V = values  (what to return?)
  √dₖ = scaling factor to prevent vanishing softmax gradients
Multi-Head Attention:
  headi = Attention(QWiq, KWik, VWiv)    for i=1..h
  MultiHead(Q,K,V) = Concat(head₁,...,headh) · Wo</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6.5.2  BERT and Enterprise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2E75B6"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BERT</w:t>
            </w:r>
          </w:p>
        </w:tc>
        <w:tc>
          <w:tcPr>
            <w:tcW w:type="dxa" w:w="9120"/>
            <w:tcBorders>
              <w:top w:val="single" w:color="FFFFFF" w:sz="1"/>
              <w:left w:val="single" w:color="FFFFFF" w:sz="1"/>
              <w:bottom w:val="single" w:color="FFFFFF" w:sz="1"/>
              <w:right w:val="single" w:color="FFFFFF" w:sz="1"/>
            </w:tcBorders>
            <w:shd w:fill="D6E4F0" w:val="clear"/>
            <w:tcMar>
              <w:top w:type="dxa" w:w="80"/>
              <w:left w:type="dxa" w:w="120"/>
              <w:bottom w:type="dxa" w:w="80"/>
              <w:right w:type="dxa" w:w="120"/>
            </w:tcMar>
          </w:tcPr>
          <w:p>
            <w:pPr>
              <w:spacing w:after="0"/>
            </w:pPr>
            <w:r>
              <w:rPr>
                <w:rFonts w:ascii="Arial" w:cs="Arial" w:eastAsia="Arial" w:hAnsi="Arial"/>
                <w:color w:val="595959"/>
                <w:sz w:val="20"/>
                <w:szCs w:val="20"/>
              </w:rPr>
              <w:t xml:space="preserve">BERT (Devlin et al., 2018) uses a Transformer encoder stack pre-trained via Masked Language Modelling (15% of tokens masked, predict them) and Next Sentence Prediction. Fine-tuning on domain data requires only 1,000–10,000 labelled examples and 2–4 training epochs. Domain variants: FinBERT (financial), LegalBERT (legal), ClinicalBERT (clinical).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2200"/>
        <w:gridCol w:w="368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Model</w:t>
            </w:r>
          </w:p>
        </w:tc>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Architecture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Pre-training</w:t>
            </w:r>
          </w:p>
        </w:tc>
        <w:tc>
          <w:tcPr>
            <w:tcW w:type="dxa" w:w="3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Enterprise Applications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BERT-base</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Encoder, 12L</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MLM + NSP</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Classification, NER, QA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RoBERTa</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Encoder, 12L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MLM improved</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Superior NLU benchmarks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FinBERT</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Encoder, 12L</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MLM on finance</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Sentiment, MiFID II compliance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GPT-4</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Decoder, 96L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Causal LM</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Generation, summarisation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Sentence-BERT</w:t>
            </w:r>
          </w:p>
        </w:tc>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Encoder + pool</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Siamese fine-tune</w:t>
            </w:r>
          </w:p>
        </w:tc>
        <w:tc>
          <w:tcPr>
            <w:tcW w:type="dxa" w:w="3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Semantic search, similarity</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6.6  Regularisation &amp; Generalisation</w:t>
      </w:r>
    </w:p>
    <w:p>
      <w:pPr>
        <w:pStyle w:val="Heading2"/>
        <w:spacing w:before="240" w:after="120"/>
      </w:pPr>
      <w:r>
        <w:rPr>
          <w:rFonts w:ascii="Arial" w:cs="Arial" w:eastAsia="Arial" w:hAnsi="Arial"/>
          <w:b/>
          <w:bCs/>
          <w:color w:val="2E75B6"/>
          <w:sz w:val="26"/>
          <w:szCs w:val="26"/>
        </w:rPr>
        <w:t xml:space="preserve">6.6.1  Dropout, Batch Norm, Layer 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F1F38" w:val="clear"/>
            <w:tcMar>
              <w:top w:type="dxa" w:w="120"/>
              <w:left w:type="dxa" w:w="200"/>
              <w:bottom w:type="dxa" w:w="120"/>
              <w:right w:type="dxa" w:w="120"/>
            </w:tcMar>
          </w:tcPr>
          <w:p>
            <w:pPr>
              <w:spacing w:after="0"/>
            </w:pPr>
            <w:r>
              <w:rPr>
                <w:rFonts w:ascii="Courier New" w:cs="Courier New" w:eastAsia="Courier New" w:hAnsi="Courier New"/>
                <w:color w:val="AED6F1"/>
                <w:sz w:val="19"/>
                <w:szCs w:val="19"/>
              </w:rPr>
              <w:t xml:space="preserve">Dropout (p = drop probability):
  Training: mask each neuron Bernoulli(1-p); scale survivors by 1/(1-p)
  Inference: use all neurons (no masking)
  Enterprise defaults: p=0.1–0.3 hidden layers; p=0.0 directly after BatchNorm
Batch Normalisation:
  μ_B = mean(x_B);  σ²_B = var(x_B);  x̂ = (x-μ_B)/√(σ²_B+ε)
  y = γ·x̂ + β    (γ,β learned)
  Benefits: faster convergence, higher LR tolerance, mild regularisation
Layer Normalisation (Transformers):
  Normalises across features per sample (not across batch)
  Required when batch size = 1 or batch statistics unreliable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3800"/>
      </w:tblGrid>
      <w:tr>
        <w:trPr>
          <w:tblHeader/>
        </w:trPr>
        <w:tc>
          <w:tcPr>
            <w:tcW w:type="dxa" w:w="1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Method</w:t>
            </w:r>
          </w:p>
        </w:tc>
        <w:tc>
          <w:tcPr>
            <w:tcW w:type="dxa" w:w="3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Mechanism</w:t>
            </w:r>
          </w:p>
        </w:tc>
        <w:tc>
          <w:tcPr>
            <w:tcW w:type="dxa" w:w="3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Best For</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Dropout</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Random neuron masking per batch</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FC layers, Transformer attention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Batch Norm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Normalise activations within mini-batch</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CNNs, deep MLPs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Layer Norm</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Normalise across features within sample</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Transformers, RNNs, small batches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L2 Weight Decay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Add λ||W||² to loss (or AdamW)</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All architectures</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Early Stopping</w:t>
            </w:r>
          </w:p>
        </w:tc>
        <w:tc>
          <w:tcPr>
            <w:tcW w:type="dxa" w:w="37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Halt when val loss stops improving</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All architectures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Data Augmentation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Random transforms on training inputs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CNNs — image and audio tasks</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6.7  Explainability &amp; Regulatory Framework</w:t>
      </w:r>
    </w:p>
    <w:p>
      <w:pPr>
        <w:pStyle w:val="Heading2"/>
        <w:spacing w:before="240" w:after="120"/>
      </w:pPr>
      <w:r>
        <w:rPr>
          <w:rFonts w:ascii="Arial" w:cs="Arial" w:eastAsia="Arial" w:hAnsi="Arial"/>
          <w:b/>
          <w:bCs/>
          <w:color w:val="2E75B6"/>
          <w:sz w:val="26"/>
          <w:szCs w:val="26"/>
        </w:rPr>
        <w:t xml:space="preserve">6.7.1  Methods for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FFFFFF" w:sz="1"/>
              <w:left w:val="single" w:color="FFFFFF" w:sz="1"/>
              <w:bottom w:val="single" w:color="FFFFFF" w:sz="1"/>
              <w:right w:val="single" w:color="FFFFFF" w:sz="1"/>
            </w:tcBorders>
            <w:shd w:fill="C9A227" w:val="clear"/>
            <w:tcMar>
              <w:top w:type="dxa" w:w="80"/>
              <w:left w:type="dxa" w:w="80"/>
              <w:bottom w:type="dxa" w:w="80"/>
              <w:right w:type="dxa" w:w="60"/>
            </w:tcMar>
          </w:tcPr>
          <w:p>
            <w:pPr>
              <w:spacing w:after="0"/>
            </w:pPr>
            <w:r>
              <w:rPr>
                <w:rFonts w:ascii="Arial" w:cs="Arial" w:eastAsia="Arial" w:hAnsi="Arial"/>
                <w:b/>
                <w:bCs/>
                <w:color w:val="FFFFFF"/>
                <w:sz w:val="18"/>
                <w:szCs w:val="18"/>
              </w:rPr>
              <w:t xml:space="preserve">REGULATORY NOTE</w:t>
            </w:r>
          </w:p>
        </w:tc>
        <w:tc>
          <w:tcPr>
            <w:tcW w:type="dxa" w:w="9120"/>
            <w:tcBorders>
              <w:top w:val="single" w:color="FFFFFF" w:sz="1"/>
              <w:left w:val="single" w:color="FFFFFF" w:sz="1"/>
              <w:bottom w:val="single" w:color="FFFFFF" w:sz="1"/>
              <w:right w:val="single" w:color="FFFFFF" w:sz="1"/>
            </w:tcBorders>
            <w:shd w:fill="FEF9E7" w:val="clear"/>
            <w:tcMar>
              <w:top w:type="dxa" w:w="80"/>
              <w:left w:type="dxa" w:w="120"/>
              <w:bottom w:type="dxa" w:w="80"/>
              <w:right w:type="dxa" w:w="120"/>
            </w:tcMar>
          </w:tcPr>
          <w:p>
            <w:pPr>
              <w:spacing w:after="0"/>
            </w:pPr>
            <w:r>
              <w:rPr>
                <w:rFonts w:ascii="Arial" w:cs="Arial" w:eastAsia="Arial" w:hAnsi="Arial"/>
                <w:color w:val="595959"/>
                <w:sz w:val="20"/>
                <w:szCs w:val="20"/>
              </w:rPr>
              <w:t xml:space="preserve">SHAP TreeExplainer is exact and polynomial-time for tree models. For neural networks, all methods are approximate. EU AI Act Annex III requires 'sufficient transparency' — regulators accept LIME, Integrated Gradients, or GradCAM as compliant when combined with model cards, holdout metrics, and bias documentation.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680"/>
        <w:gridCol w:w="2520"/>
        <w:gridCol w:w="2480"/>
      </w:tblGrid>
      <w:tr>
        <w:trPr>
          <w:tblHeader/>
        </w:trPr>
        <w:tc>
          <w:tcPr>
            <w:tcW w:type="dxa" w:w="1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Method</w:t>
            </w:r>
          </w:p>
        </w:tc>
        <w:tc>
          <w:tcPr>
            <w:tcW w:type="dxa" w:w="26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Mechanism</w:t>
            </w:r>
          </w:p>
        </w:tc>
        <w:tc>
          <w:tcPr>
            <w:tcW w:type="dxa" w:w="252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Best For</w:t>
            </w:r>
          </w:p>
        </w:tc>
        <w:tc>
          <w:tcPr>
            <w:tcW w:type="dxa" w:w="248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Regulatory Use</w:t>
            </w:r>
          </w:p>
        </w:tc>
      </w:tr>
      <w:tr>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LIME</w:t>
            </w:r>
          </w:p>
        </w:tc>
        <w:tc>
          <w:tcPr>
            <w:tcW w:type="dxa" w:w="2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Local linear approx around x via perturbed samples</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Tabular, text, image</w:t>
            </w:r>
          </w:p>
        </w:tc>
        <w:tc>
          <w:tcPr>
            <w:tcW w:type="dxa" w:w="2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EBA, OCC adverse action</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Integrated Gradients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Accumulate gradients along path from baseline to x</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All differentiable models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IV</w:t>
            </w:r>
          </w:p>
        </w:tc>
      </w:tr>
      <w:tr>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GradCAM</w:t>
            </w:r>
          </w:p>
        </w:tc>
        <w:tc>
          <w:tcPr>
            <w:tcW w:type="dxa" w:w="2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Gradient of class score w.r.t. final conv feature maps</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CNN image classification</w:t>
            </w:r>
          </w:p>
        </w:tc>
        <w:tc>
          <w:tcPr>
            <w:tcW w:type="dxa" w:w="2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FDA SaMD, clinical AI</w:t>
            </w:r>
          </w:p>
        </w:tc>
      </w:tr>
      <w:tr>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Attention Weights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Visualise self-attention score matrix</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Transformers (text, image)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MiFID II, AML NLP</w:t>
            </w:r>
          </w:p>
        </w:tc>
      </w:tr>
      <w:tr>
        <w:tc>
          <w:tcPr>
            <w:tcW w:type="dxa" w:w="1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SHAP KernelSHAP</w:t>
            </w:r>
          </w:p>
        </w:tc>
        <w:tc>
          <w:tcPr>
            <w:tcW w:type="dxa" w:w="26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Model-agnostic Shapley sampling</w:t>
            </w:r>
          </w:p>
        </w:tc>
        <w:tc>
          <w:tcPr>
            <w:tcW w:type="dxa" w:w="252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Any model</w:t>
            </w:r>
          </w:p>
        </w:tc>
        <w:tc>
          <w:tcPr>
            <w:tcW w:type="dxa" w:w="248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GDPR Art. 22</w:t>
            </w:r>
          </w:p>
        </w:tc>
      </w:tr>
    </w:tbl>
    <w:p>
      <w:pPr>
        <w:spacing w:after="80"/>
      </w:pPr>
      <w:r>
        <w:t xml:space="preserve"/>
      </w:r>
    </w:p>
    <w:p>
      <w:pPr>
        <w:pStyle w:val="Heading2"/>
        <w:spacing w:before="240" w:after="120"/>
      </w:pPr>
      <w:r>
        <w:rPr>
          <w:rFonts w:ascii="Arial" w:cs="Arial" w:eastAsia="Arial" w:hAnsi="Arial"/>
          <w:b/>
          <w:bCs/>
          <w:color w:val="2E75B6"/>
          <w:sz w:val="26"/>
          <w:szCs w:val="26"/>
        </w:rPr>
        <w:t xml:space="preserve">6.7.2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Regulation</w:t>
            </w:r>
          </w:p>
        </w:tc>
        <w:tc>
          <w:tcPr>
            <w:tcW w:type="dxa" w:w="6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spacing w:after="0"/>
            </w:pPr>
            <w:r>
              <w:rPr>
                <w:rFonts w:ascii="Arial" w:cs="Arial" w:eastAsia="Arial" w:hAnsi="Arial"/>
                <w:b/>
                <w:bCs/>
                <w:color w:val="C9A227"/>
                <w:sz w:val="19"/>
                <w:szCs w:val="19"/>
              </w:rPr>
              <w:t xml:space="preserve">Deep-Learning-Specific Requirement</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EU AI Act Annex III</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High-risk DL: Annex IV technical doc, IG/GradCAM explainability, human oversight, post-market PSI monitoring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EBA GL/2020/06</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DL credit models: LIME or IG top-20 features; OOT stability; challenger vs logistic baseline required</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OCC SR 11-7</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Conceptual soundness: architecture rationale, hyperparameter docs, representative holdout validation, drift monitoring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GDPR Art. 22</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pPr>
            <w:r>
              <w:rPr>
                <w:rFonts w:ascii="Arial" w:cs="Arial" w:eastAsia="Arial" w:hAnsi="Arial"/>
                <w:color w:val="595959"/>
                <w:sz w:val="19"/>
                <w:szCs w:val="19"/>
              </w:rPr>
              <w:t xml:space="preserve">Automated individual decisions: local explanation (LIME or IG) must be feature-level, not just model-level</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FDA AI/ML SaMD</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pPr>
              <w:spacing w:after="0"/>
            </w:pPr>
            <w:r>
              <w:rPr>
                <w:rFonts w:ascii="Arial" w:cs="Arial" w:eastAsia="Arial" w:hAnsi="Arial"/>
                <w:color w:val="595959"/>
                <w:sz w:val="19"/>
                <w:szCs w:val="19"/>
              </w:rPr>
              <w:t xml:space="preserve">Clinical DL: prospective external validation; GradCAM maps in 510(k) submission; post-market monitoring</w:t>
            </w:r>
          </w:p>
        </w:tc>
      </w:tr>
    </w:tbl>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6.8  Enterprise Case Studies — 10 Organisations</w:t>
      </w:r>
    </w:p>
    <w:p>
      <w:pPr>
        <w:spacing w:after="120"/>
      </w:pPr>
      <w:r>
        <w:rPr>
          <w:rFonts w:ascii="Arial" w:cs="Arial" w:eastAsia="Arial" w:hAnsi="Arial"/>
          <w:color w:val="595959"/>
          <w:sz w:val="21"/>
          <w:szCs w:val="21"/>
        </w:rPr>
        <w:t xml:space="preserve">Five European deployments (Germany, France, United Kingdom, Switzerland, Netherlands) and five North American deployments (United States ×4, Canada ×1) across banking, insurance, healthcare, capital markets, and technology.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  🇩🇪  Germany  —  Deutsche Bank AG</w:t>
            </w:r>
            <w:r>
              <w:rPr>
                <w:rFonts w:ascii="Arial" w:cs="Arial" w:eastAsia="Arial" w:hAnsi="Arial"/>
                <w:color w:val="AED6F1"/>
                <w:sz w:val="19"/>
                <w:szCs w:val="19"/>
              </w:rPr>
              <w:t xml:space="preserve">    |    Investment Banking — NLP / MiFID II    |    FinBERT fine-tuned</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Deutsche Bank AG, Frankfurt — EUR 1.32T total assets, 90,000 employees. Global investment bank supervised by ECB SSM and BaFin. Subject to MiFID II Art. 25 suitability, MiFID II Art. 27 best execution, EU AI Act Annex III (high-risk AI in financial services).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Binary + multi-label text classification: automatically classify 120,000+ research reports, regulatory filings, and client communications per day for MiFID II suitability compliance. Manual review took 45 FTE analysts. EU regulatory deadlines require T+1 classification.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FinBERT (HuggingFace) fine-tuned on 2.8M Deutsche Bank proprietary documents (DE + EN). Classification heads: 5-class document type, binary suitability flag, binary best-execution flag. Sliding-window chunking for documents &gt; 512 tokens.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CLS token embedding (768-dim). Document metadata: author desk, client segment, asset class. DB internal taxonomy: 180 product-type codes. Regulatory calendar: ESMA consultation deadlines, MiFID II reporting dates.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MiFID II Art. 25: Integrated Gradients token-level attribution explains suitability classifications. BaFin AI Risk Framework: model card with training data stats and per-language performance. EU AI Act Annex IV technical documentation completed by DB Legal &amp; Compliance.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94.2% classification F1 (micro)  ·  45 FTE analyst-hours saved per day  ·  EUR 12M annual compliance cost reduction  ·  Zero MiFID II late-filing incidents in 2023</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2  🇫🇷  France  —  AXA SA</w:t>
            </w:r>
            <w:r>
              <w:rPr>
                <w:rFonts w:ascii="Arial" w:cs="Arial" w:eastAsia="Arial" w:hAnsi="Arial"/>
                <w:color w:val="AED6F1"/>
                <w:sz w:val="19"/>
                <w:szCs w:val="19"/>
              </w:rPr>
              <w:t xml:space="preserve">    |    P&amp;C Insurance — Claims AI    |    EfficientNet-B4 (CNN)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AXA SA, Paris — world's second-largest insurer (EUR 102B GWP). Claims AI: automated motor vehicle damage assessment from smartphone photos. Deployed across France, Germany, Belgium, and Switzerland. Subject to EIOPA AI Guidelines, Solvency II, EU AI Act.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Multi-task regression + classification from 3–8 smartphone photos: (1) repair cost estimate (EUR 0–50K), (2) total loss flag (binary), (3) damaged part segmentation (28 classes), (4) severity tier (minor / moderate / severe).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EfficientNet-B4 (ImageNet pre-trained) fine-tuned on 4.2M annotated vehicle damage images (AXA proprietary + licensed bodyshop data). Multi-task output heads: regression (repair cost), binary (total loss), U-Net decoder (segmentation), 4-class severity classifier.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3–8 JPEG photos (512×512 normalised). Vehicle metadata: make/model/year from VIN. Geographic region (bodyshop labour rates by postal code). Weather context (hail/flood triggers supplementary assessment). Customer-submitted EXIF timestamp.</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EIOPA 2021 AI Guidelines: GradCAM heatmaps provided to claims adjusters for all estimates &gt; EUR 5K. Solvency II: model validated against actual repair invoices annually. EU AI Act Annex III: human adjuster review mandatory for total-loss flag ≥ 90% confidence. GDPR: photos deleted within 30 days of closure.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±EUR 420 MAE on repair cost  ·  91.3% total-loss classification accuracy  ·  67% claims auto-settled without adjuster  ·  Mean settlement time: 3.2 days → 4 hours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3  🇬🇧  United Kingdom  —  NatWest Group plc</w:t>
            </w:r>
            <w:r>
              <w:rPr>
                <w:rFonts w:ascii="Arial" w:cs="Arial" w:eastAsia="Arial" w:hAnsi="Arial"/>
                <w:color w:val="AED6F1"/>
                <w:sz w:val="19"/>
                <w:szCs w:val="19"/>
              </w:rPr>
              <w:t xml:space="preserve">    |    Retail Banking — Sequential Fraud    |    Bidirectional LSTM</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NatWest Group, Edinburgh — GBP 709B total assets, 19M customers across NatWest, RBS, and Ulster Bank. NatWest Labs AI: sequential transaction fraud detection. Regulated by PRA/FCA. Subject to PRA SS1/23, FCA Consumer Duty 2023, UK PSR APP Fraud rules.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Sequence-to-one binary classification: given a customer's last T=30 transactions (time-ordered), predict whether the NEXT transaction is fraudulent. Captures account takeover warm-up sequences and mule account chains that are invisible to single-transaction point models.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Bidirectional LSTM (2 layers, 256 units each direction, dropout=0.2). Final concatenated hidden state → Dense(128) → sigmoid. Trained on 3.2B historical transactions; class-weight w_fraud=18. Online inference latency &lt; 80ms per 30-transaction sequence.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Per-transaction (30 timesteps): amount, MCC, channel (online/tap/ATM), counterparty network tier, geographic distance from prior transaction (haversine), time delta (seconds). Customer context: 90-day spending average, NatWest tenure.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FCA Consumer Duty: monthly recall/precision monitoring by customer segment. PRA SS1/23: BiLSTM challenger vs. RF champion (40% traffic split). UK PSR APP Fraud: sequential 'unusual pattern' explanation for reimbursement decisions. GDPR: 30-transaction PII window minimised.</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AUC 0.921 vs. 0.873 RF baseline  ·  89% fraud recall  ·  1.1% false positive rate  ·  GBP 180M fraud losses prevented annually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4  🇨🇭  Switzerland  —  UBS Group AG</w:t>
            </w:r>
            <w:r>
              <w:rPr>
                <w:rFonts w:ascii="Arial" w:cs="Arial" w:eastAsia="Arial" w:hAnsi="Arial"/>
                <w:color w:val="AED6F1"/>
                <w:sz w:val="19"/>
                <w:szCs w:val="19"/>
              </w:rPr>
              <w:t xml:space="preserve">    |    Asset Management — NLP Sentiment    |    RoBERTa (Transformer)</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UBS Group AG, Zurich — USD 1.7T AUM, world's largest wealth manager. UBS Evidence Lab AI platform. Subject to FINMA Circular 2023/01, MiFID II (EU clients), SEC rules (US clients). Publicly traded on SIX Swiss Exchange.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Multi-class sentiment + entity classification: analyse 50,000+ news articles, earnings transcripts, analyst reports, and regulatory filings per day. Output: entity-level sentiment (strong buy / buy / neutral / sell / strong sell), topic classification (12 classes), and event type (NER).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RoBERTa-base fine-tuned on 2.1M UBS proprietary labelled document-entity pairs (8 years). Multi-task: 5-class sentiment, 12-class topic tagging, NER. Two-stage: sliding-window document chunking → entity-level score aggregation.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Document text (512-token chunks). Source type: news wire vs. analyst vs. regulatory filing. 600-company entity co-occurrence graph (UBS coverage universe). Temporal decay weighting (recent articles higher weight). Market regime context: VIX, credit spread index.</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FINMA Circular 2023/01: model card, audit trail, governance documentation. MiFID II Art. 27: sentiment signals feed systematic best-execution algorithms. EU AI Act GPAI: RoBERTa classified as General Purpose AI model — UBS implementing GPAI transparency requirements per Title II.</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0.81 macro F1 on 5-class sentiment  ·  3.2% alpha vs. benchmark (backtested 2020–2023)  ·  12,000 analyst-hours saved annually  ·  Integrated into 400+ portfolio manager workflows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5  🇳🇱  Netherlands  —  Philips Healthcare</w:t>
            </w:r>
            <w:r>
              <w:rPr>
                <w:rFonts w:ascii="Arial" w:cs="Arial" w:eastAsia="Arial" w:hAnsi="Arial"/>
                <w:color w:val="AED6F1"/>
                <w:sz w:val="19"/>
                <w:szCs w:val="19"/>
              </w:rPr>
              <w:t xml:space="preserve">    |    Clinical AI — Chest X-ray    |    ResNet-50 + U-Net (CNN)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Koninklijke Philips NV, Amsterdam — EUR 18.2B revenue. Philips AI-Rad Companion: FDA-cleared and CE-marked chest X-ray AI deployed in 100+ hospitals across EU, US, and Asia. Subject to EU MDR 2017/745, FDA 510(k), ISO 13485, Dutch IGJ oversight.</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Multi-label binary classification: detect 14 pathological findings simultaneously from a single PA chest X-ray — pneumonia, pleural effusion, cardiomegaly, pneumothorax, infiltrates, nodules, masses, atelectasis, consolidation, oedema, emphysema, fibrosis, hernia, no finding.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ResNet-50 (ImageNet pre-trained) → global average pooling → 14 independent sigmoid output heads. Auxiliary U-Net decoder for finding localisation. Training: 220,000 CXR images (NIH ChestX-ray14 + Philips clinical data). Class-weighted BCE for imbalanced findings.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PA chest X-ray DICOM (1024×1024 → normalised 224×224). Patient metadata: age, sex, prior study comparison. Radiologist triage: priority score = max pathology confidence. Pre-computed lung segmentation mask for anatomical attention.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EU MDR Art. 22: CE mark Class IIa medical device. FDA: 510(k) De Novo K193446. ISO 13485. GradCAM++ heatmaps overlaid on X-ray for each positive finding shown to radiologist. GDPR: DICOM metadata stripped before AI processing. Dutch IGJ: annual post-market clinical follow-up.</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Mean AUC 0.85 across 14 classes  ·  AUC 0.91 for pneumothorax  ·  31% reduction in radiologist report turnaround  ·  3.5M studies processed across 100+ hospitals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6  🇺🇸  United States  —  JPMorgan Chase &amp; Co.</w:t>
            </w:r>
            <w:r>
              <w:rPr>
                <w:rFonts w:ascii="Arial" w:cs="Arial" w:eastAsia="Arial" w:hAnsi="Arial"/>
                <w:color w:val="AED6F1"/>
                <w:sz w:val="19"/>
                <w:szCs w:val="19"/>
              </w:rPr>
              <w:t xml:space="preserve">    |    Investment Banking — Legal NLP    |    BERT (COiN programme)</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JPMorgan Chase, New York — USD 3.9T total assets, largest US bank. COiN (Contract Intelligence): BERT-based contract review and clause extraction. First major bank to deploy DL NLP at enterprise scale for legal documents. Supervised by OCC and Federal Reserve. Subject to OCC SR 11-7, ECOA, MiFID II.</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Named entity recognition + clause classification: extract 150 clause types from credit agreements, ISDAs, and loan documents. Identify governing law, event of default triggers, MAC clauses, and interest rate provisions. Previously required 360,000 lawyer-hours annually.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BERT-large fine-tuned on 2.4M JPMorgan legal documents + Stanford Legal corpus. Token classification (IOB tagging for 150 clause types) + sentence binary flags. Domain adaptation: continued MLM pre-training on financial legal corpus before task fine-tuning.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Contract text (512-token chunks, sliding window overlap). Contract metadata: type (ISDA/credit/deposit), counterparty jurisdiction, execution date. Clause context: preceding/following paragraphs. Legal ontology embeddings: EDGAR taxonomy codes.</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OCC SR 11-7: model validation includes adversarial testing by JPMorgan legal team on ambiguous clauses. GDPR: contracts with personal data processed under Art. 6(1)(c) legal obligation. MiFID II: MAC clause detection feeds derivatives risk monitoring. Attention-weight visualisation accepted by OCC as conceptual soundness evidence.</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94% extraction accuracy vs. 85% paralegal baseline  ·  360,000 lawyer-hours eliminated annually  ·  ~USD 150M annual cost savings  ·  12 seconds per 150-page contract vs. 360 hours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7  🇺🇸  United States  —  Mayo Clinic</w:t>
            </w:r>
            <w:r>
              <w:rPr>
                <w:rFonts w:ascii="Arial" w:cs="Arial" w:eastAsia="Arial" w:hAnsi="Arial"/>
                <w:color w:val="AED6F1"/>
                <w:sz w:val="19"/>
                <w:szCs w:val="19"/>
              </w:rPr>
              <w:t xml:space="preserve">    |    Clinical AI — Cardiac Screening    |    1D ResNet-34 (ECG)</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Mayo Clinic, Rochester MN — world's leading academic medical centre. Mayo Clinic AI Lab: 12-lead ECG deep learning for cardiac screening. Collaboration with Apple Watch ECG programme. FDA-cleared. Published in Nature Medicine 2019 (Attia et al.). Subject to FDA AI/ML SaMD, HIPAA, CMS billing rules.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Multi-label binary classification: from a standard 10-second 12-lead ECG, detect atrial fibrillation, left ventricular dysfunction (EF&lt;35%), hypertrophic cardiomyopathy, pulmonary hypertension, cardiac amyloidosis. LV dysfunction detection is transformative — patients are often asymptomatic until late-stage.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1D ResNet-34 (1D convolutions along time axis) applied independently to each of 12 leads → features concatenated → FC layers → 6 sigmoid output heads. Training: 2.5M ECGs from 1.4M patients (Mayo EHR 1993–2019). Threshold tuning: Youden index per condition on calibration set.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12-lead ECG waveform: 10 seconds × 500 Hz × 12 leads = 60,000 data points per study. Patient demographics: age, sex. Prior ECG delta (78% of studies). Pacemaker flag. Computed features appended: QRS duration, PR interval, QTc.</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FDA: 510(k) clearances for multiple indications. CMS: AI-assisted ECG reading billed under CPT 93000. HIPAA: de-identified waveforms in training (PHI removed). IRB: Mayo IRB #14-000133. Post-market: PSI monitoring for demographic drift, annual retraining protocol.</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AUC 0.93 for LV dysfunction  ·  AUC 0.91 mean across 6 conditions  ·  Detected LV dysfunction 1.8 years before clinical diagnosis (median)  ·  91,000 patients screened in prospective cohort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8  🇺🇸  United States  —  Capital One Financial</w:t>
            </w:r>
            <w:r>
              <w:rPr>
                <w:rFonts w:ascii="Arial" w:cs="Arial" w:eastAsia="Arial" w:hAnsi="Arial"/>
                <w:color w:val="AED6F1"/>
                <w:sz w:val="19"/>
                <w:szCs w:val="19"/>
              </w:rPr>
              <w:t xml:space="preserve">    |    Consumer Finance — Anomaly Detection    |    Sparse Autoencoder</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Capital One, McLean VA — USD 480B total assets. Capital One AI/ML Centre: unsupervised autoencoder for credit card transaction anomaly detection. Complements supervised XGBoost model (Chapter 5 Case Study 6). Supervised by OCC, CFPB. Subject to ECOA, Reg B, PCI-DSS.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Unsupervised anomaly detection: train autoencoder on normal (non-fraud) transaction patterns. Flag transactions with high reconstruction error as anomalous. Effective for novel zero-day fraud attacks invisible to supervised models trained on historical labelled fraud.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Sparse autoencoder: Encoder 512→256→128→64, Decoder 64→128→256→512. Training: 200M non-fraudulent transactions (class-pure). Threshold: 99.5th percentile reconstruction MSE on validation set. Ensemble: autoencoder score + XGBoost score → Platt-scaled meta-score.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512-dim transaction features: amount, MCC one-hot (180 dims), channel, time-of-day cyclical encoding, geographic cluster, account velocity features (1h/24h/7d). Card-level 64-dim spending pattern embedding (learned). Card tenure, credit utilisation.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PCI-DSS Req. 10.7: automated anomaly detection required. OCC SR 11-7: unsupervised model validated via precision@k on labelled fraud within anomaly set. CFPB: adverse action (block) triggers LIME explanation of anomaly drivers. ECOA: monthly fairness audit — anomaly rate by demographic proxy.</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Ensemble AUC 0.894 vs. 0.881 XGBoost alone  ·  +38% detection of novel zero-day fraud patterns  ·  USD 95M incremental fraud prevention annually  ·  False positive rate maintained at 1.1%</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9  🇨🇦  Canada  —  Royal Bank of Canada (RBC)</w:t>
            </w:r>
            <w:r>
              <w:rPr>
                <w:rFonts w:ascii="Arial" w:cs="Arial" w:eastAsia="Arial" w:hAnsi="Arial"/>
                <w:color w:val="AED6F1"/>
                <w:sz w:val="19"/>
                <w:szCs w:val="19"/>
              </w:rPr>
              <w:t xml:space="preserve">    |    Retail Banking — AML    |    LSTM + Graph Neural Network</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Royal Bank of Canada, Toronto — CAD 2.0T total assets, largest Canadian bank. RBC Borealis AI: LSTM + GraphSAGE hybrid for AML transaction monitoring. Regulated by OSFI, FINTRAC, and FinCEN (US operations). Subject to PCMLTFA, OSFI E-23, FATF Recommendations.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Two-stage pipeline: (1) BiLSTM classifies 30-transaction sequences as suspicious; (2) GraphSAGE GNN analyses the counterparty network graph for money laundering patterns — layering, structuring, and smurfing rings. Combined score triggers human review queue.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Stage 1 — BiLSTM (3 layers, 512 units). Stage 2 — GraphSAGE GNN: node = account, edge = transaction, node features = BiLSTM embedding + account risk score, 3-hop neighbourhood aggregation. Final: weighted BiLSTM + GNN meta-score.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LSTM features (per timestep): amount, currency, counterparty jurisdiction (FATF tier), channel, time delta. GNN node features: 64-dim LSTM embedding, account type, FINTRAC client risk rating, KYC tier, account age. GNN edge: total CAD value, transaction count.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OSFI E-23: BiLSTM and GNN validated independently and as ensemble. FINTRAC: 24-hour STR filing window; model scores 40M+ daily transactions in &lt; 4 hours. PCMLTFA Section 9: audit trail of model decision for each STR filed. FATF Rec. 10: model feeds enhanced due diligence triggers.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97.2% recall on FINTRAC-confirmed STRs  ·  22.4% alert precision vs. 9.1% rule-based  ·  210 FTE analyst-years saved annually  ·  40M+ transactions scored in 2.8 hours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9A227" w:sz="1"/>
              <w:left w:val="single" w:color="C9A227" w:sz="1"/>
              <w:bottom w:val="single" w:color="C9A227" w:sz="1"/>
              <w:right w:val="single" w:color="C9A227" w:sz="1"/>
            </w:tcBorders>
            <w:shd w:fill="1F3864" w:val="clear"/>
            <w:tcMar>
              <w:top w:type="dxa" w:w="100"/>
              <w:left w:type="dxa" w:w="160"/>
              <w:bottom w:type="dxa" w:w="100"/>
              <w:right w:type="dxa" w:w="120"/>
            </w:tcMar>
          </w:tcPr>
          <w:p>
            <w:pPr>
              <w:spacing w:after="0"/>
            </w:pPr>
            <w:r>
              <w:rPr>
                <w:rFonts w:ascii="Arial" w:cs="Arial" w:eastAsia="Arial" w:hAnsi="Arial"/>
                <w:b/>
                <w:bCs/>
                <w:color w:val="C9A227"/>
                <w:sz w:val="21"/>
                <w:szCs w:val="21"/>
              </w:rPr>
              <w:t xml:space="preserve">Case Study 10  🇺🇸  United States  —  Amazon Web Services (AWS)</w:t>
            </w:r>
            <w:r>
              <w:rPr>
                <w:rFonts w:ascii="Arial" w:cs="Arial" w:eastAsia="Arial" w:hAnsi="Arial"/>
                <w:color w:val="AED6F1"/>
                <w:sz w:val="19"/>
                <w:szCs w:val="19"/>
              </w:rPr>
              <w:t xml:space="preserve">    |    Cloud / Retail — Demand Forecasting    |    DeepAR (LSTM + Probabilistic Output)</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Context</w:t>
            </w:r>
          </w:p>
          <w:p>
            <w:pPr>
              <w:spacing w:after="0"/>
            </w:pPr>
            <w:r>
              <w:rPr>
                <w:rFonts w:ascii="Arial" w:cs="Arial" w:eastAsia="Arial" w:hAnsi="Arial"/>
                <w:color w:val="595959"/>
                <w:sz w:val="19"/>
                <w:szCs w:val="19"/>
              </w:rPr>
              <w:t xml:space="preserve">Amazon Web Services, Seattle — USD 90.8B revenue (2023). Amazon Forecast / SageMaker: DeepAR probabilistic forecasting model deployed internally for Amazon retail (3.5M+ SKUs) and offered as managed AWS service used by Walmart, Unilever, AB InBev, and Siemens.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Problem</w:t>
            </w:r>
          </w:p>
          <w:p>
            <w:pPr>
              <w:spacing w:after="0"/>
            </w:pPr>
            <w:r>
              <w:rPr>
                <w:rFonts w:ascii="Arial" w:cs="Arial" w:eastAsia="Arial" w:hAnsi="Arial"/>
                <w:color w:val="595959"/>
                <w:sz w:val="19"/>
                <w:szCs w:val="19"/>
              </w:rPr>
              <w:t xml:space="preserve">Multi-horizon probabilistic forecasting: predict the full quantile distribution P10/P50/P90 of demand for h=1 to 90 days ahead. Unlike point forecasting, probabilistic outputs enable inventory optimisation with explicit service level targets (fill rate, safety stock).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Approach</w:t>
            </w:r>
          </w:p>
          <w:p>
            <w:pPr>
              <w:spacing w:after="0"/>
            </w:pPr>
            <w:r>
              <w:rPr>
                <w:rFonts w:ascii="Arial" w:cs="Arial" w:eastAsia="Arial" w:hAnsi="Arial"/>
                <w:color w:val="595959"/>
                <w:sz w:val="19"/>
                <w:szCs w:val="19"/>
              </w:rPr>
              <w:t xml:space="preserve">DeepAR: autoregressive LSTM trained globally across all SKU time series simultaneously. At each step t: LSTM hidden state from [hₜ₋₁, yₜ₋₁, xₜ] → parameters of a likelihood model (Gaussian / Negative Binomial / Beta). Monte Carlo rollout generates full predictive distribution.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Key Features</w:t>
            </w:r>
          </w:p>
          <w:p>
            <w:pPr>
              <w:spacing w:after="0"/>
            </w:pPr>
            <w:r>
              <w:rPr>
                <w:rFonts w:ascii="Arial" w:cs="Arial" w:eastAsia="Arial" w:hAnsi="Arial"/>
                <w:color w:val="595959"/>
                <w:sz w:val="19"/>
                <w:szCs w:val="19"/>
              </w:rPr>
              <w:t xml:space="preserve">Target: daily unit sales. Covariates: price, markdown %, promotion flag, holiday calendar, day-of-week, weather. Static item features: category, subcategory, brand. Cross-series: parent-category mean. External: macro index (disposable income, inflation).</w:t>
            </w:r>
          </w:p>
        </w:tc>
      </w:tr>
      <w:tr>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Regulatory Framework</w:t>
            </w:r>
          </w:p>
          <w:p>
            <w:pPr>
              <w:spacing w:after="0"/>
            </w:pPr>
            <w:r>
              <w:rPr>
                <w:rFonts w:ascii="Arial" w:cs="Arial" w:eastAsia="Arial" w:hAnsi="Arial"/>
                <w:color w:val="595959"/>
                <w:sz w:val="19"/>
                <w:szCs w:val="19"/>
              </w:rPr>
              <w:t xml:space="preserve">SEC 10-K: material supply chain disruptions. US CBP: forecasts drive import quota utilisation. Enterprise clients: Siemens (EU AI Act GPAI docs), Unilever (Scope 3 supply chain transparency), AB InBev (alcohol quota compliance inventory controls). AWS Responsible AI: model cards for all SageMaker built-in algorithms.</w:t>
            </w:r>
          </w:p>
        </w:tc>
        <w:tc>
          <w:tcPr>
            <w:tcW w:type="dxa" w:w="468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tcPr>
          <w:p>
            <w:pPr>
              <w:spacing w:after="40"/>
            </w:pPr>
            <w:r>
              <w:rPr>
                <w:rFonts w:ascii="Arial" w:cs="Arial" w:eastAsia="Arial" w:hAnsi="Arial"/>
                <w:b/>
                <w:bCs/>
                <w:color w:val="1F3864"/>
                <w:sz w:val="19"/>
                <w:szCs w:val="19"/>
              </w:rPr>
              <w:t xml:space="preserve">Outcome / Metrics</w:t>
            </w:r>
          </w:p>
          <w:p>
            <w:pPr>
              <w:spacing w:after="0"/>
            </w:pPr>
            <w:r>
              <w:rPr>
                <w:rFonts w:ascii="Arial" w:cs="Arial" w:eastAsia="Arial" w:hAnsi="Arial"/>
                <w:color w:val="595959"/>
                <w:sz w:val="19"/>
                <w:szCs w:val="19"/>
              </w:rPr>
              <w:t xml:space="preserve">P50 WAPE 9.8% vs. 16.2% ARIMA baseline  ·  P98 quantile calibration within 1.2%  ·  USD 2.4B inventory cost reduction for Amazon retail  ·  1,800+ enterprise clients on AWS</w:t>
            </w:r>
          </w:p>
        </w:tc>
      </w:tr>
    </w:tbl>
    <w:p>
      <w:pPr>
        <w:spacing w:after="80"/>
      </w:pPr>
      <w:r>
        <w:t xml:space="preserve"/>
      </w:r>
    </w:p>
    <w:p>
      <w:pPr>
        <w:spacing w:after="80"/>
      </w:pPr>
      <w:r>
        <w:t xml:space="preserve"/>
      </w:r>
    </w:p>
    <w:p>
      <w:pPr>
        <w:spacing w:after="80"/>
      </w:pPr>
      <w:r>
        <w:t xml:space="preserve"/>
      </w:r>
    </w:p>
    <w:p>
      <w:r>
        <w:br w:type="page"/>
      </w:r>
    </w:p>
    <w:p>
      <w:pPr>
        <w:pStyle w:val="Heading1"/>
        <w:spacing w:before="360" w:after="160"/>
      </w:pPr>
      <w:r>
        <w:rPr>
          <w:rFonts w:ascii="Arial" w:cs="Arial" w:eastAsia="Arial" w:hAnsi="Arial"/>
          <w:b/>
          <w:bCs/>
          <w:color w:val="1F3864"/>
          <w:sz w:val="32"/>
          <w:szCs w:val="32"/>
        </w:rPr>
        <w:t xml:space="preserve">6.9  Chapter Summary</w:t>
      </w:r>
    </w:p>
    <w:p>
      <w:pPr>
        <w:spacing w:after="80"/>
      </w:pPr>
      <w:r>
        <w:rPr>
          <w:rFonts w:ascii="Arial" w:cs="Arial" w:eastAsia="Arial" w:hAnsi="Arial"/>
          <w:b/>
          <w:bCs/>
          <w:color w:val="1F3864"/>
          <w:sz w:val="21"/>
          <w:szCs w:val="21"/>
        </w:rPr>
        <w:t xml:space="preserve">MLP &amp; Universal Approximation: </w:t>
      </w:r>
      <w:r>
        <w:rPr>
          <w:rFonts w:ascii="Arial" w:cs="Arial" w:eastAsia="Arial" w:hAnsi="Arial"/>
          <w:color w:val="595959"/>
          <w:sz w:val="21"/>
          <w:szCs w:val="21"/>
        </w:rPr>
        <w:t xml:space="preserve">A multi-layer network with non-linear activations approximates any continuous function. ReLU is the default hidden-layer activation; GELU preferred for Transformers. Depth provides exponential representational efficiency over width.</w:t>
      </w:r>
    </w:p>
    <w:p>
      <w:pPr>
        <w:spacing w:after="80"/>
      </w:pPr>
      <w:r>
        <w:t xml:space="preserve"/>
      </w:r>
    </w:p>
    <w:p>
      <w:pPr>
        <w:spacing w:after="80"/>
      </w:pPr>
      <w:r>
        <w:rPr>
          <w:rFonts w:ascii="Arial" w:cs="Arial" w:eastAsia="Arial" w:hAnsi="Arial"/>
          <w:b/>
          <w:bCs/>
          <w:color w:val="1F3864"/>
          <w:sz w:val="21"/>
          <w:szCs w:val="21"/>
        </w:rPr>
        <w:t xml:space="preserve">Backpropagation: </w:t>
      </w:r>
      <w:r>
        <w:rPr>
          <w:rFonts w:ascii="Arial" w:cs="Arial" w:eastAsia="Arial" w:hAnsi="Arial"/>
          <w:color w:val="595959"/>
          <w:sz w:val="21"/>
          <w:szCs w:val="21"/>
        </w:rPr>
        <w:t xml:space="preserve">Efficient gradient computation via one reverse pass. Adam is the enterprise default optimiser; AdamW for pre-trained model fine-tuning. Use learning rate warmup + cosine decay for Transformers.</w:t>
      </w:r>
    </w:p>
    <w:p>
      <w:pPr>
        <w:spacing w:after="80"/>
      </w:pPr>
      <w:r>
        <w:t xml:space="preserve"/>
      </w:r>
    </w:p>
    <w:p>
      <w:pPr>
        <w:spacing w:after="80"/>
      </w:pPr>
      <w:r>
        <w:rPr>
          <w:rFonts w:ascii="Arial" w:cs="Arial" w:eastAsia="Arial" w:hAnsi="Arial"/>
          <w:b/>
          <w:bCs/>
          <w:color w:val="1F3864"/>
          <w:sz w:val="21"/>
          <w:szCs w:val="21"/>
        </w:rPr>
        <w:t xml:space="preserve">CNN &amp; Transfer Learning: </w:t>
      </w:r>
      <w:r>
        <w:rPr>
          <w:rFonts w:ascii="Arial" w:cs="Arial" w:eastAsia="Arial" w:hAnsi="Arial"/>
          <w:color w:val="595959"/>
          <w:sz w:val="21"/>
          <w:szCs w:val="21"/>
        </w:rPr>
        <w:t xml:space="preserve">Convolutions exploit spatial structure via weight sharing. ResNet skip connections solve vanishing gradients for 100+ layer networks. ImageNet pre-trained weights are the enterprise standard — fine-tune final 2–3 layers.</w:t>
      </w:r>
    </w:p>
    <w:p>
      <w:pPr>
        <w:spacing w:after="80"/>
      </w:pPr>
      <w:r>
        <w:t xml:space="preserve"/>
      </w:r>
    </w:p>
    <w:p>
      <w:pPr>
        <w:spacing w:after="80"/>
      </w:pPr>
      <w:r>
        <w:rPr>
          <w:rFonts w:ascii="Arial" w:cs="Arial" w:eastAsia="Arial" w:hAnsi="Arial"/>
          <w:b/>
          <w:bCs/>
          <w:color w:val="1F3864"/>
          <w:sz w:val="21"/>
          <w:szCs w:val="21"/>
        </w:rPr>
        <w:t xml:space="preserve">LSTM &amp; Sequence Modelling: </w:t>
      </w:r>
      <w:r>
        <w:rPr>
          <w:rFonts w:ascii="Arial" w:cs="Arial" w:eastAsia="Arial" w:hAnsi="Arial"/>
          <w:color w:val="595959"/>
          <w:sz w:val="21"/>
          <w:szCs w:val="21"/>
        </w:rPr>
        <w:t xml:space="preserve">LSTM gating solves vanishing gradients for sequences of hundreds of timesteps. BiLSTM captures both forward and backward context. GRU is a lighter alternative for shorter sequences.</w:t>
      </w:r>
    </w:p>
    <w:p>
      <w:pPr>
        <w:spacing w:after="80"/>
      </w:pPr>
      <w:r>
        <w:t xml:space="preserve"/>
      </w:r>
    </w:p>
    <w:p>
      <w:pPr>
        <w:spacing w:after="80"/>
      </w:pPr>
      <w:r>
        <w:rPr>
          <w:rFonts w:ascii="Arial" w:cs="Arial" w:eastAsia="Arial" w:hAnsi="Arial"/>
          <w:b/>
          <w:bCs/>
          <w:color w:val="1F3864"/>
          <w:sz w:val="21"/>
          <w:szCs w:val="21"/>
        </w:rPr>
        <w:t xml:space="preserve">Transformer &amp; BERT: </w:t>
      </w:r>
      <w:r>
        <w:rPr>
          <w:rFonts w:ascii="Arial" w:cs="Arial" w:eastAsia="Arial" w:hAnsi="Arial"/>
          <w:color w:val="595959"/>
          <w:sz w:val="21"/>
          <w:szCs w:val="21"/>
        </w:rPr>
        <w:t xml:space="preserve">Self-attention captures global dependencies with O(1) distance. BERT MLM pre-training requires only 1,000–10,000 labelled examples for fine-tuning. FinBERT, LegalBERT, ClinicalBERT are domain-adapted variants for enterprise.</w:t>
      </w:r>
    </w:p>
    <w:p>
      <w:pPr>
        <w:spacing w:after="80"/>
      </w:pPr>
      <w:r>
        <w:t xml:space="preserve"/>
      </w:r>
    </w:p>
    <w:p>
      <w:pPr>
        <w:spacing w:after="80"/>
      </w:pPr>
      <w:r>
        <w:rPr>
          <w:rFonts w:ascii="Arial" w:cs="Arial" w:eastAsia="Arial" w:hAnsi="Arial"/>
          <w:b/>
          <w:bCs/>
          <w:color w:val="1F3864"/>
          <w:sz w:val="21"/>
          <w:szCs w:val="21"/>
        </w:rPr>
        <w:t xml:space="preserve">Explainability for DL: </w:t>
      </w:r>
      <w:r>
        <w:rPr>
          <w:rFonts w:ascii="Arial" w:cs="Arial" w:eastAsia="Arial" w:hAnsi="Arial"/>
          <w:color w:val="595959"/>
          <w:sz w:val="21"/>
          <w:szCs w:val="21"/>
        </w:rPr>
        <w:t xml:space="preserve">LIME, Integrated Gradients, and GradCAM are the primary regulatory methods. EU AI Act Annex III accepts IG/GradCAM for high-risk DL when combined with Annex IV technical documentation. Attention weights are not a substitute for faithful attribution.</w:t>
      </w:r>
    </w:p>
    <w:p>
      <w:pPr>
        <w:spacing w:after="80"/>
      </w:pPr>
      <w:r>
        <w:t xml:space="preserve"/>
      </w:r>
    </w:p>
    <w:p>
      <w:pPr>
        <w:spacing w:after="80"/>
      </w:pPr>
      <w:r>
        <w:rPr>
          <w:rFonts w:ascii="Arial" w:cs="Arial" w:eastAsia="Arial" w:hAnsi="Arial"/>
          <w:b/>
          <w:bCs/>
          <w:color w:val="1F3864"/>
          <w:sz w:val="21"/>
          <w:szCs w:val="21"/>
        </w:rPr>
        <w:t xml:space="preserve">Regularisation: </w:t>
      </w:r>
      <w:r>
        <w:rPr>
          <w:rFonts w:ascii="Arial" w:cs="Arial" w:eastAsia="Arial" w:hAnsi="Arial"/>
          <w:color w:val="595959"/>
          <w:sz w:val="21"/>
          <w:szCs w:val="21"/>
        </w:rPr>
        <w:t xml:space="preserve">Dropout + BatchNorm for CNNs; LayerNorm + Dropout for Transformers; AdamW (decoupled weight decay) for all fine-tuning. Early stopping with patience=10–20 epochs is always employed.</w:t>
      </w:r>
    </w:p>
    <w:p>
      <w:pPr>
        <w:spacing w:after="80"/>
      </w:pPr>
      <w:r>
        <w:t xml:space="preserve"/>
      </w:r>
    </w:p>
    <w:p>
      <w:pPr>
        <w:spacing w:after="80"/>
      </w:pPr>
      <w:r>
        <w:rPr>
          <w:rFonts w:ascii="Arial" w:cs="Arial" w:eastAsia="Arial" w:hAnsi="Arial"/>
          <w:b/>
          <w:bCs/>
          <w:color w:val="1F3864"/>
          <w:sz w:val="21"/>
          <w:szCs w:val="21"/>
        </w:rPr>
        <w:t xml:space="preserve">Enterprise Deployment: </w:t>
      </w:r>
      <w:r>
        <w:rPr>
          <w:rFonts w:ascii="Arial" w:cs="Arial" w:eastAsia="Arial" w:hAnsi="Arial"/>
          <w:color w:val="595959"/>
          <w:sz w:val="21"/>
          <w:szCs w:val="21"/>
        </w:rPr>
        <w:t xml:space="preserve">Pre-trained model + fine-tuning is the enterprise default. Model cards, PSI drift monitoring, adversarial testing, and annual revalidation are required by OCC SR 11-7, EBA GL/2020/06, and EU AI Act for all regulated DL systems.</w:t>
      </w:r>
    </w:p>
    <w:p>
      <w:pPr>
        <w:spacing w:after="80"/>
      </w:pPr>
      <w:r>
        <w:t xml:space="preserve"/>
      </w:r>
    </w:p>
    <w:p>
      <w:pPr>
        <w:pStyle w:val="Heading1"/>
        <w:spacing w:before="360" w:after="160"/>
      </w:pPr>
      <w:r>
        <w:rPr>
          <w:rFonts w:ascii="Arial" w:cs="Arial" w:eastAsia="Arial" w:hAnsi="Arial"/>
          <w:b/>
          <w:bCs/>
          <w:color w:val="1F3864"/>
          <w:sz w:val="32"/>
          <w:szCs w:val="32"/>
        </w:rPr>
        <w:t xml:space="preserve">References</w:t>
      </w:r>
    </w:p>
    <w:p>
      <w:pPr>
        <w:pStyle w:val="ListParagraph"/>
        <w:numPr>
          <w:ilvl w:val="0"/>
          <w:numId w:val="3"/>
        </w:numPr>
        <w:spacing w:after="80"/>
      </w:pPr>
      <w:r>
        <w:rPr>
          <w:rFonts w:ascii="Arial" w:cs="Arial" w:eastAsia="Arial" w:hAnsi="Arial"/>
          <w:color w:val="595959"/>
          <w:sz w:val="21"/>
          <w:szCs w:val="21"/>
        </w:rPr>
        <w:t xml:space="preserve">Rumelhart, D.E., Hinton, G.E. &amp; Williams, R.J. (1986). Learning representations by back-propagating errors. Nature, 323, 533–536.</w:t>
      </w:r>
    </w:p>
    <w:p>
      <w:pPr>
        <w:pStyle w:val="ListParagraph"/>
        <w:numPr>
          <w:ilvl w:val="0"/>
          <w:numId w:val="3"/>
        </w:numPr>
        <w:spacing w:after="80"/>
      </w:pPr>
      <w:r>
        <w:rPr>
          <w:rFonts w:ascii="Arial" w:cs="Arial" w:eastAsia="Arial" w:hAnsi="Arial"/>
          <w:color w:val="595959"/>
          <w:sz w:val="21"/>
          <w:szCs w:val="21"/>
        </w:rPr>
        <w:t xml:space="preserve">Hochreiter, S. &amp; Schmidhuber, J. (1997). Long Short-Term Memory. Neural Computation, 9(8), 1735–1780.</w:t>
      </w:r>
    </w:p>
    <w:p>
      <w:pPr>
        <w:pStyle w:val="ListParagraph"/>
        <w:numPr>
          <w:ilvl w:val="0"/>
          <w:numId w:val="3"/>
        </w:numPr>
        <w:spacing w:after="80"/>
      </w:pPr>
      <w:r>
        <w:rPr>
          <w:rFonts w:ascii="Arial" w:cs="Arial" w:eastAsia="Arial" w:hAnsi="Arial"/>
          <w:color w:val="595959"/>
          <w:sz w:val="21"/>
          <w:szCs w:val="21"/>
        </w:rPr>
        <w:t xml:space="preserve">LeCun, Y., Bengio, Y. &amp; Hinton, G. (2015). Deep Learning. Nature, 521, 436–444.</w:t>
      </w:r>
    </w:p>
    <w:p>
      <w:pPr>
        <w:pStyle w:val="ListParagraph"/>
        <w:numPr>
          <w:ilvl w:val="0"/>
          <w:numId w:val="3"/>
        </w:numPr>
        <w:spacing w:after="80"/>
      </w:pPr>
      <w:r>
        <w:rPr>
          <w:rFonts w:ascii="Arial" w:cs="Arial" w:eastAsia="Arial" w:hAnsi="Arial"/>
          <w:color w:val="595959"/>
          <w:sz w:val="21"/>
          <w:szCs w:val="21"/>
        </w:rPr>
        <w:t xml:space="preserve">He, K. et al. (2015). Deep Residual Learning for Image Recognition. CVPR 2016.</w:t>
      </w:r>
    </w:p>
    <w:p>
      <w:pPr>
        <w:pStyle w:val="ListParagraph"/>
        <w:numPr>
          <w:ilvl w:val="0"/>
          <w:numId w:val="3"/>
        </w:numPr>
        <w:spacing w:after="80"/>
      </w:pPr>
      <w:r>
        <w:rPr>
          <w:rFonts w:ascii="Arial" w:cs="Arial" w:eastAsia="Arial" w:hAnsi="Arial"/>
          <w:color w:val="595959"/>
          <w:sz w:val="21"/>
          <w:szCs w:val="21"/>
        </w:rPr>
        <w:t xml:space="preserve">Vaswani, A. et al. (2017). Attention Is All You Need. NeurIPS 2017.</w:t>
      </w:r>
    </w:p>
    <w:p>
      <w:pPr>
        <w:pStyle w:val="ListParagraph"/>
        <w:numPr>
          <w:ilvl w:val="0"/>
          <w:numId w:val="3"/>
        </w:numPr>
        <w:spacing w:after="80"/>
      </w:pPr>
      <w:r>
        <w:rPr>
          <w:rFonts w:ascii="Arial" w:cs="Arial" w:eastAsia="Arial" w:hAnsi="Arial"/>
          <w:color w:val="595959"/>
          <w:sz w:val="21"/>
          <w:szCs w:val="21"/>
        </w:rPr>
        <w:t xml:space="preserve">Devlin, J. et al. (2018). BERT: Pre-training of Deep Bidirectional Transformers. NAACL 2019.</w:t>
      </w:r>
    </w:p>
    <w:p>
      <w:pPr>
        <w:pStyle w:val="ListParagraph"/>
        <w:numPr>
          <w:ilvl w:val="0"/>
          <w:numId w:val="3"/>
        </w:numPr>
        <w:spacing w:after="80"/>
      </w:pPr>
      <w:r>
        <w:rPr>
          <w:rFonts w:ascii="Arial" w:cs="Arial" w:eastAsia="Arial" w:hAnsi="Arial"/>
          <w:color w:val="595959"/>
          <w:sz w:val="21"/>
          <w:szCs w:val="21"/>
        </w:rPr>
        <w:t xml:space="preserve">Sundararajan, M. et al. (2017). Axiomatic Attribution for Deep Networks (Integrated Gradients). ICML 2017.</w:t>
      </w:r>
    </w:p>
    <w:p>
      <w:pPr>
        <w:pStyle w:val="ListParagraph"/>
        <w:numPr>
          <w:ilvl w:val="0"/>
          <w:numId w:val="3"/>
        </w:numPr>
        <w:spacing w:after="80"/>
      </w:pPr>
      <w:r>
        <w:rPr>
          <w:rFonts w:ascii="Arial" w:cs="Arial" w:eastAsia="Arial" w:hAnsi="Arial"/>
          <w:color w:val="595959"/>
          <w:sz w:val="21"/>
          <w:szCs w:val="21"/>
        </w:rPr>
        <w:t xml:space="preserve">Salimans, T. &amp; Kingma, D.P. (2016). Weight Normalisation. NeurIPS 2016.</w:t>
      </w:r>
    </w:p>
    <w:p>
      <w:pPr>
        <w:pStyle w:val="ListParagraph"/>
        <w:numPr>
          <w:ilvl w:val="0"/>
          <w:numId w:val="3"/>
        </w:numPr>
        <w:spacing w:after="80"/>
      </w:pPr>
      <w:r>
        <w:rPr>
          <w:rFonts w:ascii="Arial" w:cs="Arial" w:eastAsia="Arial" w:hAnsi="Arial"/>
          <w:color w:val="595959"/>
          <w:sz w:val="21"/>
          <w:szCs w:val="21"/>
        </w:rPr>
        <w:t xml:space="preserve">European Parliament (2024). Regulation (EU) 2024/1689 — AI Act, Annex III &amp; IV.</w:t>
      </w:r>
    </w:p>
    <w:p>
      <w:pPr>
        <w:pStyle w:val="ListParagraph"/>
        <w:numPr>
          <w:ilvl w:val="0"/>
          <w:numId w:val="3"/>
        </w:numPr>
        <w:spacing w:after="80"/>
      </w:pPr>
      <w:r>
        <w:rPr>
          <w:rFonts w:ascii="Arial" w:cs="Arial" w:eastAsia="Arial" w:hAnsi="Arial"/>
          <w:color w:val="595959"/>
          <w:sz w:val="21"/>
          <w:szCs w:val="21"/>
        </w:rPr>
        <w:t xml:space="preserve">EBA (2020). EBA/GL/2020/06 — Guidelines on Loan Origination and Monitoring.</w:t>
      </w:r>
    </w:p>
    <w:p>
      <w:pPr>
        <w:pStyle w:val="ListParagraph"/>
        <w:numPr>
          <w:ilvl w:val="0"/>
          <w:numId w:val="3"/>
        </w:numPr>
        <w:spacing w:after="80"/>
      </w:pPr>
      <w:r>
        <w:rPr>
          <w:rFonts w:ascii="Arial" w:cs="Arial" w:eastAsia="Arial" w:hAnsi="Arial"/>
          <w:color w:val="595959"/>
          <w:sz w:val="21"/>
          <w:szCs w:val="21"/>
        </w:rPr>
        <w:t xml:space="preserve">OCC/Federal Reserve (2011). SR 11-7 — Supervisory Guidance on Model Risk Management.</w:t>
      </w:r>
    </w:p>
    <w:p>
      <w:pPr>
        <w:pStyle w:val="ListParagraph"/>
        <w:numPr>
          <w:ilvl w:val="0"/>
          <w:numId w:val="3"/>
        </w:numPr>
        <w:spacing w:after="80"/>
      </w:pPr>
      <w:r>
        <w:rPr>
          <w:rFonts w:ascii="Arial" w:cs="Arial" w:eastAsia="Arial" w:hAnsi="Arial"/>
          <w:color w:val="595959"/>
          <w:sz w:val="21"/>
          <w:szCs w:val="21"/>
        </w:rPr>
        <w:t xml:space="preserve">FDA (2021). AI/ML-Based Software as a Medical Device Action Plan.</w:t>
      </w:r>
    </w:p>
    <w:p>
      <w:pPr>
        <w:pStyle w:val="ListParagraph"/>
        <w:numPr>
          <w:ilvl w:val="0"/>
          <w:numId w:val="3"/>
        </w:numPr>
        <w:spacing w:after="80"/>
      </w:pPr>
      <w:r>
        <w:rPr>
          <w:rFonts w:ascii="Arial" w:cs="Arial" w:eastAsia="Arial" w:hAnsi="Arial"/>
          <w:color w:val="595959"/>
          <w:sz w:val="21"/>
          <w:szCs w:val="21"/>
        </w:rPr>
        <w:t xml:space="preserve">Attia, Z.I. et al. (2019). Screening for cardiac contractile dysfunction using an artificial intelligence-enabled ECG. Nature Medicine, 25, 70–74.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tabs>
        <w:tab w:val="right" w:pos="9026"/>
      </w:tabs>
    </w:pPr>
    <w:r>
      <w:rPr>
        <w:rFonts w:ascii="Arial" w:cs="Arial" w:eastAsia="Arial" w:hAnsi="Arial"/>
        <w:color w:val="595959"/>
        <w:sz w:val="18"/>
        <w:szCs w:val="18"/>
      </w:rPr>
      <w:t xml:space="preserve">Chapter 6: Neural Networks &amp; Deep Learning  |  CAISA™ Level 1</w:t>
    </w:r>
    <w:r>
      <w:rPr>
        <w:rFonts w:ascii="Arial" w:cs="Arial" w:eastAsia="Arial" w:hAnsi="Arial"/>
        <w:sz w:val="18"/>
        <w:szCs w:val="18"/>
      </w:rPr>
      <w:t xml:space="preserve">	</w:t>
    </w:r>
    <w:r>
      <w:rPr>
        <w:rFonts w:ascii="Arial" w:cs="Arial" w:eastAsia="Arial" w:hAnsi="Arial"/>
        <w:b/>
        <w:bCs/>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tabs>
        <w:tab w:val="right" w:pos="9026"/>
      </w:tabs>
    </w:pPr>
    <w:r>
      <w:rPr>
        <w:rFonts w:ascii="Arial" w:cs="Arial" w:eastAsia="Arial" w:hAnsi="Arial"/>
        <w:color w:val="2E75B6"/>
        <w:sz w:val="18"/>
        <w:szCs w:val="18"/>
      </w:rPr>
      <w:t xml:space="preserve">CAISA™ Level 1  |  Chapter 6: Neural Networks &amp; Deep Learning</w:t>
    </w:r>
    <w:r>
      <w:rPr>
        <w:rFonts w:ascii="Arial" w:cs="Arial" w:eastAsia="Arial" w:hAnsi="Arial"/>
        <w:sz w:val="18"/>
        <w:szCs w:val="18"/>
      </w:rPr>
      <w:t xml:space="preserve">	</w:t>
    </w:r>
    <w:r>
      <w:rPr>
        <w:rFonts w:ascii="Arial" w:cs="Arial" w:eastAsia="Arial" w:hAnsi="Arial"/>
        <w:color w:val="595959"/>
        <w:sz w:val="18"/>
        <w:szCs w:val="18"/>
      </w:rPr>
      <w:t xml:space="preserve">© SaamSoft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pBd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1A6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2026-02-21T13:05:23.515Z</dcterms:created>
  <dcterms:modified xsi:type="dcterms:W3CDTF">2026-02-21T13:05:23.516Z</dcterms:modified>
</cp:coreProperties>
</file>

<file path=docProps/custom.xml><?xml version="1.0" encoding="utf-8"?>
<Properties xmlns="http://schemas.openxmlformats.org/officeDocument/2006/custom-properties" xmlns:vt="http://schemas.openxmlformats.org/officeDocument/2006/docPropsVTypes"/>
</file>