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aps/>
          <w:color w:val="2E75B6"/>
          <w:sz w:val="20"/>
          <w:szCs w:val="20"/>
        </w:rPr>
        <w:t xml:space="preserve">CAISA™ LEVEL 1  |  CHAPTER 7 OF 48</w:t>
      </w:r>
    </w:p>
    <w:p>
      <w:pPr>
        <w:spacing w:after="40"/>
        <w:jc w:val="center"/>
      </w:pPr>
      <w:r>
        <w:rPr>
          <w:rFonts w:ascii="Arial" w:cs="Arial" w:eastAsia="Arial" w:hAnsi="Arial"/>
          <w:b/>
          <w:bCs/>
          <w:color w:val="1F3864"/>
          <w:sz w:val="48"/>
          <w:szCs w:val="48"/>
        </w:rPr>
        <w:t xml:space="preserve">Generative AI, LLMs</w:t>
      </w:r>
    </w:p>
    <w:p>
      <w:pPr>
        <w:spacing w:after="40"/>
        <w:jc w:val="center"/>
      </w:pPr>
      <w:r>
        <w:rPr>
          <w:rFonts w:ascii="Arial" w:cs="Arial" w:eastAsia="Arial" w:hAnsi="Arial"/>
          <w:b/>
          <w:bCs/>
          <w:color w:val="1F3864"/>
          <w:sz w:val="48"/>
          <w:szCs w:val="48"/>
        </w:rPr>
        <w:t xml:space="preserve">&amp; RAG Architectures</w:t>
      </w:r>
    </w:p>
    <w:p>
      <w:pPr>
        <w:spacing w:after="40"/>
        <w:jc w:val="center"/>
      </w:pPr>
      <w:r>
        <w:rPr>
          <w:rFonts w:ascii="Arial" w:cs="Arial" w:eastAsia="Arial" w:hAnsi="Arial"/>
          <w:b/>
          <w:bCs/>
          <w:color w:val="C9A227"/>
          <w:sz w:val="34"/>
          <w:szCs w:val="34"/>
        </w:rPr>
        <w:t xml:space="preserve">Enterprise Deep Dive</w:t>
      </w:r>
    </w:p>
    <w:p>
      <w:pPr>
        <w:spacing w:after="200"/>
        <w:jc w:val="center"/>
      </w:pPr>
      <w:r>
        <w:rPr>
          <w:rFonts w:ascii="Arial" w:cs="Arial" w:eastAsia="Arial" w:hAnsi="Arial"/>
          <w:color w:val="595959"/>
          <w:sz w:val="19"/>
          <w:szCs w:val="19"/>
        </w:rPr>
        <w:t xml:space="preserve">Decoder Transformers · RLHF · RAG · Prompt Engineering · Agents · Hallucination · EU AI Act GPAI · US EO 14110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Study Time</w:t>
            </w:r>
          </w:p>
          <w:p>
            <w:pPr>
              <w:spacing w:after="0"/>
              <w:jc w:val="center"/>
            </w:pPr>
            <w:r>
              <w:rPr>
                <w:rFonts w:ascii="Arial" w:cs="Arial" w:eastAsia="Arial" w:hAnsi="Arial"/>
                <w:b/>
                <w:bCs/>
                <w:color w:val="2E75B6"/>
                <w:sz w:val="21"/>
                <w:szCs w:val="21"/>
              </w:rPr>
              <w:t xml:space="preserve">3 Hours</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Case Studies</w:t>
            </w:r>
          </w:p>
          <w:p>
            <w:pPr>
              <w:spacing w:after="0"/>
              <w:jc w:val="center"/>
            </w:pPr>
            <w:r>
              <w:rPr>
                <w:rFonts w:ascii="Arial" w:cs="Arial" w:eastAsia="Arial" w:hAnsi="Arial"/>
                <w:b/>
                <w:bCs/>
                <w:color w:val="2E75B6"/>
                <w:sz w:val="21"/>
                <w:szCs w:val="21"/>
              </w:rPr>
              <w:t xml:space="preserve">10 Organisations</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Jurisdictions</w:t>
            </w:r>
          </w:p>
          <w:p>
            <w:pPr>
              <w:spacing w:after="0"/>
              <w:jc w:val="center"/>
            </w:pPr>
            <w:r>
              <w:rPr>
                <w:rFonts w:ascii="Arial" w:cs="Arial" w:eastAsia="Arial" w:hAnsi="Arial"/>
                <w:b/>
                <w:bCs/>
                <w:color w:val="2E75B6"/>
                <w:sz w:val="19"/>
                <w:szCs w:val="19"/>
              </w:rPr>
              <w:t xml:space="preserve">EU/UK/DE/FR/NL/CH/US/CA</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Programme</w:t>
            </w:r>
          </w:p>
          <w:p>
            <w:pPr>
              <w:spacing w:after="0"/>
              <w:jc w:val="center"/>
            </w:pPr>
            <w:r>
              <w:rPr>
                <w:rFonts w:ascii="Arial" w:cs="Arial" w:eastAsia="Arial" w:hAnsi="Arial"/>
                <w:b/>
                <w:bCs/>
                <w:color w:val="2E75B6"/>
                <w:sz w:val="21"/>
                <w:szCs w:val="21"/>
              </w:rPr>
              <w:t xml:space="preserve">Week 3  |  Ch.7/48</w:t>
            </w:r>
          </w:p>
        </w:tc>
      </w:tr>
    </w:tbl>
    <w:p>
      <w:pPr>
        <w:spacing w:after="80"/>
      </w:pPr>
      <w:r>
        <w:t xml:space="preserve"/>
      </w:r>
    </w:p>
    <w:p>
      <w:pPr>
        <w:spacing w:after="80"/>
      </w:pPr>
      <w:r>
        <w:t xml:space="preserve"/>
      </w:r>
    </w:p>
    <w:p>
      <w:pPr>
        <w:pStyle w:val="Heading1"/>
        <w:spacing w:before="360" w:after="160"/>
      </w:pPr>
      <w:r>
        <w:rPr>
          <w:rFonts w:ascii="Arial" w:cs="Arial" w:eastAsia="Arial" w:hAnsi="Arial"/>
          <w:b/>
          <w:bCs/>
          <w:color w:val="1F3864"/>
          <w:sz w:val="32"/>
          <w:szCs w:val="32"/>
        </w:rPr>
        <w:t xml:space="preserve">Learning Objectives</w:t>
      </w:r>
    </w:p>
    <w:p>
      <w:pPr>
        <w:spacing w:after="120"/>
      </w:pPr>
      <w:r>
        <w:rPr>
          <w:rFonts w:ascii="Arial" w:cs="Arial" w:eastAsia="Arial" w:hAnsi="Arial"/>
          <w:color w:val="595959"/>
          <w:sz w:val="21"/>
          <w:szCs w:val="21"/>
        </w:rPr>
        <w:t xml:space="preserve">On completion of Chapter 7, the CAISA™ Level 1 candidate will be able to:</w:t>
      </w:r>
    </w:p>
    <w:p>
      <w:pPr>
        <w:pStyle w:val="ListParagraph"/>
        <w:numPr>
          <w:ilvl w:val="0"/>
          <w:numId w:val="2"/>
        </w:numPr>
        <w:spacing w:after="80"/>
      </w:pPr>
      <w:r>
        <w:rPr>
          <w:rFonts w:ascii="Arial" w:cs="Arial" w:eastAsia="Arial" w:hAnsi="Arial"/>
          <w:color w:val="595959"/>
          <w:sz w:val="21"/>
          <w:szCs w:val="21"/>
        </w:rPr>
        <w:t xml:space="preserve">Describe the decoder-only Transformer architecture and autoregressive generation process (GPT family)</w:t>
      </w:r>
    </w:p>
    <w:p>
      <w:pPr>
        <w:pStyle w:val="ListParagraph"/>
        <w:numPr>
          <w:ilvl w:val="0"/>
          <w:numId w:val="2"/>
        </w:numPr>
        <w:spacing w:after="80"/>
      </w:pPr>
      <w:r>
        <w:rPr>
          <w:rFonts w:ascii="Arial" w:cs="Arial" w:eastAsia="Arial" w:hAnsi="Arial"/>
          <w:color w:val="595959"/>
          <w:sz w:val="21"/>
          <w:szCs w:val="21"/>
        </w:rPr>
        <w:t xml:space="preserve">Explain pre-training objectives (next-token prediction, RLHF reward modelling) and their computational requirements</w:t>
      </w:r>
    </w:p>
    <w:p>
      <w:pPr>
        <w:pStyle w:val="ListParagraph"/>
        <w:numPr>
          <w:ilvl w:val="0"/>
          <w:numId w:val="2"/>
        </w:numPr>
        <w:spacing w:after="80"/>
      </w:pPr>
      <w:r>
        <w:rPr>
          <w:rFonts w:ascii="Arial" w:cs="Arial" w:eastAsia="Arial" w:hAnsi="Arial"/>
          <w:color w:val="595959"/>
          <w:sz w:val="21"/>
          <w:szCs w:val="21"/>
        </w:rPr>
        <w:t xml:space="preserve">Design and evaluate a RAG pipeline: chunking, embedding, vector search, retrieval, generation, and hallucination mitigation</w:t>
      </w:r>
    </w:p>
    <w:p>
      <w:pPr>
        <w:pStyle w:val="ListParagraph"/>
        <w:numPr>
          <w:ilvl w:val="0"/>
          <w:numId w:val="2"/>
        </w:numPr>
        <w:spacing w:after="80"/>
      </w:pPr>
      <w:r>
        <w:rPr>
          <w:rFonts w:ascii="Arial" w:cs="Arial" w:eastAsia="Arial" w:hAnsi="Arial"/>
          <w:color w:val="595959"/>
          <w:sz w:val="21"/>
          <w:szCs w:val="21"/>
        </w:rPr>
        <w:t xml:space="preserve">Apply prompt engineering techniques — zero-shot, few-shot, chain-of-thought, and structured output prompting</w:t>
      </w:r>
    </w:p>
    <w:p>
      <w:pPr>
        <w:pStyle w:val="ListParagraph"/>
        <w:numPr>
          <w:ilvl w:val="0"/>
          <w:numId w:val="2"/>
        </w:numPr>
        <w:spacing w:after="80"/>
      </w:pPr>
      <w:r>
        <w:rPr>
          <w:rFonts w:ascii="Arial" w:cs="Arial" w:eastAsia="Arial" w:hAnsi="Arial"/>
          <w:color w:val="595959"/>
          <w:sz w:val="21"/>
          <w:szCs w:val="21"/>
        </w:rPr>
        <w:t xml:space="preserve">Describe LLM agent architectures: ReAct, tool use, multi-agent orchestration, and memory systems</w:t>
      </w:r>
    </w:p>
    <w:p>
      <w:pPr>
        <w:pStyle w:val="ListParagraph"/>
        <w:numPr>
          <w:ilvl w:val="0"/>
          <w:numId w:val="2"/>
        </w:numPr>
        <w:spacing w:after="80"/>
      </w:pPr>
      <w:r>
        <w:rPr>
          <w:rFonts w:ascii="Arial" w:cs="Arial" w:eastAsia="Arial" w:hAnsi="Arial"/>
          <w:color w:val="595959"/>
          <w:sz w:val="21"/>
          <w:szCs w:val="21"/>
        </w:rPr>
        <w:t xml:space="preserve">Explain hallucination types, evaluation metrics (RAGAS, BERTScore, G-Eval), and mitigation strategies</w:t>
      </w:r>
    </w:p>
    <w:p>
      <w:pPr>
        <w:pStyle w:val="ListParagraph"/>
        <w:numPr>
          <w:ilvl w:val="0"/>
          <w:numId w:val="2"/>
        </w:numPr>
        <w:spacing w:after="80"/>
      </w:pPr>
      <w:r>
        <w:rPr>
          <w:rFonts w:ascii="Arial" w:cs="Arial" w:eastAsia="Arial" w:hAnsi="Arial"/>
          <w:color w:val="595959"/>
          <w:sz w:val="21"/>
          <w:szCs w:val="21"/>
        </w:rPr>
        <w:t xml:space="preserve">Map EU AI Act GPAI obligations (Title II), US Executive Order 14110, and sector-specific guidance to enterprise LLM deployments</w:t>
      </w:r>
    </w:p>
    <w:p>
      <w:pPr>
        <w:pStyle w:val="ListParagraph"/>
        <w:numPr>
          <w:ilvl w:val="0"/>
          <w:numId w:val="2"/>
        </w:numPr>
        <w:spacing w:after="80"/>
      </w:pPr>
      <w:r>
        <w:rPr>
          <w:rFonts w:ascii="Arial" w:cs="Arial" w:eastAsia="Arial" w:hAnsi="Arial"/>
          <w:color w:val="595959"/>
          <w:sz w:val="21"/>
          <w:szCs w:val="21"/>
        </w:rPr>
        <w:t xml:space="preserve">Analyse 10 enterprise LLM deployments (5 Europe + 5 North America) with full regulatory mapping</w:t>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7.1  Large Language Model Architecture</w:t>
      </w:r>
    </w:p>
    <w:p>
      <w:pPr>
        <w:pStyle w:val="Heading2"/>
        <w:spacing w:before="240" w:after="120"/>
      </w:pPr>
      <w:r>
        <w:rPr>
          <w:rFonts w:ascii="Arial" w:cs="Arial" w:eastAsia="Arial" w:hAnsi="Arial"/>
          <w:b/>
          <w:bCs/>
          <w:color w:val="2E75B6"/>
          <w:sz w:val="26"/>
          <w:szCs w:val="26"/>
        </w:rPr>
        <w:t xml:space="preserve">7.1.1  Decoder-Only Transformer (GPT Family)</w:t>
      </w:r>
    </w:p>
    <w:p>
      <w:pPr>
        <w:spacing w:after="120"/>
      </w:pPr>
      <w:r>
        <w:rPr>
          <w:rFonts w:ascii="Arial" w:cs="Arial" w:eastAsia="Arial" w:hAnsi="Arial"/>
          <w:color w:val="595959"/>
          <w:sz w:val="21"/>
          <w:szCs w:val="21"/>
        </w:rPr>
        <w:t xml:space="preserve"/>
      </w:r>
      <w:r>
        <w:rPr>
          <w:rFonts w:ascii="Arial" w:cs="Arial" w:eastAsia="Arial" w:hAnsi="Arial"/>
          <w:b/>
          <w:bCs/>
          <w:color w:val="1F3864"/>
          <w:sz w:val="21"/>
          <w:szCs w:val="21"/>
        </w:rPr>
        <w:t xml:space="preserve">Architecture: </w:t>
      </w:r>
      <w:r>
        <w:rPr>
          <w:rFonts w:ascii="Arial" w:cs="Arial" w:eastAsia="Arial" w:hAnsi="Arial"/>
          <w:color w:val="595959"/>
          <w:sz w:val="21"/>
          <w:szCs w:val="21"/>
        </w:rPr>
        <w:t xml:space="preserve">GPT (Radford et al., 2018) introduced the decoder-only Transformer — a stack of masked self-attention layers trained autoregressively. Unlike BERT (encoder-only, bidirectional), GPT processes tokens left-to-right with causal masking, predicting each next token conditioned on all prior tokens. GPT-4 is estimated at ~1.8T parameters (MoE), trained on ~13T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Autoregressive generation:
  P(x₁,...,xT) = ∏ᵢ P(xᵢ | x₁,...,xᵢ₋₁)
Causal (masked) self-attention:
  Attention(Q,K,V) = softmax( (QKᵀ)/√dₖ + M ) · V
  M[i,j] = 0 if i≥j, else -∞    (mask: attend only to past tokens)
Context window evolution:
  GPT-2: 1,024 tokens
  GPT-3: 4,096 tokens  (175B parameters)
  GPT-3.5: 16,384 tokens
  GPT-4: 128,000 tokens  (~1.8T parameters, MoE)
  Claude 3.5 Sonnet: 200,000 tokens
  Gemini 1.5 Pro: 1,000,000 tokens</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7.1.2  Scaling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FFFFFF" w:sz="1"/>
              <w:left w:val="single" w:color="FFFFFF" w:sz="1"/>
              <w:bottom w:val="single" w:color="FFFFFF" w:sz="1"/>
              <w:right w:val="single" w:color="FFFFFF" w:sz="1"/>
            </w:tcBorders>
            <w:shd w:fill="2E75B6" w:val="clear"/>
            <w:tcMar>
              <w:top w:type="dxa" w:w="80"/>
              <w:left w:type="dxa" w:w="80"/>
              <w:bottom w:type="dxa" w:w="80"/>
              <w:right w:type="dxa" w:w="60"/>
            </w:tcMar>
          </w:tcPr>
          <w:p>
            <w:pPr>
              <w:spacing w:after="0"/>
            </w:pPr>
            <w:r>
              <w:rPr>
                <w:rFonts w:ascii="Arial" w:cs="Arial" w:eastAsia="Arial" w:hAnsi="Arial"/>
                <w:b/>
                <w:bCs/>
                <w:color w:val="FFFFFF"/>
                <w:sz w:val="18"/>
                <w:szCs w:val="18"/>
              </w:rPr>
              <w:t xml:space="preserve">SCALING LAWS</w:t>
            </w:r>
          </w:p>
        </w:tc>
        <w:tc>
          <w:tcPr>
            <w:tcW w:type="dxa" w:w="9120"/>
            <w:tcBorders>
              <w:top w:val="single" w:color="FFFFFF" w:sz="1"/>
              <w:left w:val="single" w:color="FFFFFF" w:sz="1"/>
              <w:bottom w:val="single" w:color="FFFFFF" w:sz="1"/>
              <w:right w:val="single" w:color="FFFFFF" w:sz="1"/>
            </w:tcBorders>
            <w:shd w:fill="D6E4F0" w:val="clear"/>
            <w:tcMar>
              <w:top w:type="dxa" w:w="80"/>
              <w:left w:type="dxa" w:w="120"/>
              <w:bottom w:type="dxa" w:w="80"/>
              <w:right w:type="dxa" w:w="120"/>
            </w:tcMar>
          </w:tcPr>
          <w:p>
            <w:pPr>
              <w:spacing w:after="0"/>
            </w:pPr>
            <w:r>
              <w:rPr>
                <w:rFonts w:ascii="Arial" w:cs="Arial" w:eastAsia="Arial" w:hAnsi="Arial"/>
                <w:color w:val="595959"/>
                <w:sz w:val="20"/>
                <w:szCs w:val="20"/>
              </w:rPr>
              <w:t xml:space="preserve">Kaplan et al. (2020) demonstrated that LLM loss follows a power law with model size (N parameters), training data (D tokens), and compute (C FLOPs): L(N,D) ∝ N^{-α} + D^{-β} + const. Chinchilla (Hoffmann et al., 2022) showed the optimal compute-efficient ratio is ~20 tokens per parameter. GPT-4 is significantly over-trained for inference efficiency. Enterprise implication: a 7B model trained on 200B tokens is Chinchilla-optimal; a 70B model on 1.4T tokens scales proportionally.</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7.2  Pre-training, Fine-tuning &amp; RLHF</w:t>
      </w:r>
    </w:p>
    <w:p>
      <w:pPr>
        <w:pStyle w:val="Heading2"/>
        <w:spacing w:before="240" w:after="120"/>
      </w:pPr>
      <w:r>
        <w:rPr>
          <w:rFonts w:ascii="Arial" w:cs="Arial" w:eastAsia="Arial" w:hAnsi="Arial"/>
          <w:b/>
          <w:bCs/>
          <w:color w:val="2E75B6"/>
          <w:sz w:val="26"/>
          <w:szCs w:val="26"/>
        </w:rPr>
        <w:t xml:space="preserve">7.2.1  Pre-training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Next-token prediction loss (Causal LM):
  L_CLM = -Σₜ log P(xₜ | x₁,...,xₜ₋₁; θ)
Perplexity (evaluation metric):
  PP(W) = P(w₁,...,wN)^(-1/N) = exp(L_CLM)
  Lower = better (GPT-3: ~20 on PTB; GPT-4: ~8 on MMLU-level benchmarks)
Masked LM (BERT, for completeness):
  L_MLM = -Σ_{m∈M} log P(xₘ | x_{\M}; θ)  (masked positions only)</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7.2.2  Reinforcement Learning from Human Feedback (RLHF)</w:t>
      </w:r>
    </w:p>
    <w:p>
      <w:pPr>
        <w:spacing w:after="120"/>
      </w:pPr>
      <w:r>
        <w:rPr>
          <w:rFonts w:ascii="Arial" w:cs="Arial" w:eastAsia="Arial" w:hAnsi="Arial"/>
          <w:color w:val="595959"/>
          <w:sz w:val="21"/>
          <w:szCs w:val="21"/>
        </w:rPr>
        <w:t xml:space="preserve">RLHF (Christiano et al., 2017; InstructGPT, 2022) transforms a pre-trained LLM into a helpful assistant via three stages. This is the alignment technique behind ChatGPT, Claude, and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FFFFFF" w:sz="1"/>
              <w:left w:val="single" w:color="FFFFFF" w:sz="1"/>
              <w:bottom w:val="single" w:color="FFFFFF" w:sz="1"/>
              <w:right w:val="single" w:color="FFFFFF" w:sz="1"/>
            </w:tcBorders>
            <w:shd w:fill="2E75B6" w:val="clear"/>
            <w:tcMar>
              <w:top w:type="dxa" w:w="80"/>
              <w:left w:type="dxa" w:w="80"/>
              <w:bottom w:type="dxa" w:w="80"/>
              <w:right w:type="dxa" w:w="60"/>
            </w:tcMar>
          </w:tcPr>
          <w:p>
            <w:pPr>
              <w:spacing w:after="0"/>
            </w:pPr>
            <w:r>
              <w:rPr>
                <w:rFonts w:ascii="Arial" w:cs="Arial" w:eastAsia="Arial" w:hAnsi="Arial"/>
                <w:b/>
                <w:bCs/>
                <w:color w:val="FFFFFF"/>
                <w:sz w:val="18"/>
                <w:szCs w:val="18"/>
              </w:rPr>
              <w:t xml:space="preserve">RLHF THREE STAGES</w:t>
            </w:r>
          </w:p>
        </w:tc>
        <w:tc>
          <w:tcPr>
            <w:tcW w:type="dxa" w:w="9120"/>
            <w:tcBorders>
              <w:top w:val="single" w:color="FFFFFF" w:sz="1"/>
              <w:left w:val="single" w:color="FFFFFF" w:sz="1"/>
              <w:bottom w:val="single" w:color="FFFFFF" w:sz="1"/>
              <w:right w:val="single" w:color="FFFFFF" w:sz="1"/>
            </w:tcBorders>
            <w:shd w:fill="D6E4F0" w:val="clear"/>
            <w:tcMar>
              <w:top w:type="dxa" w:w="80"/>
              <w:left w:type="dxa" w:w="120"/>
              <w:bottom w:type="dxa" w:w="80"/>
              <w:right w:type="dxa" w:w="120"/>
            </w:tcMar>
          </w:tcPr>
          <w:p>
            <w:pPr>
              <w:spacing w:after="0"/>
            </w:pPr>
            <w:r>
              <w:rPr>
                <w:rFonts w:ascii="Arial" w:cs="Arial" w:eastAsia="Arial" w:hAnsi="Arial"/>
                <w:color w:val="595959"/>
                <w:sz w:val="20"/>
                <w:szCs w:val="20"/>
              </w:rPr>
              <w:t xml:space="preserve">Stage 1 — Supervised Fine-Tuning (SFT): Fine-tune base LLM on human-written demonstrations. Stage 2 — Reward Model Training: Train a reward model r(x,y) to predict human preference given prompt x and completion y — using pairwise comparisons (y_w preferred over y_l). Stage 3 — PPO Optimisation: Use PPO (proximal policy optimisation) to maximise expected reward while constraining KL divergence from the SFT model: max E[r(x,y)] − β·KL(π_θ || π_SFT). DPO (Direct Preference Optimisation, Rafailov 2023) is a simpler alternative: directly optimise preference data without a separate reward model.</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7.2.3  Parameter-Efficient Fine-Tuning (PEFT)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Method</w:t>
            </w:r>
          </w:p>
        </w:tc>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Mechanism</w:t>
            </w:r>
          </w:p>
        </w:tc>
        <w:tc>
          <w:tcPr>
            <w:tcW w:type="dxa" w:w="4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Use</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Full Fine-Tuning</w:t>
            </w:r>
          </w:p>
        </w:tc>
        <w:tc>
          <w:tcPr>
            <w:tcW w:type="dxa" w:w="3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Update all parameters; highest quality</w:t>
            </w:r>
          </w:p>
        </w:tc>
        <w:tc>
          <w:tcPr>
            <w:tcW w:type="dxa" w:w="42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Proprietary base model training; requires 8+ A100s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LoRA</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Low-rank decomposition: W = W₀ + BA (r&lt;&lt;d); only A,B updated</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Domain adaptation: FinBERT, LegalBERT fine-tuning; ~1% params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QLoRA</w:t>
            </w:r>
          </w:p>
        </w:tc>
        <w:tc>
          <w:tcPr>
            <w:tcW w:type="dxa" w:w="3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LoRA + 4-bit NF4 quantisation; 4× memory reduction</w:t>
            </w:r>
          </w:p>
        </w:tc>
        <w:tc>
          <w:tcPr>
            <w:tcW w:type="dxa" w:w="42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Fine-tune 70B models on a single A100 (80GB)</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Prompt Tuning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Learnable soft prompt tokens prepended to input</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Task switching without weight updates; multi-tenant</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RAG (not PEFT)</w:t>
            </w:r>
          </w:p>
        </w:tc>
        <w:tc>
          <w:tcPr>
            <w:tcW w:type="dxa" w:w="3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No weight update; retrieve context at inference time</w:t>
            </w:r>
          </w:p>
        </w:tc>
        <w:tc>
          <w:tcPr>
            <w:tcW w:type="dxa" w:w="42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Knowledge-intensive tasks; avoids hallucination on facts</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7.3  Retrieval-Augmented Generation (RAG)</w:t>
      </w:r>
    </w:p>
    <w:p>
      <w:pPr>
        <w:pStyle w:val="Heading2"/>
        <w:spacing w:before="240" w:after="120"/>
      </w:pPr>
      <w:r>
        <w:rPr>
          <w:rFonts w:ascii="Arial" w:cs="Arial" w:eastAsia="Arial" w:hAnsi="Arial"/>
          <w:b/>
          <w:bCs/>
          <w:color w:val="2E75B6"/>
          <w:sz w:val="26"/>
          <w:szCs w:val="26"/>
        </w:rPr>
        <w:t xml:space="preserve">7.3.1  RAG Architecture</w:t>
      </w:r>
    </w:p>
    <w:p>
      <w:pPr>
        <w:spacing w:after="120"/>
      </w:pPr>
      <w:r>
        <w:rPr>
          <w:rFonts w:ascii="Arial" w:cs="Arial" w:eastAsia="Arial" w:hAnsi="Arial"/>
          <w:color w:val="595959"/>
          <w:sz w:val="21"/>
          <w:szCs w:val="21"/>
        </w:rPr>
        <w:t xml:space="preserve">RAG (Lewis et al., 2020) combines a retrieval system with a generative LLM. At inference time, relevant documents are retrieved from a knowledge base and injected into the LLM prompt context — grounding the generation in external, up-to-date, verifiable facts. RAG is the dominant pattern for enterprise LLM deployments where accuracy and auditability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RAG pipeline:
  [Indexing — offline]
  1. Chunk documents: text → chunks (512–1024 tokens, with 10–20% overlap)
  2. Embed chunks: embed_model(chunk) → vector ∈ ℝ^d  (d=1536 for text-embedding-3-large)
  3. Store in vector DB: FAISS / Pinecone / Weaviate / pgvector
  [Retrieval — online]
  4. Embed query: q = embed_model(user_query)
  5. Search: top-k = argmax_i cos(q, doc_i) = argmax_i (q·dᵢ)/(||q||·||dᵢ||)
  6. Re-rank (optional): cross-encoder score on top-20, return top-5
  [Generation]
  7. Assemble prompt: system + retrieved_chunks + user_query
  8. Generate: LLM(prompt) → answer with citations
  9. Citation check: verify each claim against retrieved source</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7.3.2  Advanced RAG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Pattern</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Description</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When to Use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Naive RAG</w:t>
            </w:r>
          </w:p>
        </w:tc>
        <w:tc>
          <w:tcPr>
            <w:tcW w:type="dxa" w:w="4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Embed → retrieve → generate</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Simple FAQ, single-domain knowledge base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HyDE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Generate hypothetical doc, embed it for retrieval (better recall)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Complex queries with vocabulary mismatch</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Self-RAG</w:t>
            </w:r>
          </w:p>
        </w:tc>
        <w:tc>
          <w:tcPr>
            <w:tcW w:type="dxa" w:w="4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LLM decides when to retrieve; generates retrieval tokens</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Reducing irrelevant retrieval; conversational AI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FLARE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Forward-looking active retrieval — retrieve when confidence drops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Long-form generation with interleaved retrieval</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Graph RAG</w:t>
            </w:r>
          </w:p>
        </w:tc>
        <w:tc>
          <w:tcPr>
            <w:tcW w:type="dxa" w:w="4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Build knowledge graph; traverse entity relationships</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Complex multi-hop reasoning; legal/compliance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Agentic RAG</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LLM agent decides query, retrieval strategy, synthesis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Research assistant; multi-source synthesis</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7.4  Prompt Engineering &amp; In-Context Learning</w:t>
      </w:r>
    </w:p>
    <w:p>
      <w:pPr>
        <w:pStyle w:val="Heading2"/>
        <w:spacing w:before="240" w:after="120"/>
      </w:pPr>
      <w:r>
        <w:rPr>
          <w:rFonts w:ascii="Arial" w:cs="Arial" w:eastAsia="Arial" w:hAnsi="Arial"/>
          <w:b/>
          <w:bCs/>
          <w:color w:val="2E75B6"/>
          <w:sz w:val="26"/>
          <w:szCs w:val="26"/>
        </w:rPr>
        <w:t xml:space="preserve">7.4.1  Prompting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Zero-shot:
  'Classify the sentiment of this text: &lt;text&gt;'
Few-shot:
  'Text: I loved the film → Sentiment: Positive
   Text: Terrible service → Sentiment: Negative
   Text: &lt;new_text&gt; → Sentiment:'
Chain-of-Thought (CoT, Wei et al. 2022):
  'Solve step by step. The store has 23 apples...'
  → LLM reasons through intermediate steps before final answer
  → +20-40% accuracy on arithmetic, commonsense, symbolic reasoning
Structured Output:
  'Return only JSON: {"sentiment":"...","confidence":0.0–1.0,"entities":[...]}'
System Prompt (enterprise):
  'You are a regulatory compliance assistant for &lt;bank&gt;.
   Only answer questions about EBA GL/2020/06 and EU AI Act.
   Always cite the specific article and paragraph number.
   If unsure, say: I don't know — do not hallucinate.'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pPr>
            <w:r>
              <w:rPr>
                <w:rFonts w:ascii="Arial" w:cs="Arial" w:eastAsia="Arial" w:hAnsi="Arial"/>
                <w:b/>
                <w:bCs/>
                <w:color w:val="FFFFFF"/>
                <w:sz w:val="18"/>
                <w:szCs w:val="18"/>
              </w:rPr>
              <w:t xml:space="preserve">ENTERPRISE PROMPT DESIGN</w:t>
            </w:r>
          </w:p>
        </w:tc>
        <w:tc>
          <w:tcPr>
            <w:tcW w:type="dxa" w:w="912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Production system prompts must be versioned, tested, and governed. Include: (1) Role definition and scope constraints, (2) Output format specification (JSON schema), (3) Prohibited actions (no hallucination, cite sources), (4) Fallback instructions (I don't know &gt; hallucinate), (5) Persona and tone guidelines. Prompt injection attacks are a key security risk — validate and sanitise user inputs before injection into system prompts. Red-teaming is mandatory under EU AI Act Annex III for high-risk AI.</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7.5  LLM Agents &amp; Tool Use</w:t>
      </w:r>
    </w:p>
    <w:p>
      <w:pPr>
        <w:pStyle w:val="Heading2"/>
        <w:spacing w:before="240" w:after="120"/>
      </w:pPr>
      <w:r>
        <w:rPr>
          <w:rFonts w:ascii="Arial" w:cs="Arial" w:eastAsia="Arial" w:hAnsi="Arial"/>
          <w:b/>
          <w:bCs/>
          <w:color w:val="2E75B6"/>
          <w:sz w:val="26"/>
          <w:szCs w:val="26"/>
        </w:rPr>
        <w:t xml:space="preserve">7.5.1  ReAct Framework</w:t>
      </w:r>
    </w:p>
    <w:p>
      <w:pPr>
        <w:spacing w:after="120"/>
      </w:pPr>
      <w:r>
        <w:rPr>
          <w:rFonts w:ascii="Arial" w:cs="Arial" w:eastAsia="Arial" w:hAnsi="Arial"/>
          <w:color w:val="595959"/>
          <w:sz w:val="21"/>
          <w:szCs w:val="21"/>
        </w:rPr>
        <w:t xml:space="preserve">ReAct (Yao et al., 2022) interleaves Reasoning and Acting: the LLM generates a thought (internal reasoning), an action (tool call), and observes the result, iterating until the task is complete. This is the foundation of enterprise AI agents deployed by JPMorgan, Bloomberg, and Salesforce.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ReAct loop:
  while not done:
    Thought: 'I need to look up the current EURIBOR rate'
    Action: search_tool('EURIBOR rate today')
    Observation: '3.56% as of 2025-02-19'
    Thought: 'Now I can calculate the mortgage payment'
    Action: calculator(principal=500000, rate=0.0356, term=25)
    Observation: '€2,487.22/month'
    Thought: 'I have all information to answer'
    Answer: 'The monthly payment would be €2,487.22...'</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7.5.2  Multi-Agent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Pattern</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Architecture</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Use Case</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Single Agent</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LLM + tool suite; ReAct loop; one context window</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Customer service, code assistant, research helper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Planner-Executor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Orchestrator decomposes task; sub-agents execute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Complex workflows: due diligence, report generation</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Supervisor-Worker</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Supervisor agent routes subtasks to specialist agents</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Multi-domain: legal + financial + compliance review</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Debate / Reflection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Two agents argue; third synthesises; reduces hallucination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High-stakes decisions: M&amp;A analysis, medical diagnosis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CrewAI / LangGraph</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Framework for defining agent roles, tools, handoffs</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Production agent orchestration (Salesforce CS9)</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7.6  Hallucination, Safety &amp; Alignment</w:t>
      </w:r>
    </w:p>
    <w:p>
      <w:pPr>
        <w:pStyle w:val="Heading2"/>
        <w:spacing w:before="240" w:after="120"/>
      </w:pPr>
      <w:r>
        <w:rPr>
          <w:rFonts w:ascii="Arial" w:cs="Arial" w:eastAsia="Arial" w:hAnsi="Arial"/>
          <w:b/>
          <w:bCs/>
          <w:color w:val="2E75B6"/>
          <w:sz w:val="26"/>
          <w:szCs w:val="26"/>
        </w:rPr>
        <w:t xml:space="preserve">7.6.1  Hallucination Types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FFFFFF" w:sz="1"/>
              <w:left w:val="single" w:color="FFFFFF" w:sz="1"/>
              <w:bottom w:val="single" w:color="FFFFFF" w:sz="1"/>
              <w:right w:val="single" w:color="FFFFFF" w:sz="1"/>
            </w:tcBorders>
            <w:shd w:fill="2E75B6" w:val="clear"/>
            <w:tcMar>
              <w:top w:type="dxa" w:w="80"/>
              <w:left w:type="dxa" w:w="80"/>
              <w:bottom w:type="dxa" w:w="80"/>
              <w:right w:type="dxa" w:w="60"/>
            </w:tcMar>
          </w:tcPr>
          <w:p>
            <w:pPr>
              <w:spacing w:after="0"/>
            </w:pPr>
            <w:r>
              <w:rPr>
                <w:rFonts w:ascii="Arial" w:cs="Arial" w:eastAsia="Arial" w:hAnsi="Arial"/>
                <w:b/>
                <w:bCs/>
                <w:color w:val="FFFFFF"/>
                <w:sz w:val="18"/>
                <w:szCs w:val="18"/>
              </w:rPr>
              <w:t xml:space="preserve">HALLUCINATION</w:t>
            </w:r>
          </w:p>
        </w:tc>
        <w:tc>
          <w:tcPr>
            <w:tcW w:type="dxa" w:w="9120"/>
            <w:tcBorders>
              <w:top w:val="single" w:color="FFFFFF" w:sz="1"/>
              <w:left w:val="single" w:color="FFFFFF" w:sz="1"/>
              <w:bottom w:val="single" w:color="FFFFFF" w:sz="1"/>
              <w:right w:val="single" w:color="FFFFFF" w:sz="1"/>
            </w:tcBorders>
            <w:shd w:fill="D6E4F0" w:val="clear"/>
            <w:tcMar>
              <w:top w:type="dxa" w:w="80"/>
              <w:left w:type="dxa" w:w="120"/>
              <w:bottom w:type="dxa" w:w="80"/>
              <w:right w:type="dxa" w:w="120"/>
            </w:tcMar>
          </w:tcPr>
          <w:p>
            <w:pPr>
              <w:spacing w:after="0"/>
            </w:pPr>
            <w:r>
              <w:rPr>
                <w:rFonts w:ascii="Arial" w:cs="Arial" w:eastAsia="Arial" w:hAnsi="Arial"/>
                <w:color w:val="595959"/>
                <w:sz w:val="20"/>
                <w:szCs w:val="20"/>
              </w:rPr>
              <w:t xml:space="preserve">LLM hallucination occurs when the model generates factually incorrect, fabricated, or unsupported content with high apparent confidence. In enterprise contexts, hallucination is the primary barrier to deployment in regulated environments. EU AI Act Annex III requires 'technical robustness and accuracy' — hallucination directly violates this requirement for high-risk AI.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Type</w:t>
            </w:r>
          </w:p>
        </w:tc>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Description</w:t>
            </w:r>
          </w:p>
        </w:tc>
        <w:tc>
          <w:tcPr>
            <w:tcW w:type="dxa" w:w="4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Mitigation Strategy</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Factual</w:t>
            </w:r>
          </w:p>
        </w:tc>
        <w:tc>
          <w:tcPr>
            <w:tcW w:type="dxa" w:w="2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Incorrect facts stated confidently</w:t>
            </w:r>
          </w:p>
        </w:tc>
        <w:tc>
          <w:tcPr>
            <w:tcW w:type="dxa" w:w="4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RAG with citation verification; tool use for real-time data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Faithfulness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Answer contradicts retrieved source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Self-consistency check; NLI-based faithfulness scorer</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Attribution</w:t>
            </w:r>
          </w:p>
        </w:tc>
        <w:tc>
          <w:tcPr>
            <w:tcW w:type="dxa" w:w="2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Correct claim attributed to wrong source</w:t>
            </w:r>
          </w:p>
        </w:tc>
        <w:tc>
          <w:tcPr>
            <w:tcW w:type="dxa" w:w="4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Citation extraction + source matching pipeline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Temporal</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Uses outdated information as if current</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RAG with date filtering; tool use for live data</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Reasoning</w:t>
            </w:r>
          </w:p>
        </w:tc>
        <w:tc>
          <w:tcPr>
            <w:tcW w:type="dxa" w:w="2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Logical errors in multi-step reasoning</w:t>
            </w:r>
          </w:p>
        </w:tc>
        <w:tc>
          <w:tcPr>
            <w:tcW w:type="dxa" w:w="4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CoT prompting; self-verification; majority voting</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7.6.2  Evaluation Metrics for LLM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RAGAS (Retrieval-Augmented Generation Assessment):
  Context Recall    = % of ground-truth facts in retrieved context
  Context Precision = % of retrieved context that is relevant
  Faithfulness      = % of answer claims supported by retrieved context
  Answer Relevancy  = cosine similarity(generated answer embedding, question embedding)
BERTScore:
  Compare generated text to reference using contextual BERT embeddings
  F1 = (2 × Precision × Recall) / (Precision + Recall)
  Enterprise use: automated LLM output quality monitoring
G-Eval (LLM-as-judge):
  Use GPT-4 to score outputs on: Coherence, Consistency, Fluency, Relevance (1-5)
  Correlates well with human judgement (0.95 Spearman) — cost-effective at scale</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7.7  Regulatory Framework for Generative AI</w:t>
      </w:r>
    </w:p>
    <w:p>
      <w:pPr>
        <w:pStyle w:val="Heading2"/>
        <w:spacing w:before="240" w:after="120"/>
      </w:pPr>
      <w:r>
        <w:rPr>
          <w:rFonts w:ascii="Arial" w:cs="Arial" w:eastAsia="Arial" w:hAnsi="Arial"/>
          <w:b/>
          <w:bCs/>
          <w:color w:val="2E75B6"/>
          <w:sz w:val="26"/>
          <w:szCs w:val="26"/>
        </w:rPr>
        <w:t xml:space="preserve">7.7.1  EU AI Act — GPAI Provisions (Title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pPr>
            <w:r>
              <w:rPr>
                <w:rFonts w:ascii="Arial" w:cs="Arial" w:eastAsia="Arial" w:hAnsi="Arial"/>
                <w:b/>
                <w:bCs/>
                <w:color w:val="FFFFFF"/>
                <w:sz w:val="18"/>
                <w:szCs w:val="18"/>
              </w:rPr>
              <w:t xml:space="preserve">EU AI ACT GPAI</w:t>
            </w:r>
          </w:p>
        </w:tc>
        <w:tc>
          <w:tcPr>
            <w:tcW w:type="dxa" w:w="912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The EU AI Act (Regulation 2024/1689, effective August 2024) introduces specific obligations for General Purpose AI (GPAI) models. Title II applies to all GPAI model providers. GPAI models with systemic risk (&gt;10²⁵ FLOPs training compute, e.g., GPT-4, Gemini 1.5) face additional obligations: adversarial testing, incident reporting to EU AI Office, cybersecurity measures, and energy efficiency reporting. Key deadlines: providers must comply by August 2025 (GPAI) and August 2026 (high-risk AI).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Regulation</w:t>
            </w:r>
          </w:p>
        </w:tc>
        <w:tc>
          <w:tcPr>
            <w:tcW w:type="dxa" w:w="6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Generative AI Requirement</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Title II (GPAI)</w:t>
            </w:r>
          </w:p>
        </w:tc>
        <w:tc>
          <w:tcPr>
            <w:tcW w:type="dxa" w:w="6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All GPAI providers: technical documentation, training data transparency, copyright compliance, capability evaluations. Systemic risk models: red-teaming, incident reporting, adversarial testing.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Annex III</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When LLM used in high-risk context (credit, employment, education): Annex IV docs, human oversight, LIME/IG explainability, bias monitoring.</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US EO 14110 (Oct 2023)</w:t>
            </w:r>
          </w:p>
        </w:tc>
        <w:tc>
          <w:tcPr>
            <w:tcW w:type="dxa" w:w="6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Dual-use foundation model providers with &gt;10²⁶ FLOPs must report training runs and safety results to US government. NIST AI RMF compliance expected.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GDPR Art. 22 + Recital 71</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LLM used in automated individual decisions: right to explanation; human review required; data minimisation for training data. RAG systems: verify no PII in retrieved context.</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EBA GL/2020/06</w:t>
            </w:r>
          </w:p>
        </w:tc>
        <w:tc>
          <w:tcPr>
            <w:tcW w:type="dxa" w:w="6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LLM outputs used in credit decisions: same model risk governance as any ML model; explainability; OOT validation; challenger model.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FDA AI/ML SaMD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LLM in clinical settings: intended use defines regulatory pathway; De Novo or 510(k) required; prospective clinical validation; hallucination monitoring mandatory.</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7.8  Enterprise Case Studies — 10 Organisations</w:t>
      </w:r>
    </w:p>
    <w:p>
      <w:pPr>
        <w:spacing w:after="120"/>
      </w:pPr>
      <w:r>
        <w:rPr>
          <w:rFonts w:ascii="Arial" w:cs="Arial" w:eastAsia="Arial" w:hAnsi="Arial"/>
          <w:color w:val="595959"/>
          <w:sz w:val="21"/>
          <w:szCs w:val="21"/>
        </w:rPr>
        <w:t xml:space="preserve">Five European deployments (Germany, France, United Kingdom, Netherlands, Switzerland) and five North American deployments (United States ×4, Canada ×1) across financial services, insurance, healthcare, legal, and technology.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  🇩🇪  Germany  —  Allianz SE</w:t>
            </w:r>
            <w:r>
              <w:rPr>
                <w:rFonts w:ascii="Arial" w:cs="Arial" w:eastAsia="Arial" w:hAnsi="Arial"/>
                <w:color w:val="AED6F1"/>
                <w:sz w:val="19"/>
                <w:szCs w:val="19"/>
              </w:rPr>
              <w:t xml:space="preserve">    |    P&amp;C Insurance — RAG Claims Assistant    |    GPT-4 + RAG (Azure OpenAI)</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Allianz SE, Munich — EUR 161B revenue, world's largest insurer by revenue. Allianz Technology AI team: GPT-4-powered claims knowledge assistant deployed to 15,000+ claims adjusters across Allianz Germany, Austria, and Switzerland. Subject to EIOPA AI Guidelines, BaFin AI supervision, EU AI Act Annex III.</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Claims adjusters handle 40+ complex cases simultaneously. Each case requires cross-referencing policy wordings (500+ pages), Allianz internal guidelines, BaFin regulatory circulars, and ECJ/BGH case law. Query response time with legacy search: 45–90 minutes per complex case.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RAG pipeline: 2.3M documents indexed (policy wordings, guidelines, BGH case law, BaFin circulars). Embedding: text-embedding-3-large (1536-dim). Vector DB: Azure AI Search (HNSW index). Retrieval: top-8 chunks + cross-encoder re-ranking. Generation: GPT-4-turbo with citation-grounded system prompt. All responses include source document + page number.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Query embedding + vector similarity search across 5 document collections. BM25 hybrid search (keyword + vector). Re-ranking by recency (regulation updates). Mandatory citation extraction: every claim in response linked to source paragraph. Hallucination guard: NLI faithfulness check on all outputs before display.</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AI Act Annex III: LLM as high-risk AI tool in insurance decisions — Annex IV technical documentation. BaFin AI Supervisory Framework: model card, usage audit trail for BaFin on-demand review. EIOPA Guidelines: GradCAM or attention attribution for adjuster explanations. GDPR: no PII injected into LLM context; claimant data masked before retrieval.</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C — l  ·  R — e  ·  C — i  ·  A — 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2  🇫🇷  France  —  BNP Paribas SA</w:t>
            </w:r>
            <w:r>
              <w:rPr>
                <w:rFonts w:ascii="Arial" w:cs="Arial" w:eastAsia="Arial" w:hAnsi="Arial"/>
                <w:color w:val="AED6F1"/>
                <w:sz w:val="19"/>
                <w:szCs w:val="19"/>
              </w:rPr>
              <w:t xml:space="preserve">    |    Investment Banking — Regulatory Intelligence    |    LLaMA-3 70B (fine-tuned) + RAG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BNP Paribas, Paris — EUR 11.6B net income. BNP Paribas Corporate &amp; Institutional Banking AI team: on-premises LLaMA-3 70B fine-tuned regulatory intelligence platform. Subject to ECB SSM, ACPR (French banking supervisor), MiFID II, EU AI Act, GDPR. Data sovereignty requirement prohibits use of external API LLMs.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Regulatory analysts monitor 200+ regulations across 40+ jurisdictions. Each Basel IV update, ESMA consultation, or MiFID II amendment requires impact analysis across 180 BNP business lines. Manual analysis: 3–5 business days per regulation update. Annual volume: 1,200+ regulatory changes.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On-premises LLaMA-3 70B (QLoRA fine-tuned on BNP regulatory corpus). RAG: 840K regulatory documents (EBA, ESMA, BaFin, ACPR, SEC, FCA, MAS). Graph RAG: entity relationship graph of regulatory requirements across jurisdictions. Output: structured impact assessment (affected business lines, required changes, implementation deadline).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Multi-hop regulatory graph traversal: query → relevant regulations → impacted rules → affected products → required capital/reporting changes. Structured JSON output: {regulation, jurisdiction, impact_level, affected_BLs, deadline, action_required}. BM25 + dense retrieval hybrid. Self-RAG: LLM decides when additional retrieval needed.</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ECB SSM: model risk governance — on-premises deployment meets data sovereignty. ACPR: French AI supervisory expectations (ACPR white paper 2023): explainability, auditability. EU AI Act GPAI: LLaMA-3 classified as GPAI — BNP maintaining technical documentation per Title II. GDPR Art. 25: privacy by design — no client data in RAG index.</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R — e  ·  R — e  ·  H — a  ·  R — 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3  🇬🇧  United Kingdom  —  HSBC Holdings plc</w:t>
            </w:r>
            <w:r>
              <w:rPr>
                <w:rFonts w:ascii="Arial" w:cs="Arial" w:eastAsia="Arial" w:hAnsi="Arial"/>
                <w:color w:val="AED6F1"/>
                <w:sz w:val="19"/>
                <w:szCs w:val="19"/>
              </w:rPr>
              <w:t xml:space="preserve">    |    Investment Banking — AML SAR Generation    |    GPT-4 + Azure OpenAI Service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HSBC Holdings, London — USD 3.0T total assets, global bank in 64 countries. HSBC AI Lab: LLM-assisted Suspicious Activity Report (SAR) drafting for financial crime compliance. Regulated by PRA/FCA (UK), OCC (US), HKMA (HK). Subject to UK Proceeds of Crime Act 2002, US BSA/AML, FATF Recommendations.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HSBC AML investigators write 15,000+ SARs annually. Each SAR requires: synthesising transaction data, counterparty intelligence, typology pattern analysis, and narrative writing in precise legal language. Average SAR writing time: 4.5 hours/investigator. Compliance with UK POCA 2002 narrative requirements is mandatory.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GPT-4 (Azure OpenAI) with RAG from AML case management system. Structured data injection: transaction tables, entity networks, risk scores formatted as structured context. Two-stage: (1) LLM generates SAR narrative draft from structured transaction data; (2) Investigator reviews, edits, approves before submission. Zero auto-submission — human in the loop mandated.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Structured transaction data: amounts, dates, counterparties, jurisdictions, SWIFT codes, MCC codes, risk scores from HSBC's proprietary risk engine. Typology library: 200 FATF money laundering typologies embedded as retrieval context. Entity network graph: beneficial ownership relationships. Mandatory fields: POCA narrative, suspicion grounds, investigation actions.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UK POCA 2002: SAR submission remains investigator responsibility — LLM is a drafting tool only. FCA Consumer Duty: human approval required before any SAR filed. PRA SS1/23: LLM model risk governance — quarterly revalidation. GDPR: personal data minimisation; client name replaced with [Subject] in LLM context. FinCEN: SAR accuracy requirements — LLM outputs monitored for hallucination against transaction data.</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S — A  ·  S — A  ·  F — a  ·  A — M</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4  🇳🇱  Netherlands  —  ING Bank N.V.</w:t>
            </w:r>
            <w:r>
              <w:rPr>
                <w:rFonts w:ascii="Arial" w:cs="Arial" w:eastAsia="Arial" w:hAnsi="Arial"/>
                <w:color w:val="AED6F1"/>
                <w:sz w:val="19"/>
                <w:szCs w:val="19"/>
              </w:rPr>
              <w:t xml:space="preserve">    |    Retail Banking — Customer Service GenAI    |    Mistral 7B (fine-tuned) + RAG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ING Bank N.V., Amsterdam — EUR 902B total assets, 38M customers across 40 countries. ING Model Risk &amp; AI team: on-premises Mistral 7B customer service assistant deployed in ING Netherlands, Belgium, and Germany. Subject to ECB SSM, DNB (Dutch National Bank), EU AI Act Annex III, GDPR.</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ING handles 12M+ customer service interactions annually. 68% of queries involve product information, rates, and account services answerable from ING's knowledge base. Contact centre cost: EUR 8.50 per interaction. Automation target: deflect 50% of routine queries while maintaining CSAT &gt; 4.2/5.0 and EU AI Act human oversight compliance.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On-premises Mistral 7B (LoRA fine-tuned on ING customer service transcripts — 2.1M examples). RAG: ING product knowledge base (45,000 documents). Hybrid retrieval: BM25 + dense (ING-tuned embedding model). Escalation logic: confidence threshold &lt; 0.72 → human agent handoff. Multilingual: Dutch, English, German, French, Spanish.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Customer intent classification (48 classes). ING product knowledge base: rates, fees, features, eligibility. Account type context (injected from CRM after authentication). Escalation triggers: complaint keywords, high-value amounts (&gt;EUR 10K), legal threats, emotional distress signals. CSAT prediction: sentiment analysis on conversation for quality monitoring.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AI Act Annex III: automated customer interaction — human oversight requirement met via escalation threshold and opt-out at any point. DNB AI Supervisory Expectations 2023: model card, adversarial testing log, bias monitoring by demographic. GDPR Art. 13: LLM interaction disclosed as AI; data processing basis documented. EU Consumer Rights Directive: response accuracy SLA monitored.</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C — u  ·  v — s  ·  C — o  ·  A — 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5  🇨🇭  Switzerland  —  F. Hoffmann-La Roche AG</w:t>
            </w:r>
            <w:r>
              <w:rPr>
                <w:rFonts w:ascii="Arial" w:cs="Arial" w:eastAsia="Arial" w:hAnsi="Arial"/>
                <w:color w:val="AED6F1"/>
                <w:sz w:val="19"/>
                <w:szCs w:val="19"/>
              </w:rPr>
              <w:t xml:space="preserve">    |    Pharma — Clinical Trial Medical Writing    |    GPT-4 + RAG + Structured Output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F. Hoffmann-La Roche AG, Basel — CHF 58.7B revenue, world's largest biotech company. Roche Informatics: LLM-assisted clinical trial regulatory document generation for FDA, EMA, and Swissmedic submissions. Subject to FDA 21 CFR Part 11, EMA/CHMP/ICH E6 GCP, ICH E3 (Clinical Study Report), EU AI Act Annex III, EU MDR.</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Roche conducts 30+ Phase II/III clinical trials annually. Each trial requires a Clinical Study Report (CSR): 2,000–5,000 pages of standardised regulatory document. Manual drafting requires 18–24 months post-study. Regulatory agencies (FDA, EMA) require specific section structure, statistical language, and cross-referencing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GPT-4 (Azure OpenAI) + RAG from: (1) ICH E3 CSR template (structured requirements), (2) Previous approved Roche CSRs (anonymised), (3) Statistical analysis plan (SAP) and output tables. Structured JSON output mapped to ICH E3 sections. Human medical writer reviews and approves every section. Version-controlled in Roche's validated GxP document management system.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Statistical outputs: ADSL/ADAE/ADCM SAS datasets formatted as structured tables. ICH E3 section templates: mandatory headings, required content per section. Prior art: approved CSR sections from similar indications. Regulatory guidance: FDA/EMA reviewer guidelines for CSR quality. Safety narrative generation: individual patient narratives for adverse events.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FDA 21 CFR Part 11: electronic records — validated system with audit trail; no autonomous AI submission. EMA CHMP/ICH E3: CSR structure compliance validated against ICH template. ICH E6 GCP: all AI-generated content reviewed and approved by qualified medical writer. EU AI Act Annex III: LLM as high-risk AI in regulated clinical context — Annex IV documentation. Swissmedic: Swiss-specific submission requirements validated.</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C — S  ·  R — e  ·  R — e  ·  A — 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6  🇺🇸  United States  —  Goldman Sachs Group</w:t>
            </w:r>
            <w:r>
              <w:rPr>
                <w:rFonts w:ascii="Arial" w:cs="Arial" w:eastAsia="Arial" w:hAnsi="Arial"/>
                <w:color w:val="AED6F1"/>
                <w:sz w:val="19"/>
                <w:szCs w:val="19"/>
              </w:rPr>
              <w:t xml:space="preserve">    |    Investment Banking — AI Platform    |    GS AI Platform (Multiple LLMs)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Goldman Sachs, New York — USD 46.3B net revenues. GS AI Platform: enterprise-wide LLM infrastructure serving 10,000+ bankers and engineers. Uses a mixture of GPT-4, Claude 3.5, and internally fine-tuned models. First major Wall Street bank to deploy LLMs at enterprise scale with formal model governance. Subject to OCC SR 11-7, SEC AI guidance, US EO 14110.</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Goldman bankers, quants, and engineers perform: (1) financial document summarisation (10-Ks, credit memos, offering circulars), (2) code generation for Python/SQL/R analytics, (3) M&amp;A due diligence synthesis, (4) regulatory filing preparation, (5) risk report generation. Each use case requires different LLM capabilities and risk controls.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GS AI Platform: internal LLM gateway routing queries to appropriate model (GPT-4 for reasoning, Claude for long-context, fine-tuned GS model for financial tasks). RAG: Goldman internal knowledge graph (deal history, client profiles, market data, regulatory filings). Role-based access: bankers can only access client data for their deals. All outputs watermarked and audit-logged.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Query routing: intent classification → model selection. GS proprietary financial embeddings (trained on 10 years of Goldman documents). Bloomberg/Refinitiv MDA integration for real-time data. Code execution sandbox: safe Python/SQL execution with output validation. Deal room RAG: M&amp;A documents ingested per deal, auto-deleted at deal close.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OCC SR 11-7: GS AI Platform treated as model risk infrastructure — quarterly model inventory review. SEC AI-generated content disclosure guidance: AI-drafted regulatory filings require human sign-off. US EO 14110: GS reports LLM use to FSOC per systemic risk framework. FINRA: LLM-generated client communications reviewed before sending. Attorney-client privilege: LLM outputs in legal matters routed via in-house counsel.</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G — S  ·  T — i  ·  E — s  ·  R — 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7  🇺🇸  United States  —  Microsoft / GitHub</w:t>
            </w:r>
            <w:r>
              <w:rPr>
                <w:rFonts w:ascii="Arial" w:cs="Arial" w:eastAsia="Arial" w:hAnsi="Arial"/>
                <w:color w:val="AED6F1"/>
                <w:sz w:val="19"/>
                <w:szCs w:val="19"/>
              </w:rPr>
              <w:t xml:space="preserve">    |    Technology — AI Coding Assistant    |    GitHub Copilot (GPT-4 Codex)</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Microsoft Corporation / GitHub, Redmond WA — USD 245B revenue. GitHub Copilot: LLM-powered code completion and generation assistant. Deployed by 1.8M+ developers across 50,000+ enterprise organisations including Goldman Sachs, Airbus, Morgan Stanley, and Volkswagen. Subject to EU AI Act Annex I (safety-critical code), US EO 14110, GDPR (European users).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Enterprise software development: developers spend 35% of time on boilerplate code, unit tests, documentation, and debugging. Enterprise customers need: code completion in 20+ languages, security vulnerability detection, licence compliance, IP protection (no regurgitation of GPL code), and SOC 2 compliance for code privacy.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GitHub Copilot Enterprise: GPT-4 Codex fine-tuned on public code + proprietary enterprise codebase (opt-in). RAG: enterprise codebase indexing — repository-aware suggestions based on internal patterns. Security scanning: CodeQL SAST integrated — flags vulnerabilities in AI suggestions before acceptance. Licence filter: blocks suggestions matching GPL/AGPL licenced code.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Code context: open files, cursor position, imported modules, function signatures (up to 8K tokens). Enterprise codebase embeddings: repository-specific patterns learned. Docstring and comment context for intent inference. Test file context: generates matching unit tests from implementation. PR description context: generates commit messages and PR summaries.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AI Act Annex I: software for safety-critical systems (aviation, automotive, medical) — human code review mandatory. GDPR: code not stored or used to train model without enterprise opt-in; data processed in EU region for EU customers. SOC 2 Type II: GitHub Copilot Business certified. US Executive Order 14110: Microsoft reports dual-use code generation capabilities. IP/Copyright: trained on licensed data; licence filter per OpenAI policy.</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E — n  ·  F — a  ·  P — r  ·  E — 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8  🇺🇸  United States  —  Salesforce Inc.</w:t>
            </w:r>
            <w:r>
              <w:rPr>
                <w:rFonts w:ascii="Arial" w:cs="Arial" w:eastAsia="Arial" w:hAnsi="Arial"/>
                <w:color w:val="AED6F1"/>
                <w:sz w:val="19"/>
                <w:szCs w:val="19"/>
              </w:rPr>
              <w:t xml:space="preserve">    |    CRM — AI Copilot for Sales &amp; Service    |    Einstein Copilot (Llama + RAG + CRM)</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Salesforce Inc., San Francisco — USD 34.9B revenue. Einstein Copilot: embedded LLM copilot within Salesforce CRM, deployed by 150,000+ enterprise customers. Uses a combination of Llama models, retrieval from CRM data, and Salesforce proprietary models. Subject to GDPR (EU customers), CCPA (California), EU AI Act Annex III (HR/employment use cases), SEC AI disclosure guidance.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Sales and customer service teams need: (1) automatic CRM record summarisation, (2) AI-generated email drafts from deal context, (3) service case resolution recommendations from knowledge base, (4) sales forecast explanation, (5) pipeline analysis narratives. All outputs must be grounded in Salesforce CRM data — no generic hallucination.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Einstein Copilot: instruction-tuned LLM (Llama-based) with Salesforce DataCloud integration. RAG: live CRM data retrieval — account history, opportunity pipeline, service cases, knowledge articles. Structured data-to-text: Salesforce SOQL query results → natural language summaries. Agent capabilities: create records, send emails, update fields via API — with human approval workflow.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CRM context: account, contact, opportunity, case objects (live SOQL retrieval). Knowledge base: service articles, product documentation. Sales history: won/lost opportunity patterns for similar accounts. Interaction history: prior emails, call transcripts, meeting notes. Forecast data: pipeline value, close probability, weighted pipeline.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GDPR Art. 22: automated decisions about customers (credit, employment, service prioritisation) require human review — Einstein Copilot provides recommendations, not autonomous decisions. EU AI Act Annex III (employment screening): AI-generated candidate summaries require human hiring decision. CCPA: Einstein Copilot data processing disclosed in privacy policy; opt-out available. SEC: AI-generated sales forecasts disclosed as AI-assisted in public filings.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E — n  ·  I — n  ·  C — a  ·  C — 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9  🇺🇸  United States  —  Epic Systems Corporation</w:t>
            </w:r>
            <w:r>
              <w:rPr>
                <w:rFonts w:ascii="Arial" w:cs="Arial" w:eastAsia="Arial" w:hAnsi="Arial"/>
                <w:color w:val="AED6F1"/>
                <w:sz w:val="19"/>
                <w:szCs w:val="19"/>
              </w:rPr>
              <w:t xml:space="preserve">    |    Healthcare — Ambient Clinical AI    |    GPT-4 + ASR + Clinical RAG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Epic Systems, Verona WI — EHR platform for 315 million patients globally, 97% of US hospital systems. Epic Ambient AI (with Microsoft): ambient AI listens to physician-patient conversations and auto-generates clinical notes, orders, and documentation. Subject to FDA AI/ML SaMD, HIPAA, ONC Health IT Certification, CMS billing rules.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Physician documentation burden: clinicians spend 34% of working hours on documentation. Burnout is the #1 cause of physician attrition. Ambient AI eliminates the need to type clinical notes — physician speaks naturally with patient, AI generates a structured SOAP note, medication orders, and diagnosis codes in real time.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Epic Ambient AI pipeline: (1) Ambient audio capture (Microsoft Azure Speech-to-Text, HIPAA-BAA), (2) ASR transcript → GPT-4 structured clinical note generation, (3) RAG from patient EHR (prior notes, medications, allergies, labs), (4) ICD-10/CPT code suggestion, (5) Physician review and co-signature in Epic EHR. Model: GPT-4 (Azure, HIPAA-compliant endpoint).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Audio transcript: physician-patient conversation (10–25 minutes). Patient EHR context: prior visit notes, problem list, medication list, allergies, recent labs (retrieved from Epic via RAG). Clinical templates: SOAP note structure, specialty-specific templates (cardiology, oncology). ICD-10/CPT mapping: structured code suggestion from note content. Physician preference learning: personalised note style over time.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FDA: Ambient AI guidance — FDA determined ambient AI documentation is not SaMD (physician reviews all outputs; no autonomous clinical decision). HIPAA: Azure HIPAA BAA; audio processed in HIPAA-compliant cloud; audio deleted after note generation. ONC 21st Century Cures Act: EHR interoperability — Epic API certified. CMS: AI-generated notes require physician co-signature for billing. AMA AI Principles: transparency in AI-assisted documentation — patient informed.</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P — a  ·  R — e  ·  P — h  ·  U — 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10  🇨🇦  Canada  —  Thomson Reuters</w:t>
            </w:r>
            <w:r>
              <w:rPr>
                <w:rFonts w:ascii="Arial" w:cs="Arial" w:eastAsia="Arial" w:hAnsi="Arial"/>
                <w:color w:val="AED6F1"/>
                <w:sz w:val="19"/>
                <w:szCs w:val="19"/>
              </w:rPr>
              <w:t xml:space="preserve">    |    Legal Technology — AI Legal Research    |    CoCounsel (GPT-4 + Westlaw RAG)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Thomson Reuters, Toronto — CAD 7.5B revenue. CoCounsel: AI legal research assistant powered by GPT-4 with RAG from Westlaw's 10 billion+ legal documents (cases, statutes, regulations, secondary sources). Deployed to 50,000+ legal professionals across law firms, in-house teams, and government agencies in US, Canada, UK, and Australia. Subject to bar association AI ethics rules, GDPR (UK/EU clients), Law Society guidelines.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Legal research: a lawyer researching a complex litigation matter typically spends 8–12 hours on Westlaw searching for relevant cases, statutes, and secondary authorities. Errors in legal research (missing a key precedent) can result in malpractice liability. CoCounsel must provide complete, cited, jurisdictionally accurate legal research at production quality.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CoCounsel architecture: GPT-4 + Westlaw RAG (10B+ documents). Query → Westlaw semantic search (custom legal embedding model) → top-20 results → cross-encoder re-ranking → top-8 to GPT-4 context. Output: structured legal research memo with: issue statement, applicable law, case holdings, analysis, conclusion. Every citation verified against Westlaw database — hallucinated citations rejected before display.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Westlaw 10B+ document index: US federal/state cases (all jurisdictions), federal statutes, Code of Federal Regulations, secondary sources (law reviews, treatises). Legal embedding model: fine-tuned on legal text for precise jurisdictional and doctrinal retrieval. Citation verification: every case citation cross-checked against Westlaw case ID — no citation displayed if not verified. Jurisdiction filter: user specifies jurisdiction for retrieval.</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ABA Model Rules of Professional Conduct Rule 1.1 (Competence): AI-assisted research must meet competent lawyer standard — CoCounsel verified legal accuracy required. ABA Formal Opinion 512 (2023): lawyers must supervise AI outputs; CoCounsel provides source-linked research for lawyer review. Law Society of Ontario: AI use in legal practice guidance 2024 — disclosure to clients. GDPR: EU client matters processed in EU region; Westlaw EU data sovereignty compliant.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L — e  ·  L — e  ·  C — i  ·  T — h</w:t>
            </w:r>
          </w:p>
        </w:tc>
      </w:tr>
    </w:tbl>
    <w:p>
      <w:pPr>
        <w:spacing w:after="80"/>
      </w:pPr>
      <w:r>
        <w:t xml:space="preserve"/>
      </w:r>
    </w:p>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7.9  Chapter Summary — Key Takeaways</w:t>
      </w:r>
    </w:p>
    <w:p>
      <w:pPr>
        <w:spacing w:after="80"/>
      </w:pPr>
      <w:r>
        <w:rPr>
          <w:rFonts w:ascii="Arial" w:cs="Arial" w:eastAsia="Arial" w:hAnsi="Arial"/>
          <w:b/>
          <w:bCs/>
          <w:color w:val="1F3864"/>
          <w:sz w:val="21"/>
          <w:szCs w:val="21"/>
        </w:rPr>
        <w:t xml:space="preserve">LLM Architecture: </w:t>
      </w:r>
      <w:r>
        <w:rPr>
          <w:rFonts w:ascii="Arial" w:cs="Arial" w:eastAsia="Arial" w:hAnsi="Arial"/>
          <w:color w:val="595959"/>
          <w:sz w:val="21"/>
          <w:szCs w:val="21"/>
        </w:rPr>
        <w:t xml:space="preserve">Decoder-only Transformers (GPT) trained autoregressively: P(x₁,...,xT)=∏P(xₜ|x₁,...,xₜ₋₁). Causal masking enforces left-to-right generation. Scaling laws (Chinchilla): ~20 training tokens per parameter for compute-optimality.</w:t>
      </w:r>
    </w:p>
    <w:p>
      <w:pPr>
        <w:spacing w:after="80"/>
      </w:pPr>
      <w:r>
        <w:t xml:space="preserve"/>
      </w:r>
    </w:p>
    <w:p>
      <w:pPr>
        <w:spacing w:after="80"/>
      </w:pPr>
      <w:r>
        <w:rPr>
          <w:rFonts w:ascii="Arial" w:cs="Arial" w:eastAsia="Arial" w:hAnsi="Arial"/>
          <w:b/>
          <w:bCs/>
          <w:color w:val="1F3864"/>
          <w:sz w:val="21"/>
          <w:szCs w:val="21"/>
        </w:rPr>
        <w:t xml:space="preserve">Pre-training &amp; RLHF: </w:t>
      </w:r>
      <w:r>
        <w:rPr>
          <w:rFonts w:ascii="Arial" w:cs="Arial" w:eastAsia="Arial" w:hAnsi="Arial"/>
          <w:color w:val="595959"/>
          <w:sz w:val="21"/>
          <w:szCs w:val="21"/>
        </w:rPr>
        <w:t xml:space="preserve">Three-stage alignment: SFT → Reward Model → PPO optimisation (or DPO as lighter alternative). PEFT options: LoRA (low-rank weight updates, ~1% parameters), QLoRA (4-bit quantisation), prompt tuning.</w:t>
      </w:r>
    </w:p>
    <w:p>
      <w:pPr>
        <w:spacing w:after="80"/>
      </w:pPr>
      <w:r>
        <w:t xml:space="preserve"/>
      </w:r>
    </w:p>
    <w:p>
      <w:pPr>
        <w:spacing w:after="80"/>
      </w:pPr>
      <w:r>
        <w:rPr>
          <w:rFonts w:ascii="Arial" w:cs="Arial" w:eastAsia="Arial" w:hAnsi="Arial"/>
          <w:b/>
          <w:bCs/>
          <w:color w:val="1F3864"/>
          <w:sz w:val="21"/>
          <w:szCs w:val="21"/>
        </w:rPr>
        <w:t xml:space="preserve">RAG Architecture: </w:t>
      </w:r>
      <w:r>
        <w:rPr>
          <w:rFonts w:ascii="Arial" w:cs="Arial" w:eastAsia="Arial" w:hAnsi="Arial"/>
          <w:color w:val="595959"/>
          <w:sz w:val="21"/>
          <w:szCs w:val="21"/>
        </w:rPr>
        <w:t xml:space="preserve">Indexing: chunk → embed → vector store. Retrieval: cosine similarity search → cross-encoder re-rank → top-k to LLM context. Citation verification and faithfulness scoring are mandatory for enterprise deployment.</w:t>
      </w:r>
    </w:p>
    <w:p>
      <w:pPr>
        <w:spacing w:after="80"/>
      </w:pPr>
      <w:r>
        <w:t xml:space="preserve"/>
      </w:r>
    </w:p>
    <w:p>
      <w:pPr>
        <w:spacing w:after="80"/>
      </w:pPr>
      <w:r>
        <w:rPr>
          <w:rFonts w:ascii="Arial" w:cs="Arial" w:eastAsia="Arial" w:hAnsi="Arial"/>
          <w:b/>
          <w:bCs/>
          <w:color w:val="1F3864"/>
          <w:sz w:val="21"/>
          <w:szCs w:val="21"/>
        </w:rPr>
        <w:t xml:space="preserve">Prompt Engineering: </w:t>
      </w:r>
      <w:r>
        <w:rPr>
          <w:rFonts w:ascii="Arial" w:cs="Arial" w:eastAsia="Arial" w:hAnsi="Arial"/>
          <w:color w:val="595959"/>
          <w:sz w:val="21"/>
          <w:szCs w:val="21"/>
        </w:rPr>
        <w:t xml:space="preserve">Zero-shot, few-shot, CoT, structured output. Enterprise system prompts must be versioned, tested, and include fallback instructions. Prompt injection is a key security risk requiring input validation.</w:t>
      </w:r>
    </w:p>
    <w:p>
      <w:pPr>
        <w:spacing w:after="80"/>
      </w:pPr>
      <w:r>
        <w:t xml:space="preserve"/>
      </w:r>
    </w:p>
    <w:p>
      <w:pPr>
        <w:spacing w:after="80"/>
      </w:pPr>
      <w:r>
        <w:rPr>
          <w:rFonts w:ascii="Arial" w:cs="Arial" w:eastAsia="Arial" w:hAnsi="Arial"/>
          <w:b/>
          <w:bCs/>
          <w:color w:val="1F3864"/>
          <w:sz w:val="21"/>
          <w:szCs w:val="21"/>
        </w:rPr>
        <w:t xml:space="preserve">LLM Agents: </w:t>
      </w:r>
      <w:r>
        <w:rPr>
          <w:rFonts w:ascii="Arial" w:cs="Arial" w:eastAsia="Arial" w:hAnsi="Arial"/>
          <w:color w:val="595959"/>
          <w:sz w:val="21"/>
          <w:szCs w:val="21"/>
        </w:rPr>
        <w:t xml:space="preserve">ReAct: Thought → Action → Observation loop. Multi-agent: planner-executor, supervisor-worker, debate patterns. Tools: search, calculator, database, code execution, external APIs.</w:t>
      </w:r>
    </w:p>
    <w:p>
      <w:pPr>
        <w:spacing w:after="80"/>
      </w:pPr>
      <w:r>
        <w:t xml:space="preserve"/>
      </w:r>
    </w:p>
    <w:p>
      <w:pPr>
        <w:spacing w:after="80"/>
      </w:pPr>
      <w:r>
        <w:rPr>
          <w:rFonts w:ascii="Arial" w:cs="Arial" w:eastAsia="Arial" w:hAnsi="Arial"/>
          <w:b/>
          <w:bCs/>
          <w:color w:val="1F3864"/>
          <w:sz w:val="21"/>
          <w:szCs w:val="21"/>
        </w:rPr>
        <w:t xml:space="preserve">Hallucination &amp; Evaluation: </w:t>
      </w:r>
      <w:r>
        <w:rPr>
          <w:rFonts w:ascii="Arial" w:cs="Arial" w:eastAsia="Arial" w:hAnsi="Arial"/>
          <w:color w:val="595959"/>
          <w:sz w:val="21"/>
          <w:szCs w:val="21"/>
        </w:rPr>
        <w:t xml:space="preserve">Types: factual, faithfulness, attribution, temporal, reasoning. Mitigation: RAG with citation verification, NLI faithfulness checker, CoT, majority voting. Evaluation: RAGAS, BERTScore, G-Eval (LLM-as-judge).</w:t>
      </w:r>
    </w:p>
    <w:p>
      <w:pPr>
        <w:spacing w:after="80"/>
      </w:pPr>
      <w:r>
        <w:t xml:space="preserve"/>
      </w:r>
    </w:p>
    <w:p>
      <w:pPr>
        <w:spacing w:after="80"/>
      </w:pPr>
      <w:r>
        <w:rPr>
          <w:rFonts w:ascii="Arial" w:cs="Arial" w:eastAsia="Arial" w:hAnsi="Arial"/>
          <w:b/>
          <w:bCs/>
          <w:color w:val="1F3864"/>
          <w:sz w:val="21"/>
          <w:szCs w:val="21"/>
        </w:rPr>
        <w:t xml:space="preserve">Regulatory Framework: </w:t>
      </w:r>
      <w:r>
        <w:rPr>
          <w:rFonts w:ascii="Arial" w:cs="Arial" w:eastAsia="Arial" w:hAnsi="Arial"/>
          <w:color w:val="595959"/>
          <w:sz w:val="21"/>
          <w:szCs w:val="21"/>
        </w:rPr>
        <w:t xml:space="preserve">EU AI Act GPAI Title II: technical documentation, training data transparency, adversarial testing for systemic risk models. EU AI Act Annex III: human oversight, explainability for high-risk LLM applications. US EO 14110: reporting for models &gt;10²⁶ FLOPs.</w:t>
      </w:r>
    </w:p>
    <w:p>
      <w:pPr>
        <w:spacing w:after="80"/>
      </w:pPr>
      <w:r>
        <w:t xml:space="preserve"/>
      </w:r>
    </w:p>
    <w:p>
      <w:pPr>
        <w:spacing w:after="80"/>
      </w:pPr>
      <w:r>
        <w:rPr>
          <w:rFonts w:ascii="Arial" w:cs="Arial" w:eastAsia="Arial" w:hAnsi="Arial"/>
          <w:b/>
          <w:bCs/>
          <w:color w:val="1F3864"/>
          <w:sz w:val="21"/>
          <w:szCs w:val="21"/>
        </w:rPr>
        <w:t xml:space="preserve">Enterprise Deployment: </w:t>
      </w:r>
      <w:r>
        <w:rPr>
          <w:rFonts w:ascii="Arial" w:cs="Arial" w:eastAsia="Arial" w:hAnsi="Arial"/>
          <w:color w:val="595959"/>
          <w:sz w:val="21"/>
          <w:szCs w:val="21"/>
        </w:rPr>
        <w:t xml:space="preserve">RAG-first architecture (grounded, auditable, no weight update). Human-in-the-loop for all regulated outputs. Model cards, audit trails, quarterly revalidation, and red-teaming are required for all enterprise LLM systems.</w:t>
      </w:r>
    </w:p>
    <w:p>
      <w:pPr>
        <w:spacing w:after="80"/>
      </w:pPr>
      <w:r>
        <w:t xml:space="preserve"/>
      </w:r>
    </w:p>
    <w:p>
      <w:pPr>
        <w:pStyle w:val="Heading1"/>
        <w:spacing w:before="360" w:after="160"/>
      </w:pPr>
      <w:r>
        <w:rPr>
          <w:rFonts w:ascii="Arial" w:cs="Arial" w:eastAsia="Arial" w:hAnsi="Arial"/>
          <w:b/>
          <w:bCs/>
          <w:color w:val="1F3864"/>
          <w:sz w:val="32"/>
          <w:szCs w:val="32"/>
        </w:rPr>
        <w:t xml:space="preserve">References</w:t>
      </w:r>
    </w:p>
    <w:p>
      <w:pPr>
        <w:pStyle w:val="ListParagraph"/>
        <w:numPr>
          <w:ilvl w:val="0"/>
          <w:numId w:val="3"/>
        </w:numPr>
        <w:spacing w:after="80"/>
      </w:pPr>
      <w:r>
        <w:rPr>
          <w:rFonts w:ascii="Arial" w:cs="Arial" w:eastAsia="Arial" w:hAnsi="Arial"/>
          <w:color w:val="595959"/>
          <w:sz w:val="21"/>
          <w:szCs w:val="21"/>
        </w:rPr>
        <w:t xml:space="preserve">Brown, T. et al. (2020). Language Models are Few-Shot Learners (GPT-3). NeurIPS 2020.</w:t>
      </w:r>
    </w:p>
    <w:p>
      <w:pPr>
        <w:pStyle w:val="ListParagraph"/>
        <w:numPr>
          <w:ilvl w:val="0"/>
          <w:numId w:val="3"/>
        </w:numPr>
        <w:spacing w:after="80"/>
      </w:pPr>
      <w:r>
        <w:rPr>
          <w:rFonts w:ascii="Arial" w:cs="Arial" w:eastAsia="Arial" w:hAnsi="Arial"/>
          <w:color w:val="595959"/>
          <w:sz w:val="21"/>
          <w:szCs w:val="21"/>
        </w:rPr>
        <w:t xml:space="preserve">Ouyang, L. et al. (2022). Training language models to follow instructions with human feedback (InstructGPT). NeurIPS 2022.</w:t>
      </w:r>
    </w:p>
    <w:p>
      <w:pPr>
        <w:pStyle w:val="ListParagraph"/>
        <w:numPr>
          <w:ilvl w:val="0"/>
          <w:numId w:val="3"/>
        </w:numPr>
        <w:spacing w:after="80"/>
      </w:pPr>
      <w:r>
        <w:rPr>
          <w:rFonts w:ascii="Arial" w:cs="Arial" w:eastAsia="Arial" w:hAnsi="Arial"/>
          <w:color w:val="595959"/>
          <w:sz w:val="21"/>
          <w:szCs w:val="21"/>
        </w:rPr>
        <w:t xml:space="preserve">Lewis, P. et al. (2020). Retrieval-Augmented Generation for Knowledge-Intensive NLP Tasks. NeurIPS 2020.</w:t>
      </w:r>
    </w:p>
    <w:p>
      <w:pPr>
        <w:pStyle w:val="ListParagraph"/>
        <w:numPr>
          <w:ilvl w:val="0"/>
          <w:numId w:val="3"/>
        </w:numPr>
        <w:spacing w:after="80"/>
      </w:pPr>
      <w:r>
        <w:rPr>
          <w:rFonts w:ascii="Arial" w:cs="Arial" w:eastAsia="Arial" w:hAnsi="Arial"/>
          <w:color w:val="595959"/>
          <w:sz w:val="21"/>
          <w:szCs w:val="21"/>
        </w:rPr>
        <w:t xml:space="preserve">Rafailov, R. et al. (2023). Direct Preference Optimisation (DPO). NeurIPS 2023.</w:t>
      </w:r>
    </w:p>
    <w:p>
      <w:pPr>
        <w:pStyle w:val="ListParagraph"/>
        <w:numPr>
          <w:ilvl w:val="0"/>
          <w:numId w:val="3"/>
        </w:numPr>
        <w:spacing w:after="80"/>
      </w:pPr>
      <w:r>
        <w:rPr>
          <w:rFonts w:ascii="Arial" w:cs="Arial" w:eastAsia="Arial" w:hAnsi="Arial"/>
          <w:color w:val="595959"/>
          <w:sz w:val="21"/>
          <w:szCs w:val="21"/>
        </w:rPr>
        <w:t xml:space="preserve">Yao, S. et al. (2022). ReAct: Synergizing Reasoning and Acting in Language Models. ICLR 2023.</w:t>
      </w:r>
    </w:p>
    <w:p>
      <w:pPr>
        <w:pStyle w:val="ListParagraph"/>
        <w:numPr>
          <w:ilvl w:val="0"/>
          <w:numId w:val="3"/>
        </w:numPr>
        <w:spacing w:after="80"/>
      </w:pPr>
      <w:r>
        <w:rPr>
          <w:rFonts w:ascii="Arial" w:cs="Arial" w:eastAsia="Arial" w:hAnsi="Arial"/>
          <w:color w:val="595959"/>
          <w:sz w:val="21"/>
          <w:szCs w:val="21"/>
        </w:rPr>
        <w:t xml:space="preserve">Kaplan, J. et al. (2020). Scaling Laws for Neural Language Models. arXiv 2001.08361.</w:t>
      </w:r>
    </w:p>
    <w:p>
      <w:pPr>
        <w:pStyle w:val="ListParagraph"/>
        <w:numPr>
          <w:ilvl w:val="0"/>
          <w:numId w:val="3"/>
        </w:numPr>
        <w:spacing w:after="80"/>
      </w:pPr>
      <w:r>
        <w:rPr>
          <w:rFonts w:ascii="Arial" w:cs="Arial" w:eastAsia="Arial" w:hAnsi="Arial"/>
          <w:color w:val="595959"/>
          <w:sz w:val="21"/>
          <w:szCs w:val="21"/>
        </w:rPr>
        <w:t xml:space="preserve">Hoffmann, J. et al. (2022). Training Compute-Optimal Large Language Models (Chinchilla). NeurIPS 2022.</w:t>
      </w:r>
    </w:p>
    <w:p>
      <w:pPr>
        <w:pStyle w:val="ListParagraph"/>
        <w:numPr>
          <w:ilvl w:val="0"/>
          <w:numId w:val="3"/>
        </w:numPr>
        <w:spacing w:after="80"/>
      </w:pPr>
      <w:r>
        <w:rPr>
          <w:rFonts w:ascii="Arial" w:cs="Arial" w:eastAsia="Arial" w:hAnsi="Arial"/>
          <w:color w:val="595959"/>
          <w:sz w:val="21"/>
          <w:szCs w:val="21"/>
        </w:rPr>
        <w:t xml:space="preserve">Wei, J. et al. (2022). Chain-of-Thought Prompting Elicits Reasoning in Large Language Models. NeurIPS 2022.</w:t>
      </w:r>
    </w:p>
    <w:p>
      <w:pPr>
        <w:pStyle w:val="ListParagraph"/>
        <w:numPr>
          <w:ilvl w:val="0"/>
          <w:numId w:val="3"/>
        </w:numPr>
        <w:spacing w:after="80"/>
      </w:pPr>
      <w:r>
        <w:rPr>
          <w:rFonts w:ascii="Arial" w:cs="Arial" w:eastAsia="Arial" w:hAnsi="Arial"/>
          <w:color w:val="595959"/>
          <w:sz w:val="21"/>
          <w:szCs w:val="21"/>
        </w:rPr>
        <w:t xml:space="preserve">Es, S. et al. (2023). RAGAS: Automated Evaluation of Retrieval Augmented Generation. arXiv 2309.</w:t>
      </w:r>
    </w:p>
    <w:p>
      <w:pPr>
        <w:pStyle w:val="ListParagraph"/>
        <w:numPr>
          <w:ilvl w:val="0"/>
          <w:numId w:val="3"/>
        </w:numPr>
        <w:spacing w:after="80"/>
      </w:pPr>
      <w:r>
        <w:rPr>
          <w:rFonts w:ascii="Arial" w:cs="Arial" w:eastAsia="Arial" w:hAnsi="Arial"/>
          <w:color w:val="595959"/>
          <w:sz w:val="21"/>
          <w:szCs w:val="21"/>
        </w:rPr>
        <w:t xml:space="preserve">European Parliament (2024). Regulation (EU) 2024/1689 — AI Act, Title II (GPAI) &amp; Annex III.</w:t>
      </w:r>
    </w:p>
    <w:p>
      <w:pPr>
        <w:pStyle w:val="ListParagraph"/>
        <w:numPr>
          <w:ilvl w:val="0"/>
          <w:numId w:val="3"/>
        </w:numPr>
        <w:spacing w:after="80"/>
      </w:pPr>
      <w:r>
        <w:rPr>
          <w:rFonts w:ascii="Arial" w:cs="Arial" w:eastAsia="Arial" w:hAnsi="Arial"/>
          <w:color w:val="595959"/>
          <w:sz w:val="21"/>
          <w:szCs w:val="21"/>
        </w:rPr>
        <w:t xml:space="preserve">US Executive Office of the President (2023). Executive Order 14110 on Safe, Secure, and Trustworthy AI.</w:t>
      </w:r>
    </w:p>
    <w:p>
      <w:pPr>
        <w:pStyle w:val="ListParagraph"/>
        <w:numPr>
          <w:ilvl w:val="0"/>
          <w:numId w:val="3"/>
        </w:numPr>
        <w:spacing w:after="80"/>
      </w:pPr>
      <w:r>
        <w:rPr>
          <w:rFonts w:ascii="Arial" w:cs="Arial" w:eastAsia="Arial" w:hAnsi="Arial"/>
          <w:color w:val="595959"/>
          <w:sz w:val="21"/>
          <w:szCs w:val="21"/>
        </w:rPr>
        <w:t xml:space="preserve">NIST (2023). AI Risk Management Framework (AI RMF 1.0). NIST AI 100-1.</w:t>
      </w:r>
    </w:p>
    <w:p>
      <w:pPr>
        <w:pStyle w:val="ListParagraph"/>
        <w:numPr>
          <w:ilvl w:val="0"/>
          <w:numId w:val="3"/>
        </w:numPr>
        <w:spacing w:after="80"/>
      </w:pPr>
      <w:r>
        <w:rPr>
          <w:rFonts w:ascii="Arial" w:cs="Arial" w:eastAsia="Arial" w:hAnsi="Arial"/>
          <w:color w:val="595959"/>
          <w:sz w:val="21"/>
          <w:szCs w:val="21"/>
        </w:rPr>
        <w:t xml:space="preserve">ABA (2023). Formal Opinion 512 — Generative Artificial Intelligence Tools. American Bar Association.</w:t>
      </w:r>
    </w:p>
    <w:p>
      <w:pPr>
        <w:pStyle w:val="ListParagraph"/>
        <w:numPr>
          <w:ilvl w:val="0"/>
          <w:numId w:val="3"/>
        </w:numPr>
        <w:spacing w:after="80"/>
      </w:pPr>
      <w:r>
        <w:rPr>
          <w:rFonts w:ascii="Arial" w:cs="Arial" w:eastAsia="Arial" w:hAnsi="Arial"/>
          <w:color w:val="595959"/>
          <w:sz w:val="21"/>
          <w:szCs w:val="21"/>
        </w:rPr>
        <w:t xml:space="preserve">BaFin (2023). Machine Learning in Risk Models — Supervisory Expectations.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pBdr>
      <w:tabs>
        <w:tab w:val="right" w:pos="9026"/>
      </w:tabs>
    </w:pPr>
    <w:r>
      <w:rPr>
        <w:rFonts w:ascii="Arial" w:cs="Arial" w:eastAsia="Arial" w:hAnsi="Arial"/>
        <w:color w:val="595959"/>
        <w:sz w:val="18"/>
        <w:szCs w:val="18"/>
      </w:rPr>
      <w:t xml:space="preserve">Chapter 7: Generative AI, LLMs &amp; RAG Architectures  |  CAISA™ Level 1</w:t>
    </w:r>
    <w:r>
      <w:rPr>
        <w:rFonts w:ascii="Arial" w:cs="Arial" w:eastAsia="Arial" w:hAnsi="Arial"/>
        <w:sz w:val="18"/>
        <w:szCs w:val="18"/>
      </w:rPr>
      <w:t xml:space="preserve">	</w:t>
    </w:r>
    <w:r>
      <w:rPr>
        <w:rFonts w:ascii="Arial" w:cs="Arial" w:eastAsia="Arial" w:hAnsi="Arial"/>
        <w:b/>
        <w:bCs/>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tabs>
        <w:tab w:val="right" w:pos="9026"/>
      </w:tabs>
    </w:pPr>
    <w:r>
      <w:rPr>
        <w:rFonts w:ascii="Arial" w:cs="Arial" w:eastAsia="Arial" w:hAnsi="Arial"/>
        <w:color w:val="2E75B6"/>
        <w:sz w:val="18"/>
        <w:szCs w:val="18"/>
      </w:rPr>
      <w:t xml:space="preserve">CAISA™ Level 1  |  Chapter 7: Generative AI, LLMs &amp; RAG Architectures</w:t>
    </w:r>
    <w:r>
      <w:rPr>
        <w:rFonts w:ascii="Arial" w:cs="Arial" w:eastAsia="Arial" w:hAnsi="Arial"/>
        <w:color w:val="595959"/>
        <w:sz w:val="18"/>
        <w:szCs w:val="18"/>
      </w:rPr>
      <w:t xml:space="preserve">	© SaamSoft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A6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2026-02-21T17:38:35.998Z</dcterms:created>
  <dcterms:modified xsi:type="dcterms:W3CDTF">2026-02-21T17:38:35.999Z</dcterms:modified>
</cp:coreProperties>
</file>

<file path=docProps/custom.xml><?xml version="1.0" encoding="utf-8"?>
<Properties xmlns="http://schemas.openxmlformats.org/officeDocument/2006/custom-properties" xmlns:vt="http://schemas.openxmlformats.org/officeDocument/2006/docPropsVTypes"/>
</file>