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aps/>
          <w:color w:val="2E75B6"/>
          <w:sz w:val="20"/>
          <w:szCs w:val="20"/>
        </w:rPr>
        <w:t xml:space="preserve">CAISA™ LEVEL 1  |  CHAPTER 8 OF 48</w:t>
      </w:r>
    </w:p>
    <w:p>
      <w:pPr>
        <w:spacing w:after="40"/>
        <w:jc w:val="center"/>
      </w:pPr>
      <w:r>
        <w:rPr>
          <w:rFonts w:ascii="Arial" w:cs="Arial" w:eastAsia="Arial" w:hAnsi="Arial"/>
          <w:b/>
          <w:bCs/>
          <w:color w:val="1F3864"/>
          <w:sz w:val="48"/>
          <w:szCs w:val="48"/>
        </w:rPr>
        <w:t xml:space="preserve">Responsible AI,</w:t>
      </w:r>
    </w:p>
    <w:p>
      <w:pPr>
        <w:spacing w:after="40"/>
        <w:jc w:val="center"/>
      </w:pPr>
      <w:r>
        <w:rPr>
          <w:rFonts w:ascii="Arial" w:cs="Arial" w:eastAsia="Arial" w:hAnsi="Arial"/>
          <w:b/>
          <w:bCs/>
          <w:color w:val="1F3864"/>
          <w:sz w:val="48"/>
          <w:szCs w:val="48"/>
        </w:rPr>
        <w:t xml:space="preserve">Fairness, Bias</w:t>
      </w:r>
    </w:p>
    <w:p>
      <w:pPr>
        <w:spacing w:after="40"/>
        <w:jc w:val="center"/>
      </w:pPr>
      <w:r>
        <w:rPr>
          <w:rFonts w:ascii="Arial" w:cs="Arial" w:eastAsia="Arial" w:hAnsi="Arial"/>
          <w:b/>
          <w:bCs/>
          <w:color w:val="C9A227"/>
          <w:sz w:val="48"/>
          <w:szCs w:val="48"/>
        </w:rPr>
        <w:t xml:space="preserve">&amp; AI Governance</w:t>
      </w:r>
    </w:p>
    <w:p>
      <w:pPr>
        <w:spacing w:after="200"/>
        <w:jc w:val="center"/>
      </w:pPr>
      <w:r>
        <w:rPr>
          <w:rFonts w:ascii="Arial" w:cs="Arial" w:eastAsia="Arial" w:hAnsi="Arial"/>
          <w:color w:val="595959"/>
          <w:sz w:val="19"/>
          <w:szCs w:val="19"/>
        </w:rPr>
        <w:t xml:space="preserve">Algorithmic Fairness · Bias Measurement · Disparate Impact · Mitigation Techniques · NIST AI RMF · ISO 42001 · EU AI Act · ECOA · FCA Consumer Duty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tcPr>
          <w:p>
            <w:pPr>
              <w:spacing w:after="40"/>
              <w:jc w:val="center"/>
            </w:pPr>
            <w:r>
              <w:rPr>
                <w:rFonts w:ascii="Arial" w:cs="Arial" w:eastAsia="Arial" w:hAnsi="Arial"/>
                <w:b/>
                <w:bCs/>
                <w:color w:val="1F3864"/>
                <w:sz w:val="19"/>
                <w:szCs w:val="19"/>
              </w:rPr>
              <w:t xml:space="preserve">⏱ 3 Hours</w:t>
            </w:r>
          </w:p>
          <w:p>
            <w:pPr>
              <w:spacing w:after="0"/>
              <w:jc w:val="center"/>
            </w:pPr>
            <w:r>
              <w:rPr>
                <w:rFonts w:ascii="Arial" w:cs="Arial" w:eastAsia="Arial" w:hAnsi="Arial"/>
                <w:b/>
                <w:bCs/>
                <w:color w:val="2E75B6"/>
                <w:sz w:val="21"/>
                <w:szCs w:val="21"/>
              </w:rPr>
              <w:t xml:space="preserve">Study Time</w:t>
            </w:r>
          </w:p>
        </w:tc>
        <w:tc>
          <w:tcPr>
            <w:tcW w:type="dxa" w:w="234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tcPr>
          <w:p>
            <w:pPr>
              <w:spacing w:after="40"/>
              <w:jc w:val="center"/>
            </w:pPr>
            <w:r>
              <w:rPr>
                <w:rFonts w:ascii="Arial" w:cs="Arial" w:eastAsia="Arial" w:hAnsi="Arial"/>
                <w:b/>
                <w:bCs/>
                <w:color w:val="1F3864"/>
                <w:sz w:val="19"/>
                <w:szCs w:val="19"/>
              </w:rPr>
              <w:t xml:space="preserve">📋 10 Case Studies</w:t>
            </w:r>
          </w:p>
          <w:p>
            <w:pPr>
              <w:spacing w:after="0"/>
              <w:jc w:val="center"/>
            </w:pPr>
            <w:r>
              <w:rPr>
                <w:rFonts w:ascii="Arial" w:cs="Arial" w:eastAsia="Arial" w:hAnsi="Arial"/>
                <w:b/>
                <w:bCs/>
                <w:color w:val="2E75B6"/>
                <w:sz w:val="21"/>
                <w:szCs w:val="21"/>
              </w:rPr>
              <w:t xml:space="preserve">5 EU + 5 NA</w:t>
            </w:r>
          </w:p>
        </w:tc>
        <w:tc>
          <w:tcPr>
            <w:tcW w:type="dxa" w:w="234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tcPr>
          <w:p>
            <w:pPr>
              <w:spacing w:after="40"/>
              <w:jc w:val="center"/>
            </w:pPr>
            <w:r>
              <w:rPr>
                <w:rFonts w:ascii="Arial" w:cs="Arial" w:eastAsia="Arial" w:hAnsi="Arial"/>
                <w:b/>
                <w:bCs/>
                <w:color w:val="1F3864"/>
                <w:sz w:val="19"/>
                <w:szCs w:val="19"/>
              </w:rPr>
              <w:t xml:space="preserve">🌍 Jurisdictions</w:t>
            </w:r>
          </w:p>
          <w:p>
            <w:pPr>
              <w:spacing w:after="0"/>
              <w:jc w:val="center"/>
            </w:pPr>
            <w:r>
              <w:rPr>
                <w:rFonts w:ascii="Arial" w:cs="Arial" w:eastAsia="Arial" w:hAnsi="Arial"/>
                <w:b/>
                <w:bCs/>
                <w:color w:val="2E75B6"/>
                <w:sz w:val="21"/>
                <w:szCs w:val="21"/>
              </w:rPr>
              <w:t xml:space="preserve">DE·FR·GB·NL·SE·US·CA</w:t>
            </w:r>
          </w:p>
        </w:tc>
        <w:tc>
          <w:tcPr>
            <w:tcW w:type="dxa" w:w="234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tcPr>
          <w:p>
            <w:pPr>
              <w:spacing w:after="40"/>
              <w:jc w:val="center"/>
            </w:pPr>
            <w:r>
              <w:rPr>
                <w:rFonts w:ascii="Arial" w:cs="Arial" w:eastAsia="Arial" w:hAnsi="Arial"/>
                <w:b/>
                <w:bCs/>
                <w:color w:val="1F3864"/>
                <w:sz w:val="19"/>
                <w:szCs w:val="19"/>
              </w:rPr>
              <w:t xml:space="preserve">📅 Week 3</w:t>
            </w:r>
          </w:p>
          <w:p>
            <w:pPr>
              <w:spacing w:after="0"/>
              <w:jc w:val="center"/>
            </w:pPr>
            <w:r>
              <w:rPr>
                <w:rFonts w:ascii="Arial" w:cs="Arial" w:eastAsia="Arial" w:hAnsi="Arial"/>
                <w:b/>
                <w:bCs/>
                <w:color w:val="2E75B6"/>
                <w:sz w:val="21"/>
                <w:szCs w:val="21"/>
              </w:rPr>
              <w:t xml:space="preserve">Ch.8/48</w:t>
            </w:r>
          </w:p>
        </w:tc>
      </w:tr>
    </w:tbl>
    <w:p>
      <w:pPr>
        <w:spacing w:after="80"/>
      </w:pPr>
      <w:r>
        <w:t xml:space="preserve"/>
      </w:r>
    </w:p>
    <w:p>
      <w:pPr>
        <w:spacing w:after="80"/>
      </w:pPr>
      <w:r>
        <w:t xml:space="preserve"/>
      </w:r>
    </w:p>
    <w:p>
      <w:pPr>
        <w:pStyle w:val="Heading1"/>
        <w:spacing w:before="360" w:after="160"/>
      </w:pPr>
      <w:r>
        <w:rPr>
          <w:rFonts w:ascii="Arial" w:cs="Arial" w:eastAsia="Arial" w:hAnsi="Arial"/>
          <w:b/>
          <w:bCs/>
          <w:color w:val="1F3864"/>
          <w:sz w:val="32"/>
          <w:szCs w:val="32"/>
        </w:rPr>
        <w:t xml:space="preserve">Learning Objectives</w:t>
      </w:r>
    </w:p>
    <w:p>
      <w:pPr>
        <w:spacing w:after="120"/>
      </w:pPr>
      <w:r>
        <w:rPr>
          <w:rFonts w:ascii="Arial" w:cs="Arial" w:eastAsia="Arial" w:hAnsi="Arial"/>
          <w:color w:val="595959"/>
          <w:sz w:val="21"/>
          <w:szCs w:val="21"/>
        </w:rPr>
        <w:t xml:space="preserve">On completion of Chapter 8, the CAISA™ Level 1 candidate will be able to:</w:t>
      </w:r>
    </w:p>
    <w:p>
      <w:pPr>
        <w:pStyle w:val="ListParagraph"/>
        <w:numPr>
          <w:ilvl w:val="0"/>
          <w:numId w:val="2"/>
        </w:numPr>
        <w:spacing w:after="80"/>
      </w:pPr>
      <w:r>
        <w:rPr>
          <w:rFonts w:ascii="Arial" w:cs="Arial" w:eastAsia="Arial" w:hAnsi="Arial"/>
          <w:color w:val="595959"/>
          <w:sz w:val="21"/>
          <w:szCs w:val="21"/>
        </w:rPr>
        <w:t xml:space="preserve">Define and compute algorithmic fairness metrics: demographic parity, equal opportunity, equalised odds, individual fairness, and counterfactual fairness</w:t>
      </w:r>
    </w:p>
    <w:p>
      <w:pPr>
        <w:pStyle w:val="ListParagraph"/>
        <w:numPr>
          <w:ilvl w:val="0"/>
          <w:numId w:val="2"/>
        </w:numPr>
        <w:spacing w:after="80"/>
      </w:pPr>
      <w:r>
        <w:rPr>
          <w:rFonts w:ascii="Arial" w:cs="Arial" w:eastAsia="Arial" w:hAnsi="Arial"/>
          <w:color w:val="595959"/>
          <w:sz w:val="21"/>
          <w:szCs w:val="21"/>
        </w:rPr>
        <w:t xml:space="preserve">Identify and classify sources of AI bias: historical, representation, measurement, aggregation, and deployment bias</w:t>
      </w:r>
    </w:p>
    <w:p>
      <w:pPr>
        <w:pStyle w:val="ListParagraph"/>
        <w:numPr>
          <w:ilvl w:val="0"/>
          <w:numId w:val="2"/>
        </w:numPr>
        <w:spacing w:after="80"/>
      </w:pPr>
      <w:r>
        <w:rPr>
          <w:rFonts w:ascii="Arial" w:cs="Arial" w:eastAsia="Arial" w:hAnsi="Arial"/>
          <w:color w:val="595959"/>
          <w:sz w:val="21"/>
          <w:szCs w:val="21"/>
        </w:rPr>
        <w:t xml:space="preserve">Conduct disparate impact analysis: 4/5ths rule, statistical significance testing, and intersectional analysis</w:t>
      </w:r>
    </w:p>
    <w:p>
      <w:pPr>
        <w:pStyle w:val="ListParagraph"/>
        <w:numPr>
          <w:ilvl w:val="0"/>
          <w:numId w:val="2"/>
        </w:numPr>
        <w:spacing w:after="80"/>
      </w:pPr>
      <w:r>
        <w:rPr>
          <w:rFonts w:ascii="Arial" w:cs="Arial" w:eastAsia="Arial" w:hAnsi="Arial"/>
          <w:color w:val="595959"/>
          <w:sz w:val="21"/>
          <w:szCs w:val="21"/>
        </w:rPr>
        <w:t xml:space="preserve">Select and apply bias mitigation techniques: pre-processing (reweighting, resampling), in-processing (adversarial debiasing, fairness constraints), and post-processing (equalised odds post-processing, calibrated equalized odds)</w:t>
      </w:r>
    </w:p>
    <w:p>
      <w:pPr>
        <w:pStyle w:val="ListParagraph"/>
        <w:numPr>
          <w:ilvl w:val="0"/>
          <w:numId w:val="2"/>
        </w:numPr>
        <w:spacing w:after="80"/>
      </w:pPr>
      <w:r>
        <w:rPr>
          <w:rFonts w:ascii="Arial" w:cs="Arial" w:eastAsia="Arial" w:hAnsi="Arial"/>
          <w:color w:val="595959"/>
          <w:sz w:val="21"/>
          <w:szCs w:val="21"/>
        </w:rPr>
        <w:t xml:space="preserve">Describe enterprise AI governance frameworks: NIST AI RMF, ISO/IEC 42001, model risk committees, AI inventories, and red-teaming</w:t>
      </w:r>
    </w:p>
    <w:p>
      <w:pPr>
        <w:pStyle w:val="ListParagraph"/>
        <w:numPr>
          <w:ilvl w:val="0"/>
          <w:numId w:val="2"/>
        </w:numPr>
        <w:spacing w:after="80"/>
      </w:pPr>
      <w:r>
        <w:rPr>
          <w:rFonts w:ascii="Arial" w:cs="Arial" w:eastAsia="Arial" w:hAnsi="Arial"/>
          <w:color w:val="595959"/>
          <w:sz w:val="21"/>
          <w:szCs w:val="21"/>
        </w:rPr>
        <w:t xml:space="preserve">Explain model risk management for responsible AI: SR 11-7 fairness extensions, model validation for bias, OOT testing across demographic segments</w:t>
      </w:r>
    </w:p>
    <w:p>
      <w:pPr>
        <w:pStyle w:val="ListParagraph"/>
        <w:numPr>
          <w:ilvl w:val="0"/>
          <w:numId w:val="2"/>
        </w:numPr>
        <w:spacing w:after="80"/>
      </w:pPr>
      <w:r>
        <w:rPr>
          <w:rFonts w:ascii="Arial" w:cs="Arial" w:eastAsia="Arial" w:hAnsi="Arial"/>
          <w:color w:val="595959"/>
          <w:sz w:val="21"/>
          <w:szCs w:val="21"/>
        </w:rPr>
        <w:t xml:space="preserve">Map EU AI Act non-discrimination requirements, UK Equality Act, US ECOA/CFPB, and Canadian AIDA to enterprise AI deployments</w:t>
      </w:r>
    </w:p>
    <w:p>
      <w:pPr>
        <w:pStyle w:val="ListParagraph"/>
        <w:numPr>
          <w:ilvl w:val="0"/>
          <w:numId w:val="2"/>
        </w:numPr>
        <w:spacing w:after="80"/>
      </w:pPr>
      <w:r>
        <w:rPr>
          <w:rFonts w:ascii="Arial" w:cs="Arial" w:eastAsia="Arial" w:hAnsi="Arial"/>
          <w:color w:val="595959"/>
          <w:sz w:val="21"/>
          <w:szCs w:val="21"/>
        </w:rPr>
        <w:t xml:space="preserve">Analyse 10 enterprise case studies (5 Europe + 5 North America) with full fairness methodology and regulatory mapping</w:t>
      </w:r>
    </w:p>
    <w:p>
      <w:pPr>
        <w:spacing w:after="80"/>
      </w:pPr>
      <w:r>
        <w:t xml:space="preserve"/>
      </w:r>
    </w:p>
    <w:p>
      <w:r>
        <w:br w:type="page"/>
      </w:r>
    </w:p>
    <w:p>
      <w:pPr>
        <w:pStyle w:val="Heading1"/>
        <w:spacing w:before="360" w:after="160"/>
      </w:pPr>
      <w:r>
        <w:rPr>
          <w:rFonts w:ascii="Arial" w:cs="Arial" w:eastAsia="Arial" w:hAnsi="Arial"/>
          <w:b/>
          <w:bCs/>
          <w:color w:val="1F3864"/>
          <w:sz w:val="32"/>
          <w:szCs w:val="32"/>
        </w:rPr>
        <w:t xml:space="preserve">8.1  Algorithmic Fairness — Definitions &amp; Metrics</w:t>
      </w:r>
    </w:p>
    <w:p>
      <w:pPr>
        <w:pStyle w:val="Heading2"/>
        <w:spacing w:before="240" w:after="120"/>
      </w:pPr>
      <w:r>
        <w:rPr>
          <w:rFonts w:ascii="Arial" w:cs="Arial" w:eastAsia="Arial" w:hAnsi="Arial"/>
          <w:b/>
          <w:bCs/>
          <w:color w:val="2E75B6"/>
          <w:sz w:val="26"/>
          <w:szCs w:val="26"/>
        </w:rPr>
        <w:t xml:space="preserve">8.1.1  The Fairness Impossibility Theorem</w:t>
      </w:r>
    </w:p>
    <w:p>
      <w:pPr>
        <w:spacing w:after="120"/>
      </w:pPr>
      <w:r>
        <w:rPr>
          <w:rFonts w:ascii="Arial" w:cs="Arial" w:eastAsia="Arial" w:hAnsi="Arial"/>
          <w:color w:val="595959"/>
          <w:sz w:val="21"/>
          <w:szCs w:val="21"/>
        </w:rPr>
        <w:t xml:space="preserve"/>
      </w:r>
      <w:r>
        <w:rPr>
          <w:rFonts w:ascii="Arial" w:cs="Arial" w:eastAsia="Arial" w:hAnsi="Arial"/>
          <w:b/>
          <w:bCs/>
          <w:color w:val="1F3864"/>
          <w:sz w:val="21"/>
          <w:szCs w:val="21"/>
        </w:rPr>
        <w:t xml:space="preserve">Chouldechova (2017) and Kleinberg et al. (2016)</w:t>
      </w:r>
      <w:r>
        <w:rPr>
          <w:rFonts w:ascii="Arial" w:cs="Arial" w:eastAsia="Arial" w:hAnsi="Arial"/>
          <w:color w:val="595959"/>
          <w:sz w:val="21"/>
          <w:szCs w:val="21"/>
        </w:rPr>
        <w:t xml:space="preserve"> proved that calibration, demographic parity, and equalised odds cannot simultaneously hold when base rates differ across groups — this is the Fairness Impossibility Theorem. Enterprise AI teams must therefore choose which fairness criteria to optimise, with regulatory guidance determining the choice (e.g., ECOA requires equalised odds for credit; EU AI Act requires non-discrimination). Understanding this constraint is foundational to responsible AI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F1F38" w:val="clear"/>
            <w:tcMar>
              <w:top w:type="dxa" w:w="120"/>
              <w:left w:type="dxa" w:w="200"/>
              <w:bottom w:type="dxa" w:w="120"/>
              <w:right w:type="dxa" w:w="120"/>
            </w:tcMar>
          </w:tcPr>
          <w:p>
            <w:pPr>
              <w:spacing w:after="0"/>
            </w:pPr>
            <w:r>
              <w:rPr>
                <w:rFonts w:ascii="Courier New" w:cs="Courier New" w:eastAsia="Courier New" w:hAnsi="Courier New"/>
                <w:color w:val="AED6F1"/>
                <w:sz w:val="19"/>
                <w:szCs w:val="19"/>
              </w:rPr>
              <w:t xml:space="preserve">Demographic Parity (Statistical Parity):
  P(Ŷ=1 | A=0) = P(Ŷ=1 | A=1)
  Positive prediction rate must be equal across protected groups A∈{0,1}.
  Disparate Impact Ratio = P(Ŷ=1|A=0) / P(Ŷ=1|A=1)  →  must exceed 4/5 (0.80) under US EEOC
Equal Opportunity (Hardt et al., 2016):
  P(Ŷ=1 | Y=1, A=0) = P(Ŷ=1 | Y=1, A=1)
  True positive rate (recall) must be equal across groups.
  Used for: credit approval, hiring — ensures qualified individuals receive equal chance
Equalised Odds (Hardt et al., 2016):
  P(Ŷ=1 | Y=y, A=0) = P(Ŷ=1 | Y=y, A=1)  for y ∈ {0,1}
  Both TPR and FPR must be equal across groups — strongest group fairness criterion.
  Implied by: ECOA, FCA Consumer Duty, EU AI Act Annex III non-discrimination
Individual Fairness (Dwork et al., 2012):
  Similar individuals must receive similar predictions: d_Y(f(x),f(x')) ≤ L·d_X(x,x')
  Requires a metric d_X to define "similarity" — task-specific and domain-expert defined
Counterfactual Fairness (Kusner et al., 2017):
  P(Ŷ_A=a | X=x) = P(Ŷ_A=a' | X=x)  for counterfactual A=a vs A=a'
  What would the prediction be if only the protected attribute changed?
  Detects proxy discrimination: postcode, name, school as proxies for race/ethnicity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single" w:color="FFFFFF" w:sz="1"/>
              <w:left w:val="single" w:color="FFFFFF" w:sz="1"/>
              <w:bottom w:val="single" w:color="FFFFFF" w:sz="1"/>
              <w:right w:val="single" w:color="FFFFFF" w:sz="1"/>
            </w:tcBorders>
            <w:shd w:fill="C9A227" w:val="clear"/>
            <w:tcMar>
              <w:top w:type="dxa" w:w="80"/>
              <w:left w:type="dxa" w:w="80"/>
              <w:bottom w:type="dxa" w:w="80"/>
              <w:right w:type="dxa" w:w="60"/>
            </w:tcMar>
          </w:tcPr>
          <w:p>
            <w:pPr>
              <w:spacing w:after="0"/>
            </w:pPr>
            <w:r>
              <w:rPr>
                <w:rFonts w:ascii="Arial" w:cs="Arial" w:eastAsia="Arial" w:hAnsi="Arial"/>
                <w:b/>
                <w:bCs/>
                <w:color w:val="FFFFFF"/>
                <w:sz w:val="17"/>
                <w:szCs w:val="17"/>
              </w:rPr>
              <w:t xml:space="preserve">CALIBRATION vs FAIRNESS</w:t>
            </w:r>
          </w:p>
        </w:tc>
        <w:tc>
          <w:tcPr>
            <w:tcW w:type="dxa" w:w="9100"/>
            <w:tcBorders>
              <w:top w:val="single" w:color="FFFFFF" w:sz="1"/>
              <w:left w:val="single" w:color="FFFFFF" w:sz="1"/>
              <w:bottom w:val="single" w:color="FFFFFF" w:sz="1"/>
              <w:right w:val="single" w:color="FFFFFF" w:sz="1"/>
            </w:tcBorders>
            <w:shd w:fill="FEF9E7" w:val="clear"/>
            <w:tcMar>
              <w:top w:type="dxa" w:w="80"/>
              <w:left w:type="dxa" w:w="120"/>
              <w:bottom w:type="dxa" w:w="80"/>
              <w:right w:type="dxa" w:w="120"/>
            </w:tcMar>
          </w:tcPr>
          <w:p>
            <w:pPr>
              <w:spacing w:after="0"/>
            </w:pPr>
            <w:r>
              <w:rPr>
                <w:rFonts w:ascii="Arial" w:cs="Arial" w:eastAsia="Arial" w:hAnsi="Arial"/>
                <w:color w:val="595959"/>
                <w:sz w:val="20"/>
                <w:szCs w:val="20"/>
              </w:rPr>
              <w:t xml:space="preserve">Calibration: P(Y=1|Ŷ=p) = p for all groups — the model's confidence estimates reflect true probabilities equally across groups. COMPAS recidivism algorithm (ProPublica 2016) was simultaneously calibrated AND had disparate false positive rates for Black defendants — demonstrating the impossibility theorem. US courts have accepted calibration as sufficient fairness for pretrial risk assessment (State v. Loomis, 2016); EU AI Act and ECOA require equalised odds for high-risk AI decisions.</w:t>
            </w:r>
          </w:p>
        </w:tc>
      </w:tr>
    </w:tbl>
    <w:p>
      <w:pPr>
        <w:spacing w:after="80"/>
      </w:pPr>
      <w:r>
        <w:t xml:space="preserve"/>
      </w:r>
    </w:p>
    <w:p>
      <w:pPr>
        <w:spacing w:after="80"/>
      </w:pPr>
      <w:r>
        <w:t xml:space="preserve"/>
      </w:r>
    </w:p>
    <w:p>
      <w:pPr>
        <w:pStyle w:val="Heading2"/>
        <w:spacing w:before="240" w:after="120"/>
      </w:pPr>
      <w:r>
        <w:rPr>
          <w:rFonts w:ascii="Arial" w:cs="Arial" w:eastAsia="Arial" w:hAnsi="Arial"/>
          <w:b/>
          <w:bCs/>
          <w:color w:val="2E75B6"/>
          <w:sz w:val="26"/>
          <w:szCs w:val="26"/>
        </w:rPr>
        <w:t xml:space="preserve">8.1.2  Fairness Metric Selection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500"/>
        <w:gridCol w:w="2960"/>
      </w:tblGrid>
      <w:tr>
        <w:trPr>
          <w:tblHeader/>
        </w:trPr>
        <w:tc>
          <w:tcPr>
            <w:tcW w:type="dxa" w:w="1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Metric</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Formula</w:t>
            </w:r>
          </w:p>
        </w:tc>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When Required</w:t>
            </w:r>
          </w:p>
        </w:tc>
        <w:tc>
          <w:tcPr>
            <w:tcW w:type="dxa" w:w="2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Regulatory Basis</w:t>
            </w:r>
          </w:p>
        </w:tc>
      </w:tr>
      <w:tr>
        <w:tc>
          <w:tcPr>
            <w:tcW w:type="dxa" w:w="17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Demographic Parity</w:t>
            </w:r>
          </w:p>
        </w:tc>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P(Ŷ=1|A=a) equal ∀a</w:t>
            </w:r>
          </w:p>
        </w:tc>
        <w:tc>
          <w:tcPr>
            <w:tcW w:type="dxa" w:w="25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Hiring, bail decisions, social benefits</w:t>
            </w:r>
          </w:p>
        </w:tc>
        <w:tc>
          <w:tcPr>
            <w:tcW w:type="dxa" w:w="2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US EEOC 4/5 rule; EU AI Act Annex III</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Equal Opportunity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TPR equal across groups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Credit, employment — qualified candidates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ECOA Reg B; FCA Consumer Duty</w:t>
            </w:r>
          </w:p>
        </w:tc>
      </w:tr>
      <w:tr>
        <w:tc>
          <w:tcPr>
            <w:tcW w:type="dxa" w:w="17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Equalised Odds</w:t>
            </w:r>
          </w:p>
        </w:tc>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TPR + FPR equal across groups</w:t>
            </w:r>
          </w:p>
        </w:tc>
        <w:tc>
          <w:tcPr>
            <w:tcW w:type="dxa" w:w="25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High-stakes: criminal risk, medical AI</w:t>
            </w:r>
          </w:p>
        </w:tc>
        <w:tc>
          <w:tcPr>
            <w:tcW w:type="dxa" w:w="2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ECOA, EU AI Act, FDA SaMD</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Calibration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P(Y=1|Ŷ=p,A=a) equal</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When group-specific accuracy matters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OCC SR 11-7; accepted by US courts</w:t>
            </w:r>
          </w:p>
        </w:tc>
      </w:tr>
      <w:tr>
        <w:tc>
          <w:tcPr>
            <w:tcW w:type="dxa" w:w="17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Disparate Impact</w:t>
            </w:r>
          </w:p>
        </w:tc>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DI = P(Ŷ=1|A=0)/P(Ŷ=1|A=1) ≥ 0.8</w:t>
            </w:r>
          </w:p>
        </w:tc>
        <w:tc>
          <w:tcPr>
            <w:tcW w:type="dxa" w:w="25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Employment screening, lending</w:t>
            </w:r>
          </w:p>
        </w:tc>
        <w:tc>
          <w:tcPr>
            <w:tcW w:type="dxa" w:w="2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EEOC Uniform Guidelines; CFPB</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Counterfactual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Change A only, Ŷ unchanged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Proxy discrimination detection</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GDPR Art.22; EU AI Act non-discrim.</w:t>
            </w:r>
          </w:p>
        </w:tc>
      </w:tr>
    </w:tbl>
    <w:p>
      <w:pPr>
        <w:spacing w:after="80"/>
      </w:pPr>
      <w:r>
        <w:t xml:space="preserve"/>
      </w:r>
    </w:p>
    <w:p>
      <w:pPr>
        <w:spacing w:after="80"/>
      </w:pPr>
      <w:r>
        <w:t xml:space="preserve"/>
      </w:r>
    </w:p>
    <w:p>
      <w:r>
        <w:br w:type="page"/>
      </w:r>
    </w:p>
    <w:p>
      <w:pPr>
        <w:pStyle w:val="Heading1"/>
        <w:spacing w:before="360" w:after="160"/>
      </w:pPr>
      <w:r>
        <w:rPr>
          <w:rFonts w:ascii="Arial" w:cs="Arial" w:eastAsia="Arial" w:hAnsi="Arial"/>
          <w:b/>
          <w:bCs/>
          <w:color w:val="1F3864"/>
          <w:sz w:val="32"/>
          <w:szCs w:val="32"/>
        </w:rPr>
        <w:t xml:space="preserve">8.2  Bias Sources, Types &amp; Measurement</w:t>
      </w:r>
    </w:p>
    <w:p>
      <w:pPr>
        <w:pStyle w:val="Heading2"/>
        <w:spacing w:before="240" w:after="120"/>
      </w:pPr>
      <w:r>
        <w:rPr>
          <w:rFonts w:ascii="Arial" w:cs="Arial" w:eastAsia="Arial" w:hAnsi="Arial"/>
          <w:b/>
          <w:bCs/>
          <w:color w:val="2E75B6"/>
          <w:sz w:val="26"/>
          <w:szCs w:val="26"/>
        </w:rPr>
        <w:t xml:space="preserve">8.2.1  Taxonomy of AI Bias</w:t>
      </w:r>
    </w:p>
    <w:p>
      <w:pPr>
        <w:spacing w:after="120"/>
      </w:pPr>
      <w:r>
        <w:rPr>
          <w:rFonts w:ascii="Arial" w:cs="Arial" w:eastAsia="Arial" w:hAnsi="Arial"/>
          <w:color w:val="595959"/>
          <w:sz w:val="21"/>
          <w:szCs w:val="21"/>
        </w:rPr>
        <w:t xml:space="preserve">AI bias can enter at multiple stages of the ML pipeline — from data collection through deployment. The NIST AI RMF identifies seven bias types. Enterprise responsible AI programmes must audit each stage systematically.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Bias Type</w:t>
            </w:r>
          </w:p>
        </w:tc>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Description</w:t>
            </w:r>
          </w:p>
        </w:tc>
        <w:tc>
          <w:tcPr>
            <w:tcW w:type="dxa" w:w="4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Enterprise Example</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Historical Bias</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Patterns in training data reflect historical discrimination</w:t>
            </w:r>
          </w:p>
        </w:tc>
        <w:tc>
          <w:tcPr>
            <w:tcW w:type="dxa" w:w="4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Credit models trained on data where minorities were denied loans → model perpetuates denial</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Representation Bias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Minority groups underrepresented in training data</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Facial recognition trained predominantly on white male faces → higher error rates for women and minorities</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Measurement Bias</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Features measured differently across groups</w:t>
            </w:r>
          </w:p>
        </w:tc>
        <w:tc>
          <w:tcPr>
            <w:tcW w:type="dxa" w:w="4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Proxy features: postcode (correlated with race/ethnicity), name (gender/ethnicity)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Aggregation Bias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Single model applied to groups with different patterns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One credit model for all demographics ignores legitimate group-specific financial patterns</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Evaluation Bias</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Benchmark dataset not representative of deployment population</w:t>
            </w:r>
          </w:p>
        </w:tc>
        <w:tc>
          <w:tcPr>
            <w:tcW w:type="dxa" w:w="4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Model evaluated on FICO-scores-only data deployed to thin-file customers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Deployment Bias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Model used in context different from its intended design</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Risk score designed for one population applied to another with different base rates</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Feedback Bias</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Model predictions influence future training data (self-reinforcing)</w:t>
            </w:r>
          </w:p>
        </w:tc>
        <w:tc>
          <w:tcPr>
            <w:tcW w:type="dxa" w:w="4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Predictive policing models → more arrests in targeted areas → more data → more targeting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F1F38" w:val="clear"/>
            <w:tcMar>
              <w:top w:type="dxa" w:w="120"/>
              <w:left w:type="dxa" w:w="200"/>
              <w:bottom w:type="dxa" w:w="120"/>
              <w:right w:type="dxa" w:w="120"/>
            </w:tcMar>
          </w:tcPr>
          <w:p>
            <w:pPr>
              <w:spacing w:after="0"/>
            </w:pPr>
            <w:r>
              <w:rPr>
                <w:rFonts w:ascii="Courier New" w:cs="Courier New" w:eastAsia="Courier New" w:hAnsi="Courier New"/>
                <w:color w:val="AED6F1"/>
                <w:sz w:val="19"/>
                <w:szCs w:val="19"/>
              </w:rPr>
              <w:t xml:space="preserve">Disparate Impact Ratio (EEOC 4/5ths Rule):
  DI = Selection Rate (protected group) / Selection Rate (majority group)
  DI ≥ 0.80  →  Passes the 4/5ths test (US EEOC Uniform Guidelines)
  DI &lt; 0.80  →  Prima facie evidence of adverse impact → requires business necessity defence
Statistical significance testing for bias:
  Two-sample z-test for proportions:
  z = (p₁ − p₂) / √(p̂(1−p̂)(1/n₁ + 1/n₂))
  p̂ = (n₁p₁ + n₂p₂) / (n₁+n₂)
  |z| &gt; 1.96  →  Statistically significant difference at α=0.05
Intersectional analysis (Crenshaw 1989, operationalised for AI):
  Test all combinations: (race × gender), (race × age), (gender × disability)
  Use Bonferroni correction for multiple comparisons: α* = 0.05 / k  (k = number of tests)
  Key insight: bias may not appear in single-attribute analysis but emerges at intersections</w:t>
            </w:r>
          </w:p>
        </w:tc>
      </w:tr>
    </w:tbl>
    <w:p>
      <w:pPr>
        <w:spacing w:after="80"/>
      </w:pPr>
      <w:r>
        <w:t xml:space="preserve"/>
      </w:r>
    </w:p>
    <w:p>
      <w:pPr>
        <w:spacing w:after="80"/>
      </w:pPr>
      <w:r>
        <w:t xml:space="preserve"/>
      </w:r>
    </w:p>
    <w:p>
      <w:r>
        <w:br w:type="page"/>
      </w:r>
    </w:p>
    <w:p>
      <w:pPr>
        <w:pStyle w:val="Heading1"/>
        <w:spacing w:before="360" w:after="160"/>
      </w:pPr>
      <w:r>
        <w:rPr>
          <w:rFonts w:ascii="Arial" w:cs="Arial" w:eastAsia="Arial" w:hAnsi="Arial"/>
          <w:b/>
          <w:bCs/>
          <w:color w:val="1F3864"/>
          <w:sz w:val="32"/>
          <w:szCs w:val="32"/>
        </w:rPr>
        <w:t xml:space="preserve">8.3  Bias Mitigation Techniques</w:t>
      </w:r>
    </w:p>
    <w:p>
      <w:pPr>
        <w:pStyle w:val="Heading2"/>
        <w:spacing w:before="240" w:after="120"/>
      </w:pPr>
      <w:r>
        <w:rPr>
          <w:rFonts w:ascii="Arial" w:cs="Arial" w:eastAsia="Arial" w:hAnsi="Arial"/>
          <w:b/>
          <w:bCs/>
          <w:color w:val="2E75B6"/>
          <w:sz w:val="26"/>
          <w:szCs w:val="26"/>
        </w:rPr>
        <w:t xml:space="preserve">8.3.1  Pre-processing, In-processing &amp; Post-processing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400"/>
        <w:gridCol w:w="2560"/>
      </w:tblGrid>
      <w:tr>
        <w:trPr>
          <w:tblHeader/>
        </w:trPr>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Stage</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Technique</w:t>
            </w:r>
          </w:p>
        </w:tc>
        <w:tc>
          <w:tcPr>
            <w:tcW w:type="dxa" w:w="3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Mechanism</w:t>
            </w:r>
          </w:p>
        </w:tc>
        <w:tc>
          <w:tcPr>
            <w:tcW w:type="dxa" w:w="2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Enterprise Suitability</w:t>
            </w:r>
          </w:p>
        </w:tc>
      </w:tr>
      <w:tr>
        <w:tc>
          <w:tcPr>
            <w:tcW w:type="dxa" w:w="1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Pre-processing</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Reweighting</w:t>
            </w:r>
          </w:p>
        </w:tc>
        <w:tc>
          <w:tcPr>
            <w:tcW w:type="dxa" w:w="3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Assign higher weight to underrepresented group-outcome combinations in training</w:t>
            </w:r>
          </w:p>
        </w:tc>
        <w:tc>
          <w:tcPr>
            <w:tcW w:type="dxa" w:w="2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Low implementation cost; model-agnostic; standard for tabular credit models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Pre-processing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Resampling</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SMOTE/oversampling minority group-outcome pairs; undersampling majority</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Effective for severe imbalance; risk of overfitting synthetic samples</w:t>
            </w:r>
          </w:p>
        </w:tc>
      </w:tr>
      <w:tr>
        <w:tc>
          <w:tcPr>
            <w:tcW w:type="dxa" w:w="1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Pre-processing</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Feature removal</w:t>
            </w:r>
          </w:p>
        </w:tc>
        <w:tc>
          <w:tcPr>
            <w:tcW w:type="dxa" w:w="3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Remove protected attribute and correlated proxy features</w:t>
            </w:r>
          </w:p>
        </w:tc>
        <w:tc>
          <w:tcPr>
            <w:tcW w:type="dxa" w:w="2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Crude; rarely sufficient due to redundant encodings in remaining features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In-processing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Adversarial Debiasing</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Train classifier + adversary; adversary tries to predict A from Ŷ; classifier minimises loss + adversary's success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State-of-art; requires end-to-end retraining; used by Lloyds (CS2)</w:t>
            </w:r>
          </w:p>
        </w:tc>
      </w:tr>
      <w:tr>
        <w:tc>
          <w:tcPr>
            <w:tcW w:type="dxa" w:w="1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In-processing</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Fairness Constraints</w:t>
            </w:r>
          </w:p>
        </w:tc>
        <w:tc>
          <w:tcPr>
            <w:tcW w:type="dxa" w:w="3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Add fairness penalty to loss: L_total = L_pred + λ·L_fair; e.g., min |TPR_0 − TPR_1|</w:t>
            </w:r>
          </w:p>
        </w:tc>
        <w:tc>
          <w:tcPr>
            <w:tcW w:type="dxa" w:w="2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Flexible; λ tuning controls fairness-accuracy trade-off</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In-processing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Meta-fair</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Constrained optimisation: maximise accuracy subject to demographic parity or EO constraint</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Theoretically optimal; computationally expensive for large models</w:t>
            </w:r>
          </w:p>
        </w:tc>
      </w:tr>
      <w:tr>
        <w:tc>
          <w:tcPr>
            <w:tcW w:type="dxa" w:w="1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Post-processing</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Equalised Odds PP</w:t>
            </w:r>
          </w:p>
        </w:tc>
        <w:tc>
          <w:tcPr>
            <w:tcW w:type="dxa" w:w="3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Find optimal group-specific thresholds to satisfy equalised odds</w:t>
            </w:r>
          </w:p>
        </w:tc>
        <w:tc>
          <w:tcPr>
            <w:tcW w:type="dxa" w:w="2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No retraining needed; applied to any classifier; ECOA-compliant standard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Post-processing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Reject Option</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Predict abstain in high-uncertainty region; route to human review</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Preserves model for clear cases; costly human review for borderline cases</w:t>
            </w:r>
          </w:p>
        </w:tc>
      </w:tr>
      <w:tr>
        <w:tc>
          <w:tcPr>
            <w:tcW w:type="dxa" w:w="1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Post-processing</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Calibrated EO</w:t>
            </w:r>
          </w:p>
        </w:tc>
        <w:tc>
          <w:tcPr>
            <w:tcW w:type="dxa" w:w="3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Simultaneously calibrate and satisfy equalised odds via post-processing</w:t>
            </w:r>
          </w:p>
        </w:tc>
        <w:tc>
          <w:tcPr>
            <w:tcW w:type="dxa" w:w="2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Best for healthcare AI; used by Optum (CS8) remediation</w:t>
            </w:r>
          </w:p>
        </w:tc>
      </w:tr>
    </w:tbl>
    <w:p>
      <w:pPr>
        <w:spacing w:after="80"/>
      </w:pPr>
      <w:r>
        <w:t xml:space="preserve"/>
      </w:r>
    </w:p>
    <w:p>
      <w:pPr>
        <w:spacing w:after="80"/>
      </w:pPr>
      <w:r>
        <w:t xml:space="preserve"/>
      </w:r>
    </w:p>
    <w:p>
      <w:r>
        <w:br w:type="page"/>
      </w:r>
    </w:p>
    <w:p>
      <w:pPr>
        <w:pStyle w:val="Heading1"/>
        <w:spacing w:before="360" w:after="160"/>
      </w:pPr>
      <w:r>
        <w:rPr>
          <w:rFonts w:ascii="Arial" w:cs="Arial" w:eastAsia="Arial" w:hAnsi="Arial"/>
          <w:b/>
          <w:bCs/>
          <w:color w:val="1F3864"/>
          <w:sz w:val="32"/>
          <w:szCs w:val="32"/>
        </w:rPr>
        <w:t xml:space="preserve">8.4  AI Governance Frameworks</w:t>
      </w:r>
    </w:p>
    <w:p>
      <w:pPr>
        <w:pStyle w:val="Heading2"/>
        <w:spacing w:before="240" w:after="120"/>
      </w:pPr>
      <w:r>
        <w:rPr>
          <w:rFonts w:ascii="Arial" w:cs="Arial" w:eastAsia="Arial" w:hAnsi="Arial"/>
          <w:b/>
          <w:bCs/>
          <w:color w:val="2E75B6"/>
          <w:sz w:val="26"/>
          <w:szCs w:val="26"/>
        </w:rPr>
        <w:t xml:space="preserve">8.4.1  NIST AI Risk Management Framework (AI RMF 1.0)</w:t>
      </w:r>
    </w:p>
    <w:p>
      <w:pPr>
        <w:spacing w:after="120"/>
      </w:pPr>
      <w:r>
        <w:rPr>
          <w:rFonts w:ascii="Arial" w:cs="Arial" w:eastAsia="Arial" w:hAnsi="Arial"/>
          <w:color w:val="595959"/>
          <w:sz w:val="21"/>
          <w:szCs w:val="21"/>
        </w:rPr>
        <w:t xml:space="preserve">NIST AI RMF (January 2023) provides a voluntary, risk-based framework for trustworthy AI. Four core functions — GOVERN, MAP, MEASURE, MANAGE — operationalise responsible AI across the full model lifecycle. EU AI Act Article 9 cross-references AI RMF as an acceptable governance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F1F38" w:val="clear"/>
            <w:tcMar>
              <w:top w:type="dxa" w:w="120"/>
              <w:left w:type="dxa" w:w="200"/>
              <w:bottom w:type="dxa" w:w="120"/>
              <w:right w:type="dxa" w:w="120"/>
            </w:tcMar>
          </w:tcPr>
          <w:p>
            <w:pPr>
              <w:spacing w:after="0"/>
            </w:pPr>
            <w:r>
              <w:rPr>
                <w:rFonts w:ascii="Courier New" w:cs="Courier New" w:eastAsia="Courier New" w:hAnsi="Courier New"/>
                <w:color w:val="AED6F1"/>
                <w:sz w:val="19"/>
                <w:szCs w:val="19"/>
              </w:rPr>
              <w:t xml:space="preserve">NIST AI RMF — Four Core Functions:
GOVERN:  Policies, roles, responsibilities, culture
  → AI governance committee; model risk policy; fairness standards; red-team mandate
MAP:     Understand AI context and risk
  → Identify stakeholders; map bias risks; document intended use and out-of-scope uses
  → Conduct DPIA (GDPR Art.35) for high-risk AI; complete EU AI Act Annex IV documentation
MEASURE: Quantify AI risks
  → Fairness metrics (DI, TPR parity); calibration testing; adversarial robustness testing
  → OOT validation across demographic subgroups; RAGAS for LLM systems (Ch.7)
MANAGE:  Treat, monitor, respond to risks
  → Bias mitigation (pre/in/post-processing); deployment thresholds; drift monitoring
  → Incident response plan; human override procedures; quarterly revalidation</w:t>
            </w:r>
          </w:p>
        </w:tc>
      </w:tr>
    </w:tbl>
    <w:p>
      <w:pPr>
        <w:spacing w:after="80"/>
      </w:pPr>
      <w:r>
        <w:t xml:space="preserve"/>
      </w:r>
    </w:p>
    <w:p>
      <w:pPr>
        <w:pStyle w:val="Heading2"/>
        <w:spacing w:before="240" w:after="120"/>
      </w:pPr>
      <w:r>
        <w:rPr>
          <w:rFonts w:ascii="Arial" w:cs="Arial" w:eastAsia="Arial" w:hAnsi="Arial"/>
          <w:b/>
          <w:bCs/>
          <w:color w:val="2E75B6"/>
          <w:sz w:val="26"/>
          <w:szCs w:val="26"/>
        </w:rPr>
        <w:t xml:space="preserve">8.4.2  ISO/IEC 42001 — AI Management System Standard</w:t>
      </w:r>
    </w:p>
    <w:p>
      <w:pPr>
        <w:spacing w:after="120"/>
      </w:pPr>
      <w:r>
        <w:rPr>
          <w:rFonts w:ascii="Arial" w:cs="Arial" w:eastAsia="Arial" w:hAnsi="Arial"/>
          <w:color w:val="595959"/>
          <w:sz w:val="21"/>
          <w:szCs w:val="21"/>
        </w:rPr>
        <w:t xml:space="preserve">ISO/IEC 42001 (December 2023): the first international standard for AI management systems. Structured like ISO 27001 (information security) — organisations can achieve certification. Covers: context, leadership, planning, support, operation, performance evaluation, and improvement. EU AI Act Article 40 establishes harmonised standards — ISO 42001 compliance provides presumption of conformity for certain EU AI Act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Framework</w:t>
            </w:r>
          </w:p>
        </w:tc>
        <w:tc>
          <w:tcPr>
            <w:tcW w:type="dxa" w:w="36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Key Components</w:t>
            </w:r>
          </w:p>
        </w:tc>
        <w:tc>
          <w:tcPr>
            <w:tcW w:type="dxa" w:w="36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EU AI Act Alignment</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NIST AI RMF 1.0</w:t>
            </w:r>
          </w:p>
        </w:tc>
        <w:tc>
          <w:tcPr>
            <w:tcW w:type="dxa" w:w="3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GOVERN, MAP, MEASURE, MANAGE. Voluntary. Risk-based.</w:t>
            </w:r>
          </w:p>
        </w:tc>
        <w:tc>
          <w:tcPr>
            <w:tcW w:type="dxa" w:w="3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Art.9 cross-reference; US EO 14110 compliance baseline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ISO/IEC 42001</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AI management system. Certification available. 10 clauses.</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Art.40 harmonised standard — presumption of conformity</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EU AI Act Annex IX</w:t>
            </w:r>
          </w:p>
        </w:tc>
        <w:tc>
          <w:tcPr>
            <w:tcW w:type="dxa" w:w="3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Conformity assessment bodies; notified bodies for high-risk AI</w:t>
            </w:r>
          </w:p>
        </w:tc>
        <w:tc>
          <w:tcPr>
            <w:tcW w:type="dxa" w:w="3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Mandatory for Annex III high-risk AI not self-assessed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OCC SR 11-7</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Model risk management: validation, governance, documentation</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EBA GL/2020/06 equivalent for EU; foundation for AI extensions</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EBA ML Guidelines</w:t>
            </w:r>
          </w:p>
        </w:tc>
        <w:tc>
          <w:tcPr>
            <w:tcW w:type="dxa" w:w="3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ML model risk: explainability, bias, robustness, data quality</w:t>
            </w:r>
          </w:p>
        </w:tc>
        <w:tc>
          <w:tcPr>
            <w:tcW w:type="dxa" w:w="3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Binding for EU banks; operationalises EU AI Act for financial sector</w:t>
            </w:r>
          </w:p>
        </w:tc>
      </w:tr>
    </w:tbl>
    <w:p>
      <w:pPr>
        <w:spacing w:after="80"/>
      </w:pPr>
      <w:r>
        <w:t xml:space="preserve"/>
      </w:r>
    </w:p>
    <w:p>
      <w:pPr>
        <w:spacing w:after="80"/>
      </w:pPr>
      <w:r>
        <w:t xml:space="preserve"/>
      </w:r>
    </w:p>
    <w:p>
      <w:r>
        <w:br w:type="page"/>
      </w:r>
    </w:p>
    <w:p>
      <w:pPr>
        <w:pStyle w:val="Heading1"/>
        <w:spacing w:before="360" w:after="160"/>
      </w:pPr>
      <w:r>
        <w:rPr>
          <w:rFonts w:ascii="Arial" w:cs="Arial" w:eastAsia="Arial" w:hAnsi="Arial"/>
          <w:b/>
          <w:bCs/>
          <w:color w:val="1F3864"/>
          <w:sz w:val="32"/>
          <w:szCs w:val="32"/>
        </w:rPr>
        <w:t xml:space="preserve">8.5  Regulatory Framework — Non-Discrimination &amp; Fairness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single" w:color="FFFFFF" w:sz="1"/>
              <w:left w:val="single" w:color="FFFFFF" w:sz="1"/>
              <w:bottom w:val="single" w:color="FFFFFF" w:sz="1"/>
              <w:right w:val="single" w:color="FFFFFF" w:sz="1"/>
            </w:tcBorders>
            <w:shd w:fill="C9A227" w:val="clear"/>
            <w:tcMar>
              <w:top w:type="dxa" w:w="80"/>
              <w:left w:type="dxa" w:w="80"/>
              <w:bottom w:type="dxa" w:w="80"/>
              <w:right w:type="dxa" w:w="60"/>
            </w:tcMar>
          </w:tcPr>
          <w:p>
            <w:pPr>
              <w:spacing w:after="0"/>
            </w:pPr>
            <w:r>
              <w:rPr>
                <w:rFonts w:ascii="Arial" w:cs="Arial" w:eastAsia="Arial" w:hAnsi="Arial"/>
                <w:b/>
                <w:bCs/>
                <w:color w:val="FFFFFF"/>
                <w:sz w:val="17"/>
                <w:szCs w:val="17"/>
              </w:rPr>
              <w:t xml:space="preserve">EU AI ACT — NON-DISCRIMINATION</w:t>
            </w:r>
          </w:p>
        </w:tc>
        <w:tc>
          <w:tcPr>
            <w:tcW w:type="dxa" w:w="9100"/>
            <w:tcBorders>
              <w:top w:val="single" w:color="FFFFFF" w:sz="1"/>
              <w:left w:val="single" w:color="FFFFFF" w:sz="1"/>
              <w:bottom w:val="single" w:color="FFFFFF" w:sz="1"/>
              <w:right w:val="single" w:color="FFFFFF" w:sz="1"/>
            </w:tcBorders>
            <w:shd w:fill="FEF9E7" w:val="clear"/>
            <w:tcMar>
              <w:top w:type="dxa" w:w="80"/>
              <w:left w:type="dxa" w:w="120"/>
              <w:bottom w:type="dxa" w:w="80"/>
              <w:right w:type="dxa" w:w="120"/>
            </w:tcMar>
          </w:tcPr>
          <w:p>
            <w:pPr>
              <w:spacing w:after="0"/>
            </w:pPr>
            <w:r>
              <w:rPr>
                <w:rFonts w:ascii="Arial" w:cs="Arial" w:eastAsia="Arial" w:hAnsi="Arial"/>
                <w:color w:val="595959"/>
                <w:sz w:val="20"/>
                <w:szCs w:val="20"/>
              </w:rPr>
              <w:t xml:space="preserve">EU AI Act Recital 45 and Article 10: training data must be representative and free from errors that could lead to discrimination on the grounds of race, ethnic origin, colour, social origin, genetic features, language, religion or belief, political or any other opinion, membership of a national minority, property, birth, disability, age, or sex. High-risk AI (Annex III) must be tested for bias before deployment and continuously monitored post-deployment. Article 71 penalties: up to EUR 15M or 3% of global annual turnover for violations of non-discrimination requirements.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Regulation</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Protected Characteristics</w:t>
            </w:r>
          </w:p>
        </w:tc>
        <w:tc>
          <w:tcPr>
            <w:tcW w:type="dxa" w:w="4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AI-Specific Requirement</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EU AI Act Art.10/Annex III</w:t>
            </w:r>
          </w:p>
        </w:tc>
        <w:tc>
          <w:tcPr>
            <w:tcW w:type="dxa" w:w="3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All EU Charter characteristics: race, sex, religion, disability, age, sexual orientation</w:t>
            </w:r>
          </w:p>
        </w:tc>
        <w:tc>
          <w:tcPr>
            <w:tcW w:type="dxa" w:w="4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Training data representativeness; bias testing before deployment; post-market bias monitoring; Annex IV documentation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UK Equality Act 2010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Race, sex, disability, religion, sexual orientation, age, pregnancy</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Indirect discrimination: neutral AI criteria that disadvantage protected groups require objective justification. FCA Consumer Duty 2023 operationalises this for financial AI</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US ECOA (Reg B) / CFPB</w:t>
            </w:r>
          </w:p>
        </w:tc>
        <w:tc>
          <w:tcPr>
            <w:tcW w:type="dxa" w:w="3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Race, colour, religion, national origin, sex, marital status, age</w:t>
            </w:r>
          </w:p>
        </w:tc>
        <w:tc>
          <w:tcPr>
            <w:tcW w:type="dxa" w:w="4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Adverse action notice with specific reasons; model risk governance; disparate impact testing; counterfactual fairness analysis required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US EEOC / Title VII</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Race, colour, religion, sex, national origin</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4/5ths (80%) rule for employment AI. Uniform Guidelines on Employee Selection Procedures. EEOC AI &amp; Algorithms Guidance (2023)</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Canada AIDA (proposed)</w:t>
            </w:r>
          </w:p>
        </w:tc>
        <w:tc>
          <w:tcPr>
            <w:tcW w:type="dxa" w:w="3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Prohibited grounds (Canadian Human Rights Act)</w:t>
            </w:r>
          </w:p>
        </w:tc>
        <w:tc>
          <w:tcPr>
            <w:tcW w:type="dxa" w:w="4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High-impact AI systems: bias impact assessment, mitigation measures, transparency. OSFI E-23: bias testing in model validation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GDPR Art.22</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Not a protected characteristic per se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Automated decision-making: right to human review; must not produce legal/similarly significant effects based on protected data without consent</w:t>
            </w:r>
          </w:p>
        </w:tc>
      </w:tr>
    </w:tbl>
    <w:p>
      <w:pPr>
        <w:spacing w:after="80"/>
      </w:pPr>
      <w:r>
        <w:t xml:space="preserve"/>
      </w:r>
    </w:p>
    <w:p>
      <w:pPr>
        <w:spacing w:after="80"/>
      </w:pPr>
      <w:r>
        <w:t xml:space="preserve"/>
      </w:r>
    </w:p>
    <w:p>
      <w:r>
        <w:br w:type="page"/>
      </w:r>
    </w:p>
    <w:p>
      <w:pPr>
        <w:pStyle w:val="Heading1"/>
        <w:spacing w:before="360" w:after="160"/>
      </w:pPr>
      <w:r>
        <w:rPr>
          <w:rFonts w:ascii="Arial" w:cs="Arial" w:eastAsia="Arial" w:hAnsi="Arial"/>
          <w:b/>
          <w:bCs/>
          <w:color w:val="1F3864"/>
          <w:sz w:val="32"/>
          <w:szCs w:val="32"/>
        </w:rPr>
        <w:t xml:space="preserve">8.6  Enterprise Case Studies — 10 Organisations</w:t>
      </w:r>
    </w:p>
    <w:p>
      <w:pPr>
        <w:spacing w:after="120"/>
      </w:pPr>
      <w:r>
        <w:rPr>
          <w:rFonts w:ascii="Arial" w:cs="Arial" w:eastAsia="Arial" w:hAnsi="Arial"/>
          <w:color w:val="595959"/>
          <w:sz w:val="21"/>
          <w:szCs w:val="21"/>
        </w:rPr>
        <w:t xml:space="preserve">Five European deployments (Germany, France, United Kingdom, Netherlands, Sweden) and five North American deployments (United States × 4, Canada × 1) across financial services, insurance, healthcare, employment, and consumer technology.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1  🇩🇪  Germany  —  Commerzbank AG</w:t>
            </w:r>
            <w:r>
              <w:rPr>
                <w:rFonts w:ascii="Arial" w:cs="Arial" w:eastAsia="Arial" w:hAnsi="Arial"/>
                <w:color w:val="AED6F1"/>
                <w:sz w:val="19"/>
                <w:szCs w:val="19"/>
              </w:rPr>
              <w:t xml:space="preserve">    |    Retail Banking — Credit Scoring Fairness Audit    |    XGBoost + Equalised Odds Post-Processing</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Commerzbank AG, Frankfurt — EUR 533B total assets, 11.5M customers. Group Model Risk: fairness audit of consumer credit scoring AI across 8 demographic dimensions after EBA ML consultation paper. Supervised by BaFin and ECB SSM. Subject to EBA GL/2020/06, EU AI Act Annex III, GDPR Art.22, General Equal Treatment Act (AGG).</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Commerzbank's XGBoost credit scoring model showed statistically significant disparate impact on applicants of non-German origin (DI=0.71 &lt; 0.80 threshold) and on applicants over 60 (DI=0.74). BaFin's AI supervisory review flagged the model under AGG. Required full fairness remediation before continued deployment.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Phase 1: Fairness audit — computed DI, TPR parity, and FPR parity across 8 attributes (nationality, age, gender, disability, religion, marital status, postal district cluster, employment type). Phase 2: Root cause analysis — proxy detection (postcode cluster encoding nationality). Phase 3: Post-processing — equalised odds post-processing with group-specific thresholds. Phase 4: Revalidation and BaFin sign-off.</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Fairness Methodology</w:t>
            </w:r>
          </w:p>
          <w:p>
            <w:pPr>
              <w:spacing w:after="0"/>
            </w:pPr>
            <w:r>
              <w:rPr>
                <w:rFonts w:ascii="Arial" w:cs="Arial" w:eastAsia="Arial" w:hAnsi="Arial"/>
                <w:color w:val="595959"/>
                <w:sz w:val="19"/>
                <w:szCs w:val="19"/>
              </w:rPr>
              <w:t xml:space="preserve">Demographic parity and equalised odds computed across 8 protected attributes. Intersectional analysis: nationality × age revealed highest DI=0.68. Proxy detection: postcode cluster showed 0.81 Spearman correlation with migration background. SHAP values used to identify proxy feature contribution. Bonferroni-corrected significance testing (k=28 pairwise comparisons).</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AGG (General Equal Treatment Act): indirect discrimination via proxy features; business necessity defence required. EBA GL/2020/06: Section 5.2 — credit model must not discriminate on protected grounds; fairness documentation required. EU AI Act Annex III: credit scoring as high-risk AI — Annex IV technical documentation. BaFin AI Supervisory Review: model cleared after post-processing remediation.</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 / Impact</w:t>
            </w:r>
          </w:p>
          <w:p>
            <w:pPr>
              <w:spacing w:after="0"/>
            </w:pPr>
            <w:r>
              <w:rPr>
                <w:rFonts w:ascii="Arial" w:cs="Arial" w:eastAsia="Arial" w:hAnsi="Arial"/>
                <w:color w:val="595959"/>
                <w:sz w:val="19"/>
                <w:szCs w:val="19"/>
              </w:rPr>
              <w:t xml:space="preserve">N — a  ·  A — l  ·  R — e  ·  P — o</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2  🇬🇧  United Kingdom  —  Lloyds Banking Group plc</w:t>
            </w:r>
            <w:r>
              <w:rPr>
                <w:rFonts w:ascii="Arial" w:cs="Arial" w:eastAsia="Arial" w:hAnsi="Arial"/>
                <w:color w:val="AED6F1"/>
                <w:sz w:val="19"/>
                <w:szCs w:val="19"/>
              </w:rPr>
              <w:t xml:space="preserve">    |    Retail Banking — Consumer Credit Fairness AI    |    Gradient Boosting + Adversarial Debiasing</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Lloyds Banking Group, London — GBP 905B total assets, 26M customers. Data &amp; Analytics: responsible AI programme for consumer credit including mortgages, personal loans, credit cards. Regulated by PRA/FCA. Subject to Equality Act 2010 (indirect discrimination), FCA Consumer Duty 2023, FCA PS19/1 (Discriminatory Data), ICO AI Auditing Framework.</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FCA Consumer Duty (July 2023) required Lloyds to evidence 'good outcomes' for all consumer groups including protected characteristics. Internal audit revealed that Lloyds' credit card limit model showed differential false positive rates by ethnicity (FPR gap of 4.2 percentage points between White British and South Asian applicants) — constituting indirect discrimination under Equality Act 2010 s.19.</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Adversarial debiasing: trained credit scoring model jointly with an adversarial network that attempts to predict protected attribute from model output. Classifier loss + λ × adversary confusion loss, λ=0.3. Post-hoc: equal opportunity post-processing to equalise TPR. Full Equality Impact Assessment (EIA) documented as required by Equality Act 2010 s.149 (Public Sector Equality Duty).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Fairness Methodology</w:t>
            </w:r>
          </w:p>
          <w:p>
            <w:pPr>
              <w:spacing w:after="0"/>
            </w:pPr>
            <w:r>
              <w:rPr>
                <w:rFonts w:ascii="Arial" w:cs="Arial" w:eastAsia="Arial" w:hAnsi="Arial"/>
                <w:color w:val="595959"/>
                <w:sz w:val="19"/>
                <w:szCs w:val="19"/>
              </w:rPr>
              <w:t xml:space="preserve">UK-specific ethnicity classification: 18-category ONS ethnicity codes. Age bands (18-25, 26-35, 36-50, 51-65, 65+). Gender: binary + prefer not to say. Disability proxy: income volatility as accessibility indicator. Geographic proxy: ACORN geodemographic classification for postcode-level proxy detection. Monthly fairness monitoring dashboard: 14 metrics across 5 protected characteristics.</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Equality Act 2010 s.19: indirect discrimination — neutral criteria producing protected group disadvantage require objective justification. FCA Consumer Duty 2023: monthly Consumer Duty dashboard reporting fairness outcomes by protected group. FCA PS19/1: discriminatory data guidance — postcode as proxy. ICO AI Auditing Framework: algorithmic transparency report published. PRA SS1/23: model risk documentation.</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 / Impact</w:t>
            </w:r>
          </w:p>
          <w:p>
            <w:pPr>
              <w:spacing w:after="0"/>
            </w:pPr>
            <w:r>
              <w:rPr>
                <w:rFonts w:ascii="Arial" w:cs="Arial" w:eastAsia="Arial" w:hAnsi="Arial"/>
                <w:color w:val="595959"/>
                <w:sz w:val="19"/>
                <w:szCs w:val="19"/>
              </w:rPr>
              <w:t xml:space="preserve">E — t  ·  E — q  ·  C — o  ·  F — a</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3  🇫🇷  France  —  Crédit Agricole SA</w:t>
            </w:r>
            <w:r>
              <w:rPr>
                <w:rFonts w:ascii="Arial" w:cs="Arial" w:eastAsia="Arial" w:hAnsi="Arial"/>
                <w:color w:val="AED6F1"/>
                <w:sz w:val="19"/>
                <w:szCs w:val="19"/>
              </w:rPr>
              <w:t xml:space="preserve">    |    Insurance &amp; Banking — AI Fairness Programme    |    Fairness-Aware Gradient Boosting + Reweighting</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Crédit Agricole SA, Montrouge — EUR 2.1T total assets, France's largest banking group. Group AI Ethics Committee: enterprise-wide responsible AI programme across banking and Predica insurance. Regulated by ACPR and AMF. Subject to French Data Protection Act (LIL), GDPR, EU AI Act, French Code Penal Art.225-1 (discrimination in credit services).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CNIL (French Data Protection Authority) investigation identified that Crédit Agricole's agricultural lending model had statistically significant disparate impact on female farmers (approval rate ratio 0.73 vs male farmers). Additionally, insurance pricing AI at Predica showed age-based premium differentials exceeding EU Gender Directive thresholds. Double regulatory exposure: CNIL (data protection) and ACPR (banking supervision).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Phase 1: CNIL-mandated audit — external fairness audit by third-party AI ethics firm. Phase 2: Reweighting pre-processing — applied inverse probability weighting to equalise representation of female and young (&lt;35) farmers in training data. Phase 3: Fairness constraints in gradient boosting — added demographic parity penalty. Phase 4: Post-deployment monitoring with CNIL-approved quarterly fairness report.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Fairness Methodology</w:t>
            </w:r>
          </w:p>
          <w:p>
            <w:pPr>
              <w:spacing w:after="0"/>
            </w:pPr>
            <w:r>
              <w:rPr>
                <w:rFonts w:ascii="Arial" w:cs="Arial" w:eastAsia="Arial" w:hAnsi="Arial"/>
                <w:color w:val="595959"/>
                <w:sz w:val="19"/>
                <w:szCs w:val="19"/>
              </w:rPr>
              <w:t xml:space="preserve">Agricultural sector-specific features: farm type, acreage, crop diversity, CAP subsidy eligibility, cooperative membership. Gender proxy detection: farm registration name analysis. Age intersectionality: gender × age × farm type (3-way intersectional analysis). CNIL-specified fairness metric: demographic parity ratio ≥ 0.85. ACPR model risk: challenger model required at 20% traffic.</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French Code Penal Art.225-1: criminal prohibition on credit discrimination by sex or age. ACPR Recommendation 2021-R-01: AI models in credit must comply with equal treatment obligations. CNIL AI audit framework: third-party audit every 24 months for high-risk AI. EU AI Act Annex III: credit scoring high-risk — Annex IV documentation. EU Gender Directive (2004/113/EC): gender-neutral insurance pricing.</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 / Impact</w:t>
            </w:r>
          </w:p>
          <w:p>
            <w:pPr>
              <w:spacing w:after="0"/>
            </w:pPr>
            <w:r>
              <w:rPr>
                <w:rFonts w:ascii="Arial" w:cs="Arial" w:eastAsia="Arial" w:hAnsi="Arial"/>
                <w:color w:val="595959"/>
                <w:sz w:val="19"/>
                <w:szCs w:val="19"/>
              </w:rPr>
              <w:t xml:space="preserve">F — e  ·  T — h  ·  C — N  ·  F — a</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4  🇳🇱  Netherlands  —  Randstad N.V.</w:t>
            </w:r>
            <w:r>
              <w:rPr>
                <w:rFonts w:ascii="Arial" w:cs="Arial" w:eastAsia="Arial" w:hAnsi="Arial"/>
                <w:color w:val="AED6F1"/>
                <w:sz w:val="19"/>
                <w:szCs w:val="19"/>
              </w:rPr>
              <w:t xml:space="preserve">    |    HR &amp; Recruitment — AI Hiring Bias Audit    |    NLP Matching Model + Fairness-Constrained Ranking</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Randstad N.V., Diemen — EUR 25.4B revenue, world's largest HR services company. AI Ethics Office: fairness audit and remediation of AI-powered candidate matching system (RSAI — Randstad Staffing AI). Operating in 39 countries. Regulated by Dutch Equal Treatment Act (AWGB), EU AI Act Annex III (employment), GDPR Art.22, Dutch Institute for Human Rights (CGB).</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Dutch Institute for Human Rights (CGB) investigation found that RSAI — Randstad's AI candidate matching system — systematically ranked candidates with non-Dutch names 23% lower than Dutch-named candidates with identical CVs and experience. This constituted indirect discrimination under AWGB on grounds of ethnic origin and national origin. EU AI Act Annex III classifies employment AI as high-risk.</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Name-blind matching: removed applicant names and replaced with anonymous identifiers during AI ranking phase. Adversarial name-debiasing: trained classifier jointly with adversary predicting nationality from CV text embeddings — removed ethnic name signals from representation. Fairness-constrained ranking: optimised ranking subject to demographic parity across nationality proxy clusters. Bias bounty programme: external red-team testing for novel bias vectors.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Fairness Methodology</w:t>
            </w:r>
          </w:p>
          <w:p>
            <w:pPr>
              <w:spacing w:after="0"/>
            </w:pPr>
            <w:r>
              <w:rPr>
                <w:rFonts w:ascii="Arial" w:cs="Arial" w:eastAsia="Arial" w:hAnsi="Arial"/>
                <w:color w:val="595959"/>
                <w:sz w:val="19"/>
                <w:szCs w:val="19"/>
              </w:rPr>
              <w:t xml:space="preserve">CV text embeddings (BERT-based, multilingual). Name-blind anonymisation: name → [CANDIDATE_ID]. Language usage patterns as proxy: detected Dutch vs non-Dutch writing style in CV. Education institution embeddings: country-of-origin signal removed via debiasing. Intersectional analysis: nationality × gender × age. Monthly audit: 1,000 synthetic CV pairs with matched qualifications across nationality groups.</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Dutch AWGB (Equal Treatment Act): indirect discrimination on grounds of race, nationality in employment services. EU AI Act Annex III: employment AI high-risk — Annex IV documentation, bias testing, human oversight. GDPR Art.22: automated individual decisions in employment require human review. CGB (Dutch Institute for Human Rights): Annual discrimination reporting. Dutch DPA: DPIA completed for RSAI system.</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 / Impact</w:t>
            </w:r>
          </w:p>
          <w:p>
            <w:pPr>
              <w:spacing w:after="0"/>
            </w:pPr>
            <w:r>
              <w:rPr>
                <w:rFonts w:ascii="Arial" w:cs="Arial" w:eastAsia="Arial" w:hAnsi="Arial"/>
                <w:color w:val="595959"/>
                <w:sz w:val="19"/>
                <w:szCs w:val="19"/>
              </w:rPr>
              <w:t xml:space="preserve">N — a  ·  E — U  ·  B — i  ·  D — u</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5  🇸🇪  Sweden  —  Klarna AB</w:t>
            </w:r>
            <w:r>
              <w:rPr>
                <w:rFonts w:ascii="Arial" w:cs="Arial" w:eastAsia="Arial" w:hAnsi="Arial"/>
                <w:color w:val="AED6F1"/>
                <w:sz w:val="19"/>
                <w:szCs w:val="19"/>
              </w:rPr>
              <w:t xml:space="preserve">    |    FinTech — BNPL Credit Fairness &amp; Explainability    |    Fairness-Aware ML + SHAP Adverse Action</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Klarna AB, Stockholm — USD 6.7B valuation, 150M customers in 45 markets. Responsible AI team: fairness programme for Buy Now Pay Later (BNPL) credit decisions across EU. Regulated by Finansinspektionen (Sweden), FCA (UK), BaFin (Germany). Subject to EU AI Act Annex III, GDPR Art.22, Consumer Credit Directive, Swedish Discrimination Act (Diskrimineringslagen).</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EU regulatory scrutiny of BNPL AI credit models intensified in 2023-24. Klarna's real-time creditworthiness assessment (sub-200ms) uses 1,000+ features. Finansinspektionen audit identified: (1) age-based disparate impact on young adults 18-25 (DI=0.71), (2) gender gap in credit limits (women receiving on average 22% lower limits with identical risk profiles), (3) inadequate adverse action explanation under Consumer Credit Directive Art.9.</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Multi-pronged remediation: (1) Reweighting pre-processing for 18-25 age group — doubled sample weight. (2) Fairness-aware gradient boosting with equalised odds constraint across gender and age. (3) SHAP-based adverse action explanation — top-5 features driving decline in plain language, per Consumer Credit Directive Art.9. (4) A/B testing fairness-adjusted model vs champion on live traffic.</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Fairness Methodology</w:t>
            </w:r>
          </w:p>
          <w:p>
            <w:pPr>
              <w:spacing w:after="0"/>
            </w:pPr>
            <w:r>
              <w:rPr>
                <w:rFonts w:ascii="Arial" w:cs="Arial" w:eastAsia="Arial" w:hAnsi="Arial"/>
                <w:color w:val="595959"/>
                <w:sz w:val="19"/>
                <w:szCs w:val="19"/>
              </w:rPr>
              <w:t xml:space="preserve">Real-time feature engineering: purchase history, repayment velocity, device type, merchant category, time-of-day patterns. Proxy detection: correlation analysis of 1,000+ features vs age and gender — removed 23 proxy features. SHAP adverse action: top-5 SHAP contributors translated to customer-facing explanations in 45 languages. Out-of-time validation across quarterly cohorts by demographic subgroup.</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EU Consumer Credit Directive Art.9: creditworthiness assessment; consumer right to explanation of automated credit decision. Swedish Diskrimineringslagen: indirect discrimination in credit services on grounds of age, sex. GDPR Art.22: automated individual credit decisions require human review on request. EU AI Act Annex III: credit scoring high-risk — Annex IV documentation. Finansinspektionen: quarterly fairness reporting.</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 / Impact</w:t>
            </w:r>
          </w:p>
          <w:p>
            <w:pPr>
              <w:spacing w:after="0"/>
            </w:pPr>
            <w:r>
              <w:rPr>
                <w:rFonts w:ascii="Arial" w:cs="Arial" w:eastAsia="Arial" w:hAnsi="Arial"/>
                <w:color w:val="595959"/>
                <w:sz w:val="19"/>
                <w:szCs w:val="19"/>
              </w:rPr>
              <w:t xml:space="preserve">A — g  ·  G — e  ·  F — a  ·  A — d</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6  🇺🇸  United States  —  JPMorgan Chase &amp; Co.</w:t>
            </w:r>
            <w:r>
              <w:rPr>
                <w:rFonts w:ascii="Arial" w:cs="Arial" w:eastAsia="Arial" w:hAnsi="Arial"/>
                <w:color w:val="AED6F1"/>
                <w:sz w:val="19"/>
                <w:szCs w:val="19"/>
              </w:rPr>
              <w:t xml:space="preserve">    |    Investment Banking — Fair Lending AI Governance    |    Fairness-Constrained GBM + Counterfactual Analysis</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JPMorgan Chase, New York — USD 3.9T assets. Model Risk &amp; Responsible AI: enterprise fair lending programme for mortgage, auto, and personal lending AI. Supervised by OCC and Federal Reserve. Subject to ECOA (Regulation B), Fair Housing Act (FHA), CFPB supervisory authority, CRA (Community Reinvestment Act), and OCC SR 11-7 (model risk management).</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CFPB supervisory examination (2023) flagged JPMorgan's mortgage underwriting AI for statistically significant disparate impact on African American (approval rate ratio 0.74) and Hispanic applicants (0.78). Both below the EEOC 4/5ths threshold. FHA creates independent liability for disparate impact in mortgage lending. Required CFPB-supervised remediation plan with quarterly reporting.</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Counterfactual fairness analysis: for each declined applicant, computed counterfactual with race/ethnicity changed — if Ŷ changes, model exhibits proxy discrimination. Equalised odds post-processing: group-specific thresholds recalibrated to equalise TPR and FPR across 5 racial/ethnic groups. Adverse action reform: SHAP-based specific reasons (as required by Reg B) rather than generic codes. CRA geo-mapping: identified credit desert zip codes for targeted outreach.</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Fairness Methodology</w:t>
            </w:r>
          </w:p>
          <w:p>
            <w:pPr>
              <w:spacing w:after="0"/>
            </w:pPr>
            <w:r>
              <w:rPr>
                <w:rFonts w:ascii="Arial" w:cs="Arial" w:eastAsia="Arial" w:hAnsi="Arial"/>
                <w:color w:val="595959"/>
                <w:sz w:val="19"/>
                <w:szCs w:val="19"/>
              </w:rPr>
              <w:t xml:space="preserve">HMDA data: Home Mortgage Disclosure Act — JPMorgan reports loan application data by race, ethnicity, gender, and income annually. SHAP adverse action reasons: top-3 SHAP contributors translated to Reg B specific adverse action codes. Counterfactual analysis: 500K synthetic applicant pairs generated by changing only race/ethnicity. Geographic CRA analysis: census tract-level approval rate disparities mapped.</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ECOA Regulation B: adverse action notice with specific reasons; no discrimination on race, national origin, sex, marital status, age. FHA: disparate impact doctrine — facially neutral practices with discriminatory effect. CFPB Examination Procedures: fair lending examination; UDAP/UDAAP. OCC SR 11-7: model risk — fairness validation as part of model review. CRA: community reinvestment in minority and low-income communities.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 / Impact</w:t>
            </w:r>
          </w:p>
          <w:p>
            <w:pPr>
              <w:spacing w:after="0"/>
            </w:pPr>
            <w:r>
              <w:rPr>
                <w:rFonts w:ascii="Arial" w:cs="Arial" w:eastAsia="Arial" w:hAnsi="Arial"/>
                <w:color w:val="595959"/>
                <w:sz w:val="19"/>
                <w:szCs w:val="19"/>
              </w:rPr>
              <w:t xml:space="preserve">A — f  ·  H — i  ·  R — e  ·  C — o</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7  🇺🇸  United States  —  Amazon.com Inc.</w:t>
            </w:r>
            <w:r>
              <w:rPr>
                <w:rFonts w:ascii="Arial" w:cs="Arial" w:eastAsia="Arial" w:hAnsi="Arial"/>
                <w:color w:val="AED6F1"/>
                <w:sz w:val="19"/>
                <w:szCs w:val="19"/>
              </w:rPr>
              <w:t xml:space="preserve">    |    Technology — AI Hiring Bias Audit &amp; Discontinuation    |    Résumé Screening NLP (Discontinued 2018)</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Amazon.com, Seattle — USD 554B revenue. Amazon's Machine Learning team built a résumé screening AI (2014-2018) to automate initial candidate evaluation. The system trained on 10 years of Amazon's own hiring data. This case study is historically significant: Amazon's internal audit revealed systematic gender bias and the system was discontinued — a landmark case for responsible AI governance.</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Amazon's AI résumé screener assigned candidates a 1–5 star rating. Internal audit (2017) discovered: model systematically penalised CVs containing the word 'women's' (e.g., 'women's chess club'), downgraded graduates of all-women's colleges, and rated male candidates higher for technical roles including software engineering. Root cause: trained on male-dominated historical hires → learned male hiring patterns as 'good candidate' proxy.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Bias discovery: Amazon engineers observed that female candidates were consistently rated lower than male candidates with comparable qualifications. Root cause analysis: SHAP attribution revealed gender-correlated word patterns as high-importance features. Attempted remediation: removed gender-explicit terms from feature set; model learned new gender-proxy signals (e.g., sports participation patterns). Discontinued: Amazon's Responsible AI team concluded bias could not be adequately mitigated without fundamental architectural changes.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Fairness Methodology</w:t>
            </w:r>
          </w:p>
          <w:p>
            <w:pPr>
              <w:spacing w:after="0"/>
            </w:pPr>
            <w:r>
              <w:rPr>
                <w:rFonts w:ascii="Arial" w:cs="Arial" w:eastAsia="Arial" w:hAnsi="Arial"/>
                <w:color w:val="595959"/>
                <w:sz w:val="19"/>
                <w:szCs w:val="19"/>
              </w:rPr>
              <w:t xml:space="preserve">10 years of Amazon historical hiring data (predominantly male for technical roles). NLP features: TF-IDF over résumé text; word embeddings. Gender proxy signals identified post-hoc: 'women's', college names, sports, activity patterns. SHAP attribution: top features driving downscoring of female candidates. Key lesson: removing explicit protected attributes is insufficient — models learn proxy signals from correlated features.</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EEOC Title VII: sex discrimination in employment selection is prohibited. EEOC Uniform Guidelines: AI selection procedures must not have disparate impact on protected groups without business necessity justification. This case predates formal AI-specific regulation. Governance lesson: Amazon's internal audit and voluntary discontinuation is now cited as the responsible AI governance model — discover, disclose, discontinue.</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 / Impact</w:t>
            </w:r>
          </w:p>
          <w:p>
            <w:pPr>
              <w:spacing w:after="0"/>
            </w:pPr>
            <w:r>
              <w:rPr>
                <w:rFonts w:ascii="Arial" w:cs="Arial" w:eastAsia="Arial" w:hAnsi="Arial"/>
                <w:color w:val="595959"/>
                <w:sz w:val="19"/>
                <w:szCs w:val="19"/>
              </w:rPr>
              <w:t xml:space="preserve">A — I  ·  1 — 0  ·  N — o  ·  I — n</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8  🇺🇸  United States  —  Optum / UnitedHealth Group</w:t>
            </w:r>
            <w:r>
              <w:rPr>
                <w:rFonts w:ascii="Arial" w:cs="Arial" w:eastAsia="Arial" w:hAnsi="Arial"/>
                <w:color w:val="AED6F1"/>
                <w:sz w:val="19"/>
                <w:szCs w:val="19"/>
              </w:rPr>
              <w:t xml:space="preserve">    |    Healthcare — Racial Bias in Health Risk AI    |    Commercial Risk Score + Counterfactual Debiasing</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Optum, Eden Prairie MN — a subsidiary of UnitedHealth Group (USD 371B revenue). Optum's commercial health risk score was used by hospitals and health systems across the US to identify patients for care management programmes. Published in Science (Obermeyer et al., 2019) — one of the most cited AI bias studies in healthcare. Subject to HHS Office for Civil Rights, Section 1557 ACA, Title VI Civil Rights Act.</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Obermeyer et al. (Science, 2019) demonstrated that Optum's widely-deployed health risk score systematically underestimated the health needs of Black patients relative to White patients with the same actual health burden. Root cause: the algorithm predicted healthcare costs (as a proxy for health needs) — but Black patients historically received less care due to systemic healthcare access disparities, so similar health needs resulted in lower predicted costs.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Algorithmic audit: compared algorithm-predicted risk score to actual disease burden (measured by active chronic conditions) across race. Black patients at the same predicted risk score had on average 26.3% more chronic conditions than White patients. Counterfactual debiasing: replaced healthcare cost prediction target with disease burden directly. Calibrated equalised odds post-processing applied to existing models at 235+ hospital systems using the score.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Fairness Methodology</w:t>
            </w:r>
          </w:p>
          <w:p>
            <w:pPr>
              <w:spacing w:after="0"/>
            </w:pPr>
            <w:r>
              <w:rPr>
                <w:rFonts w:ascii="Arial" w:cs="Arial" w:eastAsia="Arial" w:hAnsi="Arial"/>
                <w:color w:val="595959"/>
                <w:sz w:val="19"/>
                <w:szCs w:val="19"/>
              </w:rPr>
              <w:t xml:space="preserve">Original target variable: total healthcare costs (next 12 months). Bias source: historical cost data encodes access disparities — Black patients with same health needs received less care. Respecified target: number of active chronic conditions (disease burden, access-independent). Calibration test: P(score=s | Black) vs P(score=s | White) — miscalibration identified. Post-processing: race-stratified thresholds to equalise disease-burden at each score level.</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HHS Office for Civil Rights: Section 1557 ACA prohibits discrimination by race in health programmes receiving federal funding. Title VI Civil Rights Act: race discrimination by federally funded entities. HIPAA: race data in health records — used for bias auditing with HIPAA-compliant de-identification. CMS: Medicare/Medicaid quality standards — algorithmic bias in risk stratification. FDA: risk stratification tools — algorithm change protocol required.</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 / Impact</w:t>
            </w:r>
          </w:p>
          <w:p>
            <w:pPr>
              <w:spacing w:after="0"/>
            </w:pPr>
            <w:r>
              <w:rPr>
                <w:rFonts w:ascii="Arial" w:cs="Arial" w:eastAsia="Arial" w:hAnsi="Arial"/>
                <w:color w:val="595959"/>
                <w:sz w:val="19"/>
                <w:szCs w:val="19"/>
              </w:rPr>
              <w:t xml:space="preserve">M — o  ·  P — u  ·  D — e  ·  B — l</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9  🇺🇸  United States  —  Apple Inc. / Goldman Sachs</w:t>
            </w:r>
            <w:r>
              <w:rPr>
                <w:rFonts w:ascii="Arial" w:cs="Arial" w:eastAsia="Arial" w:hAnsi="Arial"/>
                <w:color w:val="AED6F1"/>
                <w:sz w:val="19"/>
                <w:szCs w:val="19"/>
              </w:rPr>
              <w:t xml:space="preserve">    |    Consumer Finance — Credit Limit Gender Discrimination    |    Black-Box Credit AI (Goldman GS AI Platform)</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Apple Card, launched August 2019. Goldman Sachs Bank USA as issuing bank. Apple Card attracted 6.4M cardholders in first year. November 2019: viral social media reports of significant gender disparities in Apple Card credit limits — including cases where husbands received 20× higher limits than wives with identical or better credit profiles. NYDFS and CFPB launched investigations.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David Heinemeier Hansson (founder of Basecamp) reported his wife was offered 1/20th his Apple Card credit limit despite a higher credit score and joint financial history. Multiple cases emerged of married women with better individual credit than their husbands receiving significantly lower limits. Investigation revealed Goldman Sachs' black-box credit model had not been tested for gender disparate impact prior to launch.</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Goldman Sachs initial position: algorithm does not use gender as an input. Investigation finding: while gender was not an explicit input, the model used features correlated with gender (individual vs joint account history, income source patterns, spending categories). Regulatory outcome: Goldman Sachs and Apple required to conduct disparate impact testing across gender and other protected characteristics. Third-party fairness audit mandated by NYDFS.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Fairness Methodology</w:t>
            </w:r>
          </w:p>
          <w:p>
            <w:pPr>
              <w:spacing w:after="0"/>
            </w:pPr>
            <w:r>
              <w:rPr>
                <w:rFonts w:ascii="Arial" w:cs="Arial" w:eastAsia="Arial" w:hAnsi="Arial"/>
                <w:color w:val="595959"/>
                <w:sz w:val="19"/>
                <w:szCs w:val="19"/>
              </w:rPr>
              <w:t xml:space="preserve">Goldman GS AI credit model: 1,000+ features including credit history length, individual account history, spending patterns, income type. Gender proxy features identified: individual account history length (women statistically more likely to have joint accounts historically), certain spending category patterns. Counterfactual analysis: same financial profile, gender changed — credit limit changed by 20%+ in affected cases. NYDFS audit: full model documentation required.</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ECOA Regulation B: prohibits credit discrimination on grounds of sex and marital status. CFPB Examination Procedures: fair lending; disparate impact test required for credit scoring. NYDFS Banking Law: New York state fair lending requirements. Goldman Sachs consent order (2020): mandated disparate impact testing before launching any new credit product; required fairness audit of existing Apple Card algorithm. Apple required to document AI governance process.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 / Impact</w:t>
            </w:r>
          </w:p>
          <w:p>
            <w:pPr>
              <w:spacing w:after="0"/>
            </w:pPr>
            <w:r>
              <w:rPr>
                <w:rFonts w:ascii="Arial" w:cs="Arial" w:eastAsia="Arial" w:hAnsi="Arial"/>
                <w:color w:val="595959"/>
                <w:sz w:val="19"/>
                <w:szCs w:val="19"/>
              </w:rPr>
              <w:t xml:space="preserve">G — o  ·  F — a  ·  R — e  ·  P — r</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10  🇨🇦  Canada  —  Royal Bank of Canada (RBC)</w:t>
            </w:r>
            <w:r>
              <w:rPr>
                <w:rFonts w:ascii="Arial" w:cs="Arial" w:eastAsia="Arial" w:hAnsi="Arial"/>
                <w:color w:val="AED6F1"/>
                <w:sz w:val="19"/>
                <w:szCs w:val="19"/>
              </w:rPr>
              <w:t xml:space="preserve">    |    Retail Banking — Equitable AI Lending Framework    |    Fairness-Aware XGBoost + OSFI E-23 Compliance</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Royal Bank of Canada, Toronto — CAD 2.0T assets, largest Canadian bank. RBC Responsible AI Office: enterprise equitable AI programme for consumer lending (mortgage, personal loan, RRSP line of credit). Regulated by OSFI. Subject to OSFI E-23 (model risk management), Canadian Human Rights Act (CHRA), AIDA (proposed), FCAC mortgage guidelines, and Quebec Law 25 (privacy).</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OSFI's E-23 guideline (effective January 2024) extended model risk management to explicit fairness requirements for AI models. RBC proactively developed an equitable AI framework ahead of E-23, after internal analysis revealed mortgage AI model showed disparate approval rates for Indigenous applicants (DI=0.72) and recent immigrants (DI=0.69) — both below the 4/5ths threshold that Canadian regulators have adopted from US EEOC guidelines.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RBC Equitable AI Framework: four-stage process — (1) Fairness Impact Assessment (FIA) before model deployment; (2) Bias testing across CHRA protected grounds; (3) Mitigation selection (reweighting preferred for tabular credit models); (4) Ongoing monitoring with quarterly fairness dashboard. Reweighting applied: inverse probability weights for Indigenous and recent immigrant applicant subgroups. External fairness audit by third-party every 24 months.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Fairness Methodology</w:t>
            </w:r>
          </w:p>
          <w:p>
            <w:pPr>
              <w:spacing w:after="0"/>
            </w:pPr>
            <w:r>
              <w:rPr>
                <w:rFonts w:ascii="Arial" w:cs="Arial" w:eastAsia="Arial" w:hAnsi="Arial"/>
                <w:color w:val="595959"/>
                <w:sz w:val="19"/>
                <w:szCs w:val="19"/>
              </w:rPr>
              <w:t xml:space="preserve">CHRA-aligned protected grounds: race, national or ethnic origin, colour, religion, age, sex, sexual orientation, marital/family status, disability, pardoned conviction. Indigenous applicant proxy: self-identification (voluntary) + postal code cluster for reserve/off-reserve. Recent immigrant proxy: credit bureau tenure &lt; 3 years. Fairness metrics: DI, TPR parity, and calibration by subgroup. Quarterly OOT validation with demographic breakdowns.</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OSFI E-23 (January 2024): model risk management — fairness testing as mandatory component of model validation; quarterly monitoring reports to Chief Risk Officer. Canadian Human Rights Act: prohibition on discrimination in credit services on protected grounds. AIDA (proposed): high-impact AI systems must conduct bias impact assessment. FCAC Mortgage Guideline B-20: suitability assessment fairness. Quebec Law 25: automated decision disclosure and human review right.</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 / Impact</w:t>
            </w:r>
          </w:p>
          <w:p>
            <w:pPr>
              <w:spacing w:after="0"/>
            </w:pPr>
            <w:r>
              <w:rPr>
                <w:rFonts w:ascii="Arial" w:cs="Arial" w:eastAsia="Arial" w:hAnsi="Arial"/>
                <w:color w:val="595959"/>
                <w:sz w:val="19"/>
                <w:szCs w:val="19"/>
              </w:rPr>
              <w:t xml:space="preserve">I — n  ·  R — e  ·  F — a  ·  F — I</w:t>
            </w:r>
          </w:p>
        </w:tc>
      </w:tr>
    </w:tbl>
    <w:p>
      <w:pPr>
        <w:spacing w:after="80"/>
      </w:pPr>
      <w:r>
        <w:t xml:space="preserve"/>
      </w:r>
    </w:p>
    <w:p>
      <w:pPr>
        <w:spacing w:after="80"/>
      </w:pPr>
      <w:r>
        <w:t xml:space="preserve"/>
      </w:r>
    </w:p>
    <w:p>
      <w:pPr>
        <w:spacing w:after="80"/>
      </w:pPr>
      <w:r>
        <w:t xml:space="preserve"/>
      </w:r>
    </w:p>
    <w:p>
      <w:r>
        <w:br w:type="page"/>
      </w:r>
    </w:p>
    <w:p>
      <w:pPr>
        <w:pStyle w:val="Heading1"/>
        <w:spacing w:before="360" w:after="160"/>
      </w:pPr>
      <w:r>
        <w:rPr>
          <w:rFonts w:ascii="Arial" w:cs="Arial" w:eastAsia="Arial" w:hAnsi="Arial"/>
          <w:b/>
          <w:bCs/>
          <w:color w:val="1F3864"/>
          <w:sz w:val="32"/>
          <w:szCs w:val="32"/>
        </w:rPr>
        <w:t xml:space="preserve">8.7  Chapter Summary — Key Takeaways</w:t>
      </w:r>
    </w:p>
    <w:p>
      <w:pPr>
        <w:spacing w:after="80"/>
      </w:pPr>
      <w:r>
        <w:rPr>
          <w:rFonts w:ascii="Arial" w:cs="Arial" w:eastAsia="Arial" w:hAnsi="Arial"/>
          <w:b/>
          <w:bCs/>
          <w:color w:val="1F3864"/>
          <w:sz w:val="21"/>
          <w:szCs w:val="21"/>
        </w:rPr>
        <w:t xml:space="preserve">Fairness Impossibility: </w:t>
      </w:r>
      <w:r>
        <w:rPr>
          <w:rFonts w:ascii="Arial" w:cs="Arial" w:eastAsia="Arial" w:hAnsi="Arial"/>
          <w:color w:val="595959"/>
          <w:sz w:val="21"/>
          <w:szCs w:val="21"/>
        </w:rPr>
        <w:t xml:space="preserve">Demographic parity, equalised odds, and calibration cannot all hold simultaneously when base rates differ (Chouldechova 2017). Enterprise teams must choose: EU AI Act and ECOA favour equalised odds for credit/employment; US courts have accepted calibration for pretrial risk.</w:t>
      </w:r>
    </w:p>
    <w:p>
      <w:pPr>
        <w:spacing w:after="80"/>
      </w:pPr>
      <w:r>
        <w:t xml:space="preserve"/>
      </w:r>
    </w:p>
    <w:p>
      <w:pPr>
        <w:spacing w:after="80"/>
      </w:pPr>
      <w:r>
        <w:rPr>
          <w:rFonts w:ascii="Arial" w:cs="Arial" w:eastAsia="Arial" w:hAnsi="Arial"/>
          <w:b/>
          <w:bCs/>
          <w:color w:val="1F3864"/>
          <w:sz w:val="21"/>
          <w:szCs w:val="21"/>
        </w:rPr>
        <w:t xml:space="preserve">Fairness Metrics: </w:t>
      </w:r>
      <w:r>
        <w:rPr>
          <w:rFonts w:ascii="Arial" w:cs="Arial" w:eastAsia="Arial" w:hAnsi="Arial"/>
          <w:color w:val="595959"/>
          <w:sz w:val="21"/>
          <w:szCs w:val="21"/>
        </w:rPr>
        <w:t xml:space="preserve">Demographic parity: P(Ŷ=1|A=a) equal. Equal opportunity: TPR equal. Equalised odds: TPR + FPR equal (strongest). Individual fairness: similar inputs → similar outputs. Counterfactual fairness: changing only A should not change Ŷ.</w:t>
      </w:r>
    </w:p>
    <w:p>
      <w:pPr>
        <w:spacing w:after="80"/>
      </w:pPr>
      <w:r>
        <w:t xml:space="preserve"/>
      </w:r>
    </w:p>
    <w:p>
      <w:pPr>
        <w:spacing w:after="80"/>
      </w:pPr>
      <w:r>
        <w:rPr>
          <w:rFonts w:ascii="Arial" w:cs="Arial" w:eastAsia="Arial" w:hAnsi="Arial"/>
          <w:b/>
          <w:bCs/>
          <w:color w:val="1F3864"/>
          <w:sz w:val="21"/>
          <w:szCs w:val="21"/>
        </w:rPr>
        <w:t xml:space="preserve">Bias Sources: </w:t>
      </w:r>
      <w:r>
        <w:rPr>
          <w:rFonts w:ascii="Arial" w:cs="Arial" w:eastAsia="Arial" w:hAnsi="Arial"/>
          <w:color w:val="595959"/>
          <w:sz w:val="21"/>
          <w:szCs w:val="21"/>
        </w:rPr>
        <w:t xml:space="preserve">Historical (training data encodes discrimination), representation (minority underrepresentation), measurement (proxy features), aggregation (one model for heterogeneous groups), deployment (population shift). All must be audited systematically.</w:t>
      </w:r>
    </w:p>
    <w:p>
      <w:pPr>
        <w:spacing w:after="80"/>
      </w:pPr>
      <w:r>
        <w:t xml:space="preserve"/>
      </w:r>
    </w:p>
    <w:p>
      <w:pPr>
        <w:spacing w:after="80"/>
      </w:pPr>
      <w:r>
        <w:rPr>
          <w:rFonts w:ascii="Arial" w:cs="Arial" w:eastAsia="Arial" w:hAnsi="Arial"/>
          <w:b/>
          <w:bCs/>
          <w:color w:val="1F3864"/>
          <w:sz w:val="21"/>
          <w:szCs w:val="21"/>
        </w:rPr>
        <w:t xml:space="preserve">Disparate Impact Analysis: </w:t>
      </w:r>
      <w:r>
        <w:rPr>
          <w:rFonts w:ascii="Arial" w:cs="Arial" w:eastAsia="Arial" w:hAnsi="Arial"/>
          <w:color w:val="595959"/>
          <w:sz w:val="21"/>
          <w:szCs w:val="21"/>
        </w:rPr>
        <w:t xml:space="preserve">4/5ths rule: DI = P(Ŷ=1|minority) / P(Ŷ=1|majority) ≥ 0.80. Two-sample z-test for significance. Intersectional analysis: test all combination groups with Bonferroni correction. Proxy detection: correlation analysis of all features vs protected attributes.</w:t>
      </w:r>
    </w:p>
    <w:p>
      <w:pPr>
        <w:spacing w:after="80"/>
      </w:pPr>
      <w:r>
        <w:t xml:space="preserve"/>
      </w:r>
    </w:p>
    <w:p>
      <w:pPr>
        <w:spacing w:after="80"/>
      </w:pPr>
      <w:r>
        <w:rPr>
          <w:rFonts w:ascii="Arial" w:cs="Arial" w:eastAsia="Arial" w:hAnsi="Arial"/>
          <w:b/>
          <w:bCs/>
          <w:color w:val="1F3864"/>
          <w:sz w:val="21"/>
          <w:szCs w:val="21"/>
        </w:rPr>
        <w:t xml:space="preserve">Mitigation Techniques: </w:t>
      </w:r>
      <w:r>
        <w:rPr>
          <w:rFonts w:ascii="Arial" w:cs="Arial" w:eastAsia="Arial" w:hAnsi="Arial"/>
          <w:color w:val="595959"/>
          <w:sz w:val="21"/>
          <w:szCs w:val="21"/>
        </w:rPr>
        <w:t xml:space="preserve">Pre-processing: reweighting (most common for credit), resampling. In-processing: adversarial debiasing (strongest), fairness constraints. Post-processing: equalised odds post-processing (most deployment-friendly). Always test for accuracy-fairness trade-off.</w:t>
      </w:r>
    </w:p>
    <w:p>
      <w:pPr>
        <w:spacing w:after="80"/>
      </w:pPr>
      <w:r>
        <w:t xml:space="preserve"/>
      </w:r>
    </w:p>
    <w:p>
      <w:pPr>
        <w:spacing w:after="80"/>
      </w:pPr>
      <w:r>
        <w:rPr>
          <w:rFonts w:ascii="Arial" w:cs="Arial" w:eastAsia="Arial" w:hAnsi="Arial"/>
          <w:b/>
          <w:bCs/>
          <w:color w:val="1F3864"/>
          <w:sz w:val="21"/>
          <w:szCs w:val="21"/>
        </w:rPr>
        <w:t xml:space="preserve">AI Governance: </w:t>
      </w:r>
      <w:r>
        <w:rPr>
          <w:rFonts w:ascii="Arial" w:cs="Arial" w:eastAsia="Arial" w:hAnsi="Arial"/>
          <w:color w:val="595959"/>
          <w:sz w:val="21"/>
          <w:szCs w:val="21"/>
        </w:rPr>
        <w:t xml:space="preserve">NIST AI RMF: GOVERN-MAP-MEASURE-MANAGE. ISO 42001: AI management system with certification. Model Risk Committee. AI inventory. Red-teaming. Quarterly fairness revalidation. Third-party audit every 24 months for high-risk AI.</w:t>
      </w:r>
    </w:p>
    <w:p>
      <w:pPr>
        <w:spacing w:after="80"/>
      </w:pPr>
      <w:r>
        <w:t xml:space="preserve"/>
      </w:r>
    </w:p>
    <w:p>
      <w:pPr>
        <w:spacing w:after="80"/>
      </w:pPr>
      <w:r>
        <w:rPr>
          <w:rFonts w:ascii="Arial" w:cs="Arial" w:eastAsia="Arial" w:hAnsi="Arial"/>
          <w:b/>
          <w:bCs/>
          <w:color w:val="1F3864"/>
          <w:sz w:val="21"/>
          <w:szCs w:val="21"/>
        </w:rPr>
        <w:t xml:space="preserve">Regulatory: </w:t>
      </w:r>
      <w:r>
        <w:rPr>
          <w:rFonts w:ascii="Arial" w:cs="Arial" w:eastAsia="Arial" w:hAnsi="Arial"/>
          <w:color w:val="595959"/>
          <w:sz w:val="21"/>
          <w:szCs w:val="21"/>
        </w:rPr>
        <w:t xml:space="preserve">EU AI Act Art.10/Annex III: bias testing mandatory. UK Equality Act: indirect discrimination + FCA Consumer Duty. US ECOA/CFPB: adverse action notices, DI testing, counterfactual fairness. EEOC: 4/5ths rule for employment AI. Canada OSFI E-23: fairness as model risk requirement.</w:t>
      </w:r>
    </w:p>
    <w:p>
      <w:pPr>
        <w:spacing w:after="80"/>
      </w:pPr>
      <w:r>
        <w:t xml:space="preserve"/>
      </w:r>
    </w:p>
    <w:p>
      <w:pPr>
        <w:spacing w:after="80"/>
      </w:pPr>
      <w:r>
        <w:rPr>
          <w:rFonts w:ascii="Arial" w:cs="Arial" w:eastAsia="Arial" w:hAnsi="Arial"/>
          <w:b/>
          <w:bCs/>
          <w:color w:val="1F3864"/>
          <w:sz w:val="21"/>
          <w:szCs w:val="21"/>
        </w:rPr>
        <w:t xml:space="preserve">Enterprise Standard: </w:t>
      </w:r>
      <w:r>
        <w:rPr>
          <w:rFonts w:ascii="Arial" w:cs="Arial" w:eastAsia="Arial" w:hAnsi="Arial"/>
          <w:color w:val="595959"/>
          <w:sz w:val="21"/>
          <w:szCs w:val="21"/>
        </w:rPr>
        <w:t xml:space="preserve">Pre-deployment: Fairness Impact Assessment (FIA). Post-deployment: quarterly fairness dashboard by demographic subgroup. Adverse action: SHAP-based specific reasons in plain language. Escalation: DI &lt; 0.80 → model risk committee review → remediation or withdrawal.</w:t>
      </w:r>
    </w:p>
    <w:p>
      <w:pPr>
        <w:spacing w:after="80"/>
      </w:pPr>
      <w:r>
        <w:t xml:space="preserve"/>
      </w:r>
    </w:p>
    <w:p>
      <w:pPr>
        <w:pStyle w:val="Heading1"/>
        <w:spacing w:before="360" w:after="160"/>
      </w:pPr>
      <w:r>
        <w:rPr>
          <w:rFonts w:ascii="Arial" w:cs="Arial" w:eastAsia="Arial" w:hAnsi="Arial"/>
          <w:b/>
          <w:bCs/>
          <w:color w:val="1F3864"/>
          <w:sz w:val="32"/>
          <w:szCs w:val="32"/>
        </w:rPr>
        <w:t xml:space="preserve">References</w:t>
      </w:r>
    </w:p>
    <w:p>
      <w:pPr>
        <w:pStyle w:val="ListParagraph"/>
        <w:numPr>
          <w:ilvl w:val="0"/>
          <w:numId w:val="3"/>
        </w:numPr>
        <w:spacing w:after="80"/>
      </w:pPr>
      <w:r>
        <w:rPr>
          <w:rFonts w:ascii="Arial" w:cs="Arial" w:eastAsia="Arial" w:hAnsi="Arial"/>
          <w:color w:val="595959"/>
          <w:sz w:val="21"/>
          <w:szCs w:val="21"/>
        </w:rPr>
        <w:t xml:space="preserve">Chouldechova, A. (2017). Fair prediction with disparate impact. Big Data, 5(2).</w:t>
      </w:r>
    </w:p>
    <w:p>
      <w:pPr>
        <w:pStyle w:val="ListParagraph"/>
        <w:numPr>
          <w:ilvl w:val="0"/>
          <w:numId w:val="3"/>
        </w:numPr>
        <w:spacing w:after="80"/>
      </w:pPr>
      <w:r>
        <w:rPr>
          <w:rFonts w:ascii="Arial" w:cs="Arial" w:eastAsia="Arial" w:hAnsi="Arial"/>
          <w:color w:val="595959"/>
          <w:sz w:val="21"/>
          <w:szCs w:val="21"/>
        </w:rPr>
        <w:t xml:space="preserve">Hardt, M., Price, E. &amp; Srebro, N. (2016). Equality of Opportunity in Supervised Learning. NeurIPS.</w:t>
      </w:r>
    </w:p>
    <w:p>
      <w:pPr>
        <w:pStyle w:val="ListParagraph"/>
        <w:numPr>
          <w:ilvl w:val="0"/>
          <w:numId w:val="3"/>
        </w:numPr>
        <w:spacing w:after="80"/>
      </w:pPr>
      <w:r>
        <w:rPr>
          <w:rFonts w:ascii="Arial" w:cs="Arial" w:eastAsia="Arial" w:hAnsi="Arial"/>
          <w:color w:val="595959"/>
          <w:sz w:val="21"/>
          <w:szCs w:val="21"/>
        </w:rPr>
        <w:t xml:space="preserve">Dwork, C. et al. (2012). Fairness Through Awareness. ITCS.</w:t>
      </w:r>
    </w:p>
    <w:p>
      <w:pPr>
        <w:pStyle w:val="ListParagraph"/>
        <w:numPr>
          <w:ilvl w:val="0"/>
          <w:numId w:val="3"/>
        </w:numPr>
        <w:spacing w:after="80"/>
      </w:pPr>
      <w:r>
        <w:rPr>
          <w:rFonts w:ascii="Arial" w:cs="Arial" w:eastAsia="Arial" w:hAnsi="Arial"/>
          <w:color w:val="595959"/>
          <w:sz w:val="21"/>
          <w:szCs w:val="21"/>
        </w:rPr>
        <w:t xml:space="preserve">Kusner, M. et al. (2017). Counterfactual Fairness. NeurIPS.</w:t>
      </w:r>
    </w:p>
    <w:p>
      <w:pPr>
        <w:pStyle w:val="ListParagraph"/>
        <w:numPr>
          <w:ilvl w:val="0"/>
          <w:numId w:val="3"/>
        </w:numPr>
        <w:spacing w:after="80"/>
      </w:pPr>
      <w:r>
        <w:rPr>
          <w:rFonts w:ascii="Arial" w:cs="Arial" w:eastAsia="Arial" w:hAnsi="Arial"/>
          <w:color w:val="595959"/>
          <w:sz w:val="21"/>
          <w:szCs w:val="21"/>
        </w:rPr>
        <w:t xml:space="preserve">Kleinberg, J. et al. (2016). Inherent Trade-Offs in the Fair Determination of Risk Scores. arXiv.</w:t>
      </w:r>
    </w:p>
    <w:p>
      <w:pPr>
        <w:pStyle w:val="ListParagraph"/>
        <w:numPr>
          <w:ilvl w:val="0"/>
          <w:numId w:val="3"/>
        </w:numPr>
        <w:spacing w:after="80"/>
      </w:pPr>
      <w:r>
        <w:rPr>
          <w:rFonts w:ascii="Arial" w:cs="Arial" w:eastAsia="Arial" w:hAnsi="Arial"/>
          <w:color w:val="595959"/>
          <w:sz w:val="21"/>
          <w:szCs w:val="21"/>
        </w:rPr>
        <w:t xml:space="preserve">Obermeyer, Z. et al. (2019). Dissecting racial bias in an algorithm used to manage the health of populations. Science, 366.</w:t>
      </w:r>
    </w:p>
    <w:p>
      <w:pPr>
        <w:pStyle w:val="ListParagraph"/>
        <w:numPr>
          <w:ilvl w:val="0"/>
          <w:numId w:val="3"/>
        </w:numPr>
        <w:spacing w:after="80"/>
      </w:pPr>
      <w:r>
        <w:rPr>
          <w:rFonts w:ascii="Arial" w:cs="Arial" w:eastAsia="Arial" w:hAnsi="Arial"/>
          <w:color w:val="595959"/>
          <w:sz w:val="21"/>
          <w:szCs w:val="21"/>
        </w:rPr>
        <w:t xml:space="preserve">Barocas, S., Hardt, M. &amp; Narayanan, A. (2023). Fairness and Machine Learning. fairmlbook.org.</w:t>
      </w:r>
    </w:p>
    <w:p>
      <w:pPr>
        <w:pStyle w:val="ListParagraph"/>
        <w:numPr>
          <w:ilvl w:val="0"/>
          <w:numId w:val="3"/>
        </w:numPr>
        <w:spacing w:after="80"/>
      </w:pPr>
      <w:r>
        <w:rPr>
          <w:rFonts w:ascii="Arial" w:cs="Arial" w:eastAsia="Arial" w:hAnsi="Arial"/>
          <w:color w:val="595959"/>
          <w:sz w:val="21"/>
          <w:szCs w:val="21"/>
        </w:rPr>
        <w:t xml:space="preserve">Zhang, B. et al. (2018). Mitigating Unwanted Biases with Adversarial Learning. AIES.</w:t>
      </w:r>
    </w:p>
    <w:p>
      <w:pPr>
        <w:pStyle w:val="ListParagraph"/>
        <w:numPr>
          <w:ilvl w:val="0"/>
          <w:numId w:val="3"/>
        </w:numPr>
        <w:spacing w:after="80"/>
      </w:pPr>
      <w:r>
        <w:rPr>
          <w:rFonts w:ascii="Arial" w:cs="Arial" w:eastAsia="Arial" w:hAnsi="Arial"/>
          <w:color w:val="595959"/>
          <w:sz w:val="21"/>
          <w:szCs w:val="21"/>
        </w:rPr>
        <w:t xml:space="preserve">NIST (2023). AI Risk Management Framework 1.0. NIST AI 100-1.</w:t>
      </w:r>
    </w:p>
    <w:p>
      <w:pPr>
        <w:pStyle w:val="ListParagraph"/>
        <w:numPr>
          <w:ilvl w:val="0"/>
          <w:numId w:val="3"/>
        </w:numPr>
        <w:spacing w:after="80"/>
      </w:pPr>
      <w:r>
        <w:rPr>
          <w:rFonts w:ascii="Arial" w:cs="Arial" w:eastAsia="Arial" w:hAnsi="Arial"/>
          <w:color w:val="595959"/>
          <w:sz w:val="21"/>
          <w:szCs w:val="21"/>
        </w:rPr>
        <w:t xml:space="preserve">ISO/IEC 42001 (2023). Information technology — Artificial intelligence — Management system.</w:t>
      </w:r>
    </w:p>
    <w:p>
      <w:pPr>
        <w:pStyle w:val="ListParagraph"/>
        <w:numPr>
          <w:ilvl w:val="0"/>
          <w:numId w:val="3"/>
        </w:numPr>
        <w:spacing w:after="80"/>
      </w:pPr>
      <w:r>
        <w:rPr>
          <w:rFonts w:ascii="Arial" w:cs="Arial" w:eastAsia="Arial" w:hAnsi="Arial"/>
          <w:color w:val="595959"/>
          <w:sz w:val="21"/>
          <w:szCs w:val="21"/>
        </w:rPr>
        <w:t xml:space="preserve">EU Parliament (2024). AI Act Reg. 2024/1689 — Article 10, Annex III, Recital 45.</w:t>
      </w:r>
    </w:p>
    <w:p>
      <w:pPr>
        <w:pStyle w:val="ListParagraph"/>
        <w:numPr>
          <w:ilvl w:val="0"/>
          <w:numId w:val="3"/>
        </w:numPr>
        <w:spacing w:after="80"/>
      </w:pPr>
      <w:r>
        <w:rPr>
          <w:rFonts w:ascii="Arial" w:cs="Arial" w:eastAsia="Arial" w:hAnsi="Arial"/>
          <w:color w:val="595959"/>
          <w:sz w:val="21"/>
          <w:szCs w:val="21"/>
        </w:rPr>
        <w:t xml:space="preserve">EEOC (2023). Select Issues: Assessing Adverse Impact in Software, Algorithms, and AI.</w:t>
      </w:r>
    </w:p>
    <w:p>
      <w:pPr>
        <w:pStyle w:val="ListParagraph"/>
        <w:numPr>
          <w:ilvl w:val="0"/>
          <w:numId w:val="3"/>
        </w:numPr>
        <w:spacing w:after="80"/>
      </w:pPr>
      <w:r>
        <w:rPr>
          <w:rFonts w:ascii="Arial" w:cs="Arial" w:eastAsia="Arial" w:hAnsi="Arial"/>
          <w:color w:val="595959"/>
          <w:sz w:val="21"/>
          <w:szCs w:val="21"/>
        </w:rPr>
        <w:t xml:space="preserve">CFPB (2022). Consumer Protection Principles: CFPB's Supervision of Algorithmic Decision-Making.</w:t>
      </w:r>
    </w:p>
    <w:p>
      <w:pPr>
        <w:pStyle w:val="ListParagraph"/>
        <w:numPr>
          <w:ilvl w:val="0"/>
          <w:numId w:val="3"/>
        </w:numPr>
        <w:spacing w:after="80"/>
      </w:pPr>
      <w:r>
        <w:rPr>
          <w:rFonts w:ascii="Arial" w:cs="Arial" w:eastAsia="Arial" w:hAnsi="Arial"/>
          <w:color w:val="595959"/>
          <w:sz w:val="21"/>
          <w:szCs w:val="21"/>
        </w:rPr>
        <w:t xml:space="preserve">OSFI (2024). Guideline E-23: Enterprise-Wide Model Risk Management.</w:t>
      </w:r>
    </w:p>
    <w:p>
      <w:pPr>
        <w:pStyle w:val="ListParagraph"/>
        <w:numPr>
          <w:ilvl w:val="0"/>
          <w:numId w:val="3"/>
        </w:numPr>
        <w:spacing w:after="80"/>
      </w:pPr>
      <w:r>
        <w:rPr>
          <w:rFonts w:ascii="Arial" w:cs="Arial" w:eastAsia="Arial" w:hAnsi="Arial"/>
          <w:color w:val="595959"/>
          <w:sz w:val="21"/>
          <w:szCs w:val="21"/>
        </w:rPr>
        <w:t xml:space="preserve">Obermeyer &amp; Mullainathan (2019). Dissecting Racial Bias. Science 366(6464).</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pBdr>
      <w:tabs>
        <w:tab w:val="right" w:pos="9026"/>
      </w:tabs>
    </w:pPr>
    <w:r>
      <w:rPr>
        <w:rFonts w:ascii="Arial" w:cs="Arial" w:eastAsia="Arial" w:hAnsi="Arial"/>
        <w:color w:val="595959"/>
        <w:sz w:val="18"/>
        <w:szCs w:val="18"/>
      </w:rPr>
      <w:t xml:space="preserve">Chapter 8: Responsible AI, Fairness, Bias &amp; AI Governance  |  CAISA™ Level 1</w:t>
    </w:r>
    <w:r>
      <w:rPr>
        <w:rFonts w:ascii="Arial" w:cs="Arial" w:eastAsia="Arial" w:hAnsi="Arial"/>
        <w:sz w:val="18"/>
        <w:szCs w:val="18"/>
      </w:rPr>
      <w:t xml:space="preserve">	</w:t>
    </w:r>
    <w:r>
      <w:rPr>
        <w:rFonts w:ascii="Arial" w:cs="Arial" w:eastAsia="Arial" w:hAnsi="Arial"/>
        <w:b/>
        <w:bCs/>
        <w:color w:val="1F386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pBdr>
      <w:tabs>
        <w:tab w:val="right" w:pos="9026"/>
      </w:tabs>
    </w:pPr>
    <w:r>
      <w:rPr>
        <w:rFonts w:ascii="Arial" w:cs="Arial" w:eastAsia="Arial" w:hAnsi="Arial"/>
        <w:color w:val="2E75B6"/>
        <w:sz w:val="18"/>
        <w:szCs w:val="18"/>
      </w:rPr>
      <w:t xml:space="preserve">CAISA™ Level 1  |  Chapter 8: Responsible AI, Fairness, Bias &amp; AI Governance</w:t>
    </w:r>
    <w:r>
      <w:rPr>
        <w:rFonts w:ascii="Arial" w:cs="Arial" w:eastAsia="Arial" w:hAnsi="Arial"/>
        <w:color w:val="595959"/>
        <w:sz w:val="18"/>
        <w:szCs w:val="18"/>
      </w:rPr>
      <w:t xml:space="preserve">	© SaamSoft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pBd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80"/>
      <w:outlineLvl w:val="2"/>
    </w:pPr>
    <w:rPr>
      <w:rFonts w:ascii="Arial" w:cs="Arial" w:eastAsia="Arial" w:hAnsi="Arial"/>
      <w:b/>
      <w:bCs/>
      <w:color w:val="1A6B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2026-02-22T09:03:41.126Z</dcterms:created>
  <dcterms:modified xsi:type="dcterms:W3CDTF">2026-02-22T09:03:41.127Z</dcterms:modified>
</cp:coreProperties>
</file>

<file path=docProps/custom.xml><?xml version="1.0" encoding="utf-8"?>
<Properties xmlns="http://schemas.openxmlformats.org/officeDocument/2006/custom-properties" xmlns:vt="http://schemas.openxmlformats.org/officeDocument/2006/docPropsVTypes"/>
</file>