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aps/>
          <w:color w:val="2E75B6"/>
          <w:sz w:val="20"/>
          <w:szCs w:val="20"/>
        </w:rPr>
        <w:t xml:space="preserve">CAISA™ LEVEL 1  |  CHAPTER 9 OF 48  |  WEEK 4</w:t>
      </w:r>
    </w:p>
    <w:p>
      <w:pPr>
        <w:spacing w:after="40"/>
        <w:jc w:val="center"/>
      </w:pPr>
      <w:r>
        <w:rPr>
          <w:rFonts w:ascii="Arial" w:cs="Arial" w:eastAsia="Arial" w:hAnsi="Arial"/>
          <w:b/>
          <w:bCs/>
          <w:color w:val="1F3864"/>
          <w:sz w:val="48"/>
          <w:szCs w:val="48"/>
        </w:rPr>
        <w:t xml:space="preserve">Explainable AI (XAI)</w:t>
      </w:r>
    </w:p>
    <w:p>
      <w:pPr>
        <w:spacing w:after="40"/>
        <w:jc w:val="center"/>
      </w:pPr>
      <w:r>
        <w:rPr>
          <w:rFonts w:ascii="Arial" w:cs="Arial" w:eastAsia="Arial" w:hAnsi="Arial"/>
          <w:b/>
          <w:bCs/>
          <w:color w:val="2E75B6"/>
          <w:sz w:val="34"/>
          <w:szCs w:val="34"/>
        </w:rPr>
        <w:t xml:space="preserve">LIME  ·  SHAP  ·  Integrated Gradients</w:t>
      </w:r>
    </w:p>
    <w:p>
      <w:pPr>
        <w:spacing w:after="200"/>
        <w:jc w:val="center"/>
      </w:pPr>
      <w:r>
        <w:rPr>
          <w:rFonts w:ascii="Arial" w:cs="Arial" w:eastAsia="Arial" w:hAnsi="Arial"/>
          <w:b/>
          <w:bCs/>
          <w:color w:val="C9A227"/>
          <w:sz w:val="28"/>
          <w:szCs w:val="28"/>
        </w:rPr>
        <w:t xml:space="preserve">Attention  ·  Counterfactuals  ·  Model Cards</w:t>
      </w:r>
    </w:p>
    <w:p>
      <w:pPr>
        <w:spacing w:after="200"/>
        <w:jc w:val="center"/>
      </w:pPr>
      <w:r>
        <w:rPr>
          <w:rFonts w:ascii="Arial" w:cs="Arial" w:eastAsia="Arial" w:hAnsi="Arial"/>
          <w:color w:val="595959"/>
          <w:sz w:val="19"/>
          <w:szCs w:val="19"/>
        </w:rPr>
        <w:t xml:space="preserve">Local vs Global · GDPR Right to Explanation · EU AI Act Art.13 Transparency · ECOA Adverse Action · Regulatory XAI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tcPr>
          <w:p>
            <w:pPr>
              <w:spacing w:after="40"/>
              <w:jc w:val="center"/>
            </w:pPr>
            <w:r>
              <w:rPr>
                <w:rFonts w:ascii="Arial" w:cs="Arial" w:eastAsia="Arial" w:hAnsi="Arial"/>
                <w:b/>
                <w:bCs/>
                <w:color w:val="1F3864"/>
                <w:sz w:val="19"/>
                <w:szCs w:val="19"/>
              </w:rPr>
              <w:t xml:space="preserve">⏱ 3 Hours</w:t>
            </w:r>
          </w:p>
          <w:p>
            <w:pPr>
              <w:spacing w:after="0"/>
              <w:jc w:val="center"/>
            </w:pPr>
            <w:r>
              <w:rPr>
                <w:rFonts w:ascii="Arial" w:cs="Arial" w:eastAsia="Arial" w:hAnsi="Arial"/>
                <w:b/>
                <w:bCs/>
                <w:color w:val="2E75B6"/>
                <w:sz w:val="20"/>
                <w:szCs w:val="20"/>
              </w:rPr>
              <w:t xml:space="preserve">Study Time</w:t>
            </w:r>
          </w:p>
        </w:tc>
        <w:tc>
          <w:tcPr>
            <w:tcW w:type="dxa" w:w="234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tcPr>
          <w:p>
            <w:pPr>
              <w:spacing w:after="40"/>
              <w:jc w:val="center"/>
            </w:pPr>
            <w:r>
              <w:rPr>
                <w:rFonts w:ascii="Arial" w:cs="Arial" w:eastAsia="Arial" w:hAnsi="Arial"/>
                <w:b/>
                <w:bCs/>
                <w:color w:val="1F3864"/>
                <w:sz w:val="19"/>
                <w:szCs w:val="19"/>
              </w:rPr>
              <w:t xml:space="preserve">📋 10 Cases</w:t>
            </w:r>
          </w:p>
          <w:p>
            <w:pPr>
              <w:spacing w:after="0"/>
              <w:jc w:val="center"/>
            </w:pPr>
            <w:r>
              <w:rPr>
                <w:rFonts w:ascii="Arial" w:cs="Arial" w:eastAsia="Arial" w:hAnsi="Arial"/>
                <w:b/>
                <w:bCs/>
                <w:color w:val="2E75B6"/>
                <w:sz w:val="20"/>
                <w:szCs w:val="20"/>
              </w:rPr>
              <w:t xml:space="preserve">5 EU + 5 NA</w:t>
            </w:r>
          </w:p>
        </w:tc>
        <w:tc>
          <w:tcPr>
            <w:tcW w:type="dxa" w:w="234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tcPr>
          <w:p>
            <w:pPr>
              <w:spacing w:after="40"/>
              <w:jc w:val="center"/>
            </w:pPr>
            <w:r>
              <w:rPr>
                <w:rFonts w:ascii="Arial" w:cs="Arial" w:eastAsia="Arial" w:hAnsi="Arial"/>
                <w:b/>
                <w:bCs/>
                <w:color w:val="1F3864"/>
                <w:sz w:val="19"/>
                <w:szCs w:val="19"/>
              </w:rPr>
              <w:t xml:space="preserve">🌍 DE·GB·FR·ES·SE·US·CA</w:t>
            </w:r>
          </w:p>
          <w:p>
            <w:pPr>
              <w:spacing w:after="0"/>
              <w:jc w:val="center"/>
            </w:pPr>
            <w:r>
              <w:rPr>
                <w:rFonts w:ascii="Arial" w:cs="Arial" w:eastAsia="Arial" w:hAnsi="Arial"/>
                <w:b/>
                <w:bCs/>
                <w:color w:val="2E75B6"/>
                <w:sz w:val="20"/>
                <w:szCs w:val="20"/>
              </w:rPr>
              <w:t xml:space="preserve">Jurisdictions</w:t>
            </w:r>
          </w:p>
        </w:tc>
        <w:tc>
          <w:tcPr>
            <w:tcW w:type="dxa" w:w="234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tcPr>
          <w:p>
            <w:pPr>
              <w:spacing w:after="40"/>
              <w:jc w:val="center"/>
            </w:pPr>
            <w:r>
              <w:rPr>
                <w:rFonts w:ascii="Arial" w:cs="Arial" w:eastAsia="Arial" w:hAnsi="Arial"/>
                <w:b/>
                <w:bCs/>
                <w:color w:val="1F3864"/>
                <w:sz w:val="19"/>
                <w:szCs w:val="19"/>
              </w:rPr>
              <w:t xml:space="preserve">📅 Week 4 · Ch.9/48</w:t>
            </w:r>
          </w:p>
          <w:p>
            <w:pPr>
              <w:spacing w:after="0"/>
              <w:jc w:val="center"/>
            </w:pPr>
            <w:r>
              <w:rPr>
                <w:rFonts w:ascii="Arial" w:cs="Arial" w:eastAsia="Arial" w:hAnsi="Arial"/>
                <w:b/>
                <w:bCs/>
                <w:color w:val="2E75B6"/>
                <w:sz w:val="20"/>
                <w:szCs w:val="20"/>
              </w:rPr>
              <w:t xml:space="preserve">Programme</w:t>
            </w:r>
          </w:p>
        </w:tc>
      </w:tr>
    </w:tbl>
    <w:p>
      <w:pPr>
        <w:spacing w:after="80"/>
      </w:pPr>
      <w:r>
        <w:t xml:space="preserve"/>
      </w:r>
    </w:p>
    <w:p>
      <w:pPr>
        <w:spacing w:after="80"/>
      </w:pPr>
      <w:r>
        <w:t xml:space="preserve"/>
      </w:r>
    </w:p>
    <w:p>
      <w:pPr>
        <w:pStyle w:val="Heading1"/>
      </w:pPr>
      <w:r>
        <w:rPr>
          <w:rFonts w:ascii="Arial" w:cs="Arial" w:eastAsia="Arial" w:hAnsi="Arial"/>
          <w:b/>
          <w:bCs/>
          <w:color w:val="1F3864"/>
          <w:sz w:val="32"/>
          <w:szCs w:val="32"/>
        </w:rPr>
        <w:t xml:space="preserve">Learning Objectives</w:t>
      </w:r>
    </w:p>
    <w:p>
      <w:pPr>
        <w:spacing w:after="120"/>
      </w:pPr>
      <w:r>
        <w:rPr>
          <w:rFonts w:ascii="Arial" w:cs="Arial" w:eastAsia="Arial" w:hAnsi="Arial"/>
          <w:color w:val="595959"/>
          <w:sz w:val="21"/>
          <w:szCs w:val="21"/>
        </w:rPr>
        <w:t xml:space="preserve">On completion of Chapter 9, the CAISA™ Level 1 candidate will be able to:</w:t>
      </w:r>
    </w:p>
    <w:p>
      <w:pPr>
        <w:pStyle w:val="ListParagraph"/>
        <w:numPr>
          <w:ilvl w:val="0"/>
          <w:numId w:val="2"/>
        </w:numPr>
        <w:spacing w:after="80"/>
      </w:pPr>
      <w:r>
        <w:rPr>
          <w:rFonts w:ascii="Arial" w:cs="Arial" w:eastAsia="Arial" w:hAnsi="Arial"/>
          <w:color w:val="595959"/>
          <w:sz w:val="21"/>
          <w:szCs w:val="21"/>
        </w:rPr>
        <w:t xml:space="preserve">Define global vs local explainability; model-agnostic vs model-specific; post-hoc vs intrinsic; feature attribution vs counterfactual vs example-based explanations</w:t>
      </w:r>
    </w:p>
    <w:p>
      <w:pPr>
        <w:pStyle w:val="ListParagraph"/>
        <w:numPr>
          <w:ilvl w:val="0"/>
          <w:numId w:val="2"/>
        </w:numPr>
        <w:spacing w:after="80"/>
      </w:pPr>
      <w:r>
        <w:rPr>
          <w:rFonts w:ascii="Arial" w:cs="Arial" w:eastAsia="Arial" w:hAnsi="Arial"/>
          <w:color w:val="595959"/>
          <w:sz w:val="21"/>
          <w:szCs w:val="21"/>
        </w:rPr>
        <w:t xml:space="preserve">Describe and apply LIME: local surrogate mechanics, perturbation sampling, proximity weighting, sparse linear fitting, and adverse action translation for ECOA Reg B compliance</w:t>
      </w:r>
    </w:p>
    <w:p>
      <w:pPr>
        <w:pStyle w:val="ListParagraph"/>
        <w:numPr>
          <w:ilvl w:val="0"/>
          <w:numId w:val="2"/>
        </w:numPr>
        <w:spacing w:after="80"/>
      </w:pPr>
      <w:r>
        <w:rPr>
          <w:rFonts w:ascii="Arial" w:cs="Arial" w:eastAsia="Arial" w:hAnsi="Arial"/>
          <w:color w:val="595959"/>
          <w:sz w:val="21"/>
          <w:szCs w:val="21"/>
        </w:rPr>
        <w:t xml:space="preserve">Describe and apply SHAP: Shapley value axioms (efficiency, symmetry, dummy, additivity), KernelSHAP, TreeSHAP, DeepSHAP; produce force plots, summary plots, and waterfall plots</w:t>
      </w:r>
    </w:p>
    <w:p>
      <w:pPr>
        <w:pStyle w:val="ListParagraph"/>
        <w:numPr>
          <w:ilvl w:val="0"/>
          <w:numId w:val="2"/>
        </w:numPr>
        <w:spacing w:after="80"/>
      </w:pPr>
      <w:r>
        <w:rPr>
          <w:rFonts w:ascii="Arial" w:cs="Arial" w:eastAsia="Arial" w:hAnsi="Arial"/>
          <w:color w:val="595959"/>
          <w:sz w:val="21"/>
          <w:szCs w:val="21"/>
        </w:rPr>
        <w:t xml:space="preserve">Explain Integrated Gradients: path integral formulation, completeness and sensitivity axioms, baseline choice, approximation via Riemann sum, and application to CNN/transformer models</w:t>
      </w:r>
    </w:p>
    <w:p>
      <w:pPr>
        <w:pStyle w:val="ListParagraph"/>
        <w:numPr>
          <w:ilvl w:val="0"/>
          <w:numId w:val="2"/>
        </w:numPr>
        <w:spacing w:after="80"/>
      </w:pPr>
      <w:r>
        <w:rPr>
          <w:rFonts w:ascii="Arial" w:cs="Arial" w:eastAsia="Arial" w:hAnsi="Arial"/>
          <w:color w:val="595959"/>
          <w:sz w:val="21"/>
          <w:szCs w:val="21"/>
        </w:rPr>
        <w:t xml:space="preserve">Evaluate attention mechanisms as explanation: self-attention scores, Jain &amp; Wallace (2019) critique, gradient-weighted attention, and Attention Rollout (Abnar &amp; Zuidema 2020)</w:t>
      </w:r>
    </w:p>
    <w:p>
      <w:pPr>
        <w:pStyle w:val="ListParagraph"/>
        <w:numPr>
          <w:ilvl w:val="0"/>
          <w:numId w:val="2"/>
        </w:numPr>
        <w:spacing w:after="80"/>
      </w:pPr>
      <w:r>
        <w:rPr>
          <w:rFonts w:ascii="Arial" w:cs="Arial" w:eastAsia="Arial" w:hAnsi="Arial"/>
          <w:color w:val="595959"/>
          <w:sz w:val="21"/>
          <w:szCs w:val="21"/>
        </w:rPr>
        <w:t xml:space="preserve">Design counterfactual explanations using DiCE: proximity + diversity + feasibility objective, actionability constraints, and alignment with GDPR Art.22 and EU AI Act Art.13</w:t>
      </w:r>
    </w:p>
    <w:p>
      <w:pPr>
        <w:pStyle w:val="ListParagraph"/>
        <w:numPr>
          <w:ilvl w:val="0"/>
          <w:numId w:val="2"/>
        </w:numPr>
        <w:spacing w:after="80"/>
      </w:pPr>
      <w:r>
        <w:rPr>
          <w:rFonts w:ascii="Arial" w:cs="Arial" w:eastAsia="Arial" w:hAnsi="Arial"/>
          <w:color w:val="595959"/>
          <w:sz w:val="21"/>
          <w:szCs w:val="21"/>
        </w:rPr>
        <w:t xml:space="preserve">Produce and evaluate Model Cards (Mitchell et al. 2019): all 9 sections, EU AI Act Annex IV alignment, and GPAI technical documentation requirements</w:t>
      </w:r>
    </w:p>
    <w:p>
      <w:pPr>
        <w:pStyle w:val="ListParagraph"/>
        <w:numPr>
          <w:ilvl w:val="0"/>
          <w:numId w:val="2"/>
        </w:numPr>
        <w:spacing w:after="80"/>
      </w:pPr>
      <w:r>
        <w:rPr>
          <w:rFonts w:ascii="Arial" w:cs="Arial" w:eastAsia="Arial" w:hAnsi="Arial"/>
          <w:color w:val="595959"/>
          <w:sz w:val="21"/>
          <w:szCs w:val="21"/>
        </w:rPr>
        <w:t xml:space="preserve">Map XAI to regulatory requirements: EU AI Act Art.13, GDPR Art.22, ECOA Reg B, EBA GL/2020/06, OSFI E-23, FDA SaMD — and select appropriate XAI technique per regulatory context</w:t>
      </w:r>
    </w:p>
    <w:p>
      <w:pPr>
        <w:spacing w:after="80"/>
      </w:pPr>
      <w:r>
        <w:t xml:space="preserve"/>
      </w:r>
    </w:p>
    <w:p>
      <w:r>
        <w:br w:type="page"/>
      </w:r>
    </w:p>
    <w:p>
      <w:pPr>
        <w:pStyle w:val="Heading1"/>
      </w:pPr>
      <w:r>
        <w:rPr>
          <w:rFonts w:ascii="Arial" w:cs="Arial" w:eastAsia="Arial" w:hAnsi="Arial"/>
          <w:b/>
          <w:bCs/>
          <w:color w:val="1F3864"/>
          <w:sz w:val="32"/>
          <w:szCs w:val="32"/>
        </w:rPr>
        <w:t xml:space="preserve">9.1  XAI Taxonomy — Scope and Definitions</w:t>
      </w:r>
    </w:p>
    <w:p>
      <w:pPr>
        <w:pStyle w:val="Heading2"/>
      </w:pPr>
      <w:r>
        <w:rPr>
          <w:rFonts w:ascii="Arial" w:cs="Arial" w:eastAsia="Arial" w:hAnsi="Arial"/>
          <w:b/>
          <w:bCs/>
          <w:color w:val="2E75B6"/>
          <w:sz w:val="26"/>
          <w:szCs w:val="26"/>
        </w:rPr>
        <w:t xml:space="preserve">9.1.1  Why Explainability Matters</w:t>
      </w:r>
    </w:p>
    <w:p>
      <w:pPr>
        <w:spacing w:after="120"/>
      </w:pPr>
      <w:r>
        <w:rPr>
          <w:rFonts w:ascii="Arial" w:cs="Arial" w:eastAsia="Arial" w:hAnsi="Arial"/>
          <w:color w:val="595959"/>
          <w:sz w:val="21"/>
          <w:szCs w:val="21"/>
        </w:rPr>
        <w:t xml:space="preserve">Black-box AI creates two enterprise risks: (1) Regulatory non-compliance — EU AI Act Art.13 requires 'transparent and interpretable' outputs for high-risk AI; GDPR Art.22(3) requires 'meaningful information about the logic involved'; ECOA Reg B requires 'specific reasons' for credit adverse action. (2) Operational risk — unexplainable models cannot be debugged, audited, or trusted in high-stakes decisions. XAI bridges the gap between predictive performance and human understanding.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Dimension</w:t>
            </w:r>
          </w:p>
        </w:tc>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Category</w:t>
            </w:r>
          </w:p>
        </w:tc>
        <w:tc>
          <w:tcPr>
            <w:tcW w:type="dxa" w:w="4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Description &amp; Enterprise Examples</w:t>
            </w:r>
          </w:p>
        </w:tc>
      </w:tr>
      <w:tr>
        <w:tc>
          <w:tcPr>
            <w:tcW w:type="dxa" w:w="2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Scope</w:t>
            </w:r>
          </w:p>
        </w:tc>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Global Explainability</w:t>
            </w:r>
          </w:p>
        </w:tc>
        <w:tc>
          <w:tcPr>
            <w:tcW w:type="dxa" w:w="47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Explains overall model behaviour: feature importance, partial dependence plots, SHAP summary plots. 'What does the model generally care about?'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Scope</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Local Explainability</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Explains individual predictions: LIME, SHAP force plots, counterfactuals. 'Why was this specific customer denied?'</w:t>
            </w:r>
          </w:p>
        </w:tc>
      </w:tr>
      <w:tr>
        <w:tc>
          <w:tcPr>
            <w:tcW w:type="dxa" w:w="2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Model Dependence</w:t>
            </w:r>
          </w:p>
        </w:tc>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Model-Agnostic</w:t>
            </w:r>
          </w:p>
        </w:tc>
        <w:tc>
          <w:tcPr>
            <w:tcW w:type="dxa" w:w="47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Works with any black-box: LIME, KernelSHAP, counterfactuals. Applied post-hoc to any predictor.</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Model Dependence</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Model-Specific</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Exploits model structure: TreeSHAP (trees), DeepSHAP/IG (neural nets), attention (transformers). Faster and exact.</w:t>
            </w:r>
          </w:p>
        </w:tc>
      </w:tr>
      <w:tr>
        <w:tc>
          <w:tcPr>
            <w:tcW w:type="dxa" w:w="2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Timing</w:t>
            </w:r>
          </w:p>
        </w:tc>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Post-hoc</w:t>
            </w:r>
          </w:p>
        </w:tc>
        <w:tc>
          <w:tcPr>
            <w:tcW w:type="dxa" w:w="47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Explain after training: LIME, SHAP, IG. Most common enterprise pattern.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Timing</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Intrinsic</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Use interpretable model: logistic regression, decision tree. Sacrifices performance for transparency.</w:t>
            </w:r>
          </w:p>
        </w:tc>
      </w:tr>
      <w:tr>
        <w:tc>
          <w:tcPr>
            <w:tcW w:type="dxa" w:w="2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Output</w:t>
            </w:r>
          </w:p>
        </w:tc>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Feature Attribution</w:t>
            </w:r>
          </w:p>
        </w:tc>
        <w:tc>
          <w:tcPr>
            <w:tcW w:type="dxa" w:w="47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Assign importance scores to input features: SHAP values, LIME coefficients, IG attributions.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Output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Counterfactual</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'Minimal change to input that changes output?': DiCE (Diverse Counterfactual Explanations).</w:t>
            </w:r>
          </w:p>
        </w:tc>
      </w:tr>
      <w:tr>
        <w:tc>
          <w:tcPr>
            <w:tcW w:type="dxa" w:w="2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Output</w:t>
            </w:r>
          </w:p>
        </w:tc>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Example-Based</w:t>
            </w:r>
          </w:p>
        </w:tc>
        <w:tc>
          <w:tcPr>
            <w:tcW w:type="dxa" w:w="47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Identify similar training examples: k-NN explanations, prototypes, ProtoDash.</w:t>
            </w:r>
          </w:p>
        </w:tc>
      </w:tr>
    </w:tbl>
    <w:p>
      <w:pPr>
        <w:spacing w:after="80"/>
      </w:pPr>
      <w:r>
        <w:t xml:space="preserve"/>
      </w:r>
    </w:p>
    <w:p>
      <w:pPr>
        <w:spacing w:after="80"/>
      </w:pPr>
      <w:r>
        <w:t xml:space="preserve"/>
      </w:r>
    </w:p>
    <w:p>
      <w:r>
        <w:br w:type="page"/>
      </w:r>
    </w:p>
    <w:p>
      <w:pPr>
        <w:pStyle w:val="Heading1"/>
      </w:pPr>
      <w:r>
        <w:rPr>
          <w:rFonts w:ascii="Arial" w:cs="Arial" w:eastAsia="Arial" w:hAnsi="Arial"/>
          <w:b/>
          <w:bCs/>
          <w:color w:val="1F3864"/>
          <w:sz w:val="32"/>
          <w:szCs w:val="32"/>
        </w:rPr>
        <w:t xml:space="preserve">9.2  LIME — Local Interpretable Model-Agnostic Explanations</w:t>
      </w:r>
    </w:p>
    <w:p>
      <w:pPr>
        <w:pStyle w:val="Heading2"/>
      </w:pPr>
      <w:r>
        <w:rPr>
          <w:rFonts w:ascii="Arial" w:cs="Arial" w:eastAsia="Arial" w:hAnsi="Arial"/>
          <w:b/>
          <w:bCs/>
          <w:color w:val="2E75B6"/>
          <w:sz w:val="26"/>
          <w:szCs w:val="26"/>
        </w:rPr>
        <w:t xml:space="preserve">9.2.1  LIME Algorithm (Ribeiro et al., 2016)</w:t>
      </w:r>
    </w:p>
    <w:p>
      <w:pPr>
        <w:spacing w:after="120"/>
      </w:pPr>
      <w:r>
        <w:rPr>
          <w:rFonts w:ascii="Arial" w:cs="Arial" w:eastAsia="Arial" w:hAnsi="Arial"/>
          <w:color w:val="595959"/>
          <w:sz w:val="21"/>
          <w:szCs w:val="21"/>
        </w:rPr>
        <w:t xml:space="preserve">LIME fits a locally faithful linear model around any individual prediction. The key insight: even if the global model is a complex neural network or gradient boosted tree, a simple linear model is often a good approximation in a small neighbourhood of any individual input 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0F1F38" w:val="clear"/>
            <w:tcMar>
              <w:top w:type="dxa" w:w="120"/>
              <w:left w:type="dxa" w:w="200"/>
              <w:bottom w:type="dxa" w:w="120"/>
              <w:right w:type="dxa" w:w="120"/>
            </w:tcMar>
          </w:tcPr>
          <w:p>
            <w:pPr>
              <w:spacing w:after="0"/>
            </w:pPr>
            <w:r>
              <w:rPr>
                <w:rFonts w:ascii="Courier New" w:cs="Courier New" w:eastAsia="Courier New" w:hAnsi="Courier New"/>
                <w:color w:val="AED6F1"/>
                <w:sz w:val="19"/>
                <w:szCs w:val="19"/>
              </w:rPr>
              <w:t xml:space="preserve">LIME Optimisation Objective (Ribeiro et al., 2016):
  ξ(x) = arg min_{g ∈ G} L(f, g, π_x) + Ω(g)
  f   = black-box model (neural net, GBM, random forest, etc.)
  g   = interpretable surrogate (sparse linear model, depth-limited decision tree)
  G   = class of interpretable models
  π_x = proximity measure: π_x(z) = exp(−D(x,z)² / σ²)  [exponential kernel]
  L   = fidelity loss: how well g approximates f near x
  Ω(g) = complexity penalty: number of non-zero features in g
Algorithm — 3 Steps:
  Step 1: PERTURB — generate N=1,000–5,000 samples z' around x
    Tabular: randomly zero-out or replace features
    Text: randomly remove words (binary mask)
    Image: randomly occlude superpixels (SLIC segmentation)
  Step 2: WEIGHT — compute π_x(z') for each perturbed sample
    D(x,z) = cosine distance (text) or L2 distance (tabular/image)
    Nearby samples → high weight; distant → near-zero weight
  Step 3: FIT — train weighted sparse linear model
    min Σᵢ π_x(zᵢ') · (f(zᵢ') − g(zᵢ'))²   subject to |g|₀ ≤ K
    Output: K feature coefficients = local explanation for instance x
    Typical K = 4–6 features for enterprise adverse action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FFFFFF" w:sz="1"/>
              <w:left w:val="single" w:color="FFFFFF" w:sz="1"/>
              <w:bottom w:val="single" w:color="FFFFFF" w:sz="1"/>
              <w:right w:val="single" w:color="FFFFFF" w:sz="1"/>
            </w:tcBorders>
            <w:shd w:fill="C9A227" w:val="clear"/>
            <w:tcMar>
              <w:top w:type="dxa" w:w="80"/>
              <w:left w:type="dxa" w:w="80"/>
              <w:bottom w:type="dxa" w:w="80"/>
              <w:right w:type="dxa" w:w="60"/>
            </w:tcMar>
          </w:tcPr>
          <w:p>
            <w:pPr>
              <w:spacing w:after="0"/>
            </w:pPr>
            <w:r>
              <w:rPr>
                <w:rFonts w:ascii="Arial" w:cs="Arial" w:eastAsia="Arial" w:hAnsi="Arial"/>
                <w:b/>
                <w:bCs/>
                <w:color w:val="FFFFFF"/>
                <w:sz w:val="16"/>
                <w:szCs w:val="16"/>
              </w:rPr>
              <w:t xml:space="preserve">ECOA REG B</w:t>
            </w:r>
          </w:p>
        </w:tc>
        <w:tc>
          <w:tcPr>
            <w:tcW w:type="dxa" w:w="9080"/>
            <w:tcBorders>
              <w:top w:val="single" w:color="FFFFFF" w:sz="1"/>
              <w:left w:val="single" w:color="FFFFFF" w:sz="1"/>
              <w:bottom w:val="single" w:color="FFFFFF" w:sz="1"/>
              <w:right w:val="single" w:color="FFFFFF" w:sz="1"/>
            </w:tcBorders>
            <w:shd w:fill="FEF9E7" w:val="clear"/>
            <w:tcMar>
              <w:top w:type="dxa" w:w="80"/>
              <w:left w:type="dxa" w:w="120"/>
              <w:bottom w:type="dxa" w:w="80"/>
              <w:right w:type="dxa" w:w="120"/>
            </w:tcMar>
          </w:tcPr>
          <w:p>
            <w:pPr>
              <w:spacing w:after="0"/>
            </w:pPr>
            <w:r>
              <w:rPr>
                <w:rFonts w:ascii="Arial" w:cs="Arial" w:eastAsia="Arial" w:hAnsi="Arial"/>
                <w:color w:val="595959"/>
                <w:sz w:val="20"/>
                <w:szCs w:val="20"/>
              </w:rPr>
              <w:t xml:space="preserve">LIME output for credit denial: {income: −0.31, employment_months: −0.18, credit_utilisation: −0.29, num_inquiries: −0.12}. Mapped to Reg B codes: (1) 'Income insufficient for requested credit amount', (2) 'Length of employment', (3) 'Proportion of balances to credit limits is too high', (4) 'Too many enquiries in last 12 months'. Satisfies CFPB adverse action specificity requirement without exposing model internals.</w:t>
            </w:r>
          </w:p>
        </w:tc>
      </w:tr>
    </w:tbl>
    <w:p>
      <w:pPr>
        <w:spacing w:after="80"/>
      </w:pPr>
      <w:r>
        <w:t xml:space="preserve"/>
      </w:r>
    </w:p>
    <w:p>
      <w:pPr>
        <w:pStyle w:val="Heading2"/>
      </w:pPr>
      <w:r>
        <w:rPr>
          <w:rFonts w:ascii="Arial" w:cs="Arial" w:eastAsia="Arial" w:hAnsi="Arial"/>
          <w:b/>
          <w:bCs/>
          <w:color w:val="2E75B6"/>
          <w:sz w:val="26"/>
          <w:szCs w:val="26"/>
        </w:rPr>
        <w:t xml:space="preserve">9.2.2  LIME Limitations</w:t>
      </w:r>
    </w:p>
    <w:p>
      <w:pPr>
        <w:pStyle w:val="ListParagraph"/>
        <w:numPr>
          <w:ilvl w:val="0"/>
          <w:numId w:val="3"/>
        </w:numPr>
        <w:spacing w:after="80"/>
      </w:pPr>
      <w:r>
        <w:rPr>
          <w:rFonts w:ascii="Arial" w:cs="Arial" w:eastAsia="Arial" w:hAnsi="Arial"/>
          <w:color w:val="595959"/>
          <w:sz w:val="21"/>
          <w:szCs w:val="21"/>
        </w:rPr>
        <w:t xml:space="preserve">Instability: explanations can change significantly with different random seeds or perturbation samples — not suitable for high-stakes decisions without averaging across multiple runs</w:t>
      </w:r>
    </w:p>
    <w:p>
      <w:pPr>
        <w:pStyle w:val="ListParagraph"/>
        <w:numPr>
          <w:ilvl w:val="0"/>
          <w:numId w:val="3"/>
        </w:numPr>
        <w:spacing w:after="80"/>
      </w:pPr>
      <w:r>
        <w:rPr>
          <w:rFonts w:ascii="Arial" w:cs="Arial" w:eastAsia="Arial" w:hAnsi="Arial"/>
          <w:color w:val="595959"/>
          <w:sz w:val="21"/>
          <w:szCs w:val="21"/>
        </w:rPr>
        <w:t xml:space="preserve">Neighbourhood sensitivity: choice of kernel width σ and distance metric D greatly affects which region is 'local' — no principled selection method</w:t>
      </w:r>
    </w:p>
    <w:p>
      <w:pPr>
        <w:pStyle w:val="ListParagraph"/>
        <w:numPr>
          <w:ilvl w:val="0"/>
          <w:numId w:val="3"/>
        </w:numPr>
        <w:spacing w:after="80"/>
      </w:pPr>
      <w:r>
        <w:rPr>
          <w:rFonts w:ascii="Arial" w:cs="Arial" w:eastAsia="Arial" w:hAnsi="Arial"/>
          <w:color w:val="595959"/>
          <w:sz w:val="21"/>
          <w:szCs w:val="21"/>
        </w:rPr>
        <w:t xml:space="preserve">Fidelity vs completeness: K=5 feature linear explanation may miss important global interactions; increasing K reduces interpretability</w:t>
      </w:r>
    </w:p>
    <w:p>
      <w:pPr>
        <w:pStyle w:val="ListParagraph"/>
        <w:numPr>
          <w:ilvl w:val="0"/>
          <w:numId w:val="3"/>
        </w:numPr>
        <w:spacing w:after="80"/>
      </w:pPr>
      <w:r>
        <w:rPr>
          <w:rFonts w:ascii="Arial" w:cs="Arial" w:eastAsia="Arial" w:hAnsi="Arial"/>
          <w:color w:val="595959"/>
          <w:sz w:val="21"/>
          <w:szCs w:val="21"/>
        </w:rPr>
        <w:t xml:space="preserve">Superpixel dependence (images): explanations depend heavily on SLIC segmentation choice</w:t>
      </w:r>
    </w:p>
    <w:p>
      <w:pPr>
        <w:spacing w:after="80"/>
      </w:pPr>
      <w:r>
        <w:t xml:space="preserve"/>
      </w:r>
    </w:p>
    <w:p>
      <w:pPr>
        <w:spacing w:after="80"/>
      </w:pPr>
      <w:r>
        <w:t xml:space="preserve"/>
      </w:r>
    </w:p>
    <w:p>
      <w:r>
        <w:br w:type="page"/>
      </w:r>
    </w:p>
    <w:p>
      <w:pPr>
        <w:pStyle w:val="Heading1"/>
      </w:pPr>
      <w:r>
        <w:rPr>
          <w:rFonts w:ascii="Arial" w:cs="Arial" w:eastAsia="Arial" w:hAnsi="Arial"/>
          <w:b/>
          <w:bCs/>
          <w:color w:val="1F3864"/>
          <w:sz w:val="32"/>
          <w:szCs w:val="32"/>
        </w:rPr>
        <w:t xml:space="preserve">9.3  SHAP — SHapley Additive exPlanations</w:t>
      </w:r>
    </w:p>
    <w:p>
      <w:pPr>
        <w:pStyle w:val="Heading2"/>
      </w:pPr>
      <w:r>
        <w:rPr>
          <w:rFonts w:ascii="Arial" w:cs="Arial" w:eastAsia="Arial" w:hAnsi="Arial"/>
          <w:b/>
          <w:bCs/>
          <w:color w:val="2E75B6"/>
          <w:sz w:val="26"/>
          <w:szCs w:val="26"/>
        </w:rPr>
        <w:t xml:space="preserve">9.3.1  Shapley Values — Game Theory Foundation (Lundberg &amp; Lee, 2017)</w:t>
      </w:r>
    </w:p>
    <w:p>
      <w:pPr>
        <w:spacing w:after="120"/>
      </w:pPr>
      <w:r>
        <w:rPr>
          <w:rFonts w:ascii="Arial" w:cs="Arial" w:eastAsia="Arial" w:hAnsi="Arial"/>
          <w:color w:val="595959"/>
          <w:sz w:val="21"/>
          <w:szCs w:val="21"/>
        </w:rPr>
        <w:t xml:space="preserve">Shapley values (Lloyd Shapley, 1953 — Nobel Prize in Economics 2012) are the unique fair credit allocation in cooperative game theory. SHAP applies Shapley values to ML feature attribution: each feature's Shapley value is its average marginal contribution to the prediction across all possible feature coalitions.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0F1F38" w:val="clear"/>
            <w:tcMar>
              <w:top w:type="dxa" w:w="120"/>
              <w:left w:type="dxa" w:w="200"/>
              <w:bottom w:type="dxa" w:w="120"/>
              <w:right w:type="dxa" w:w="120"/>
            </w:tcMar>
          </w:tcPr>
          <w:p>
            <w:pPr>
              <w:spacing w:after="0"/>
            </w:pPr>
            <w:r>
              <w:rPr>
                <w:rFonts w:ascii="Courier New" w:cs="Courier New" w:eastAsia="Courier New" w:hAnsi="Courier New"/>
                <w:color w:val="AED6F1"/>
                <w:sz w:val="19"/>
                <w:szCs w:val="19"/>
              </w:rPr>
              <w:t xml:space="preserve">Shapley Value Formula:
  φᵢ(f,x) = Σ_{S⊆F\{i}} [ |S|!(|F|−|S|−1)! / |F|! ] · [f(S∪{i}) − f(S)]
  φᵢ  = SHAP value of feature i (its fair attribution)
  F   = full set of features
  S   = subset of features not containing i
  f(S) = model output with features in S (others marginalised)
  f(S∪{i}) − f(S) = marginal contribution of feature i to coalition S
Four Shapley Axioms (guarantee uniqueness):
  1. Efficiency:   Σᵢ φᵢ = f(x) − E[f(x)]       [sum to prediction minus baseline]
  2. Symmetry:    f(S∪{i}) = f(S∪{j}) ∀S ⟹ φᵢ=φⱼ  [equal features, equal credit]
  3. Dummy:       f(S∪{i}) = f(S) ∀S ⟹ φᵢ = 0    [irrelevant features get zero]
  4. Additivity:  φᵢ(f+g) = φᵢ(f) + φᵢ(g)        [additivity over models]
SHAP Additive Explanation (efficiency axiom):
  f(x) = E[f(x)]  +  φ₁  +  φ₂  +  ...  +  φₙ
         [baseline]   [feature 1]  ...  [feature n]</w:t>
            </w:r>
          </w:p>
        </w:tc>
      </w:tr>
    </w:tbl>
    <w:p>
      <w:pPr>
        <w:spacing w:after="80"/>
      </w:pPr>
      <w:r>
        <w:t xml:space="preserve"/>
      </w:r>
    </w:p>
    <w:p>
      <w:pPr>
        <w:pStyle w:val="Heading2"/>
      </w:pPr>
      <w:r>
        <w:rPr>
          <w:rFonts w:ascii="Arial" w:cs="Arial" w:eastAsia="Arial" w:hAnsi="Arial"/>
          <w:b/>
          <w:bCs/>
          <w:color w:val="2E75B6"/>
          <w:sz w:val="26"/>
          <w:szCs w:val="26"/>
        </w:rPr>
        <w:t xml:space="preserve">9.3.2  SHAP Variants for Enterprise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3500"/>
        <w:gridCol w:w="2360"/>
      </w:tblGrid>
      <w:tr>
        <w:trPr>
          <w:tblHeader/>
        </w:trPr>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Variant</w:t>
            </w:r>
          </w:p>
        </w:tc>
        <w:tc>
          <w:tcPr>
            <w:tcW w:type="dxa" w:w="19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Model Type</w:t>
            </w:r>
          </w:p>
        </w:tc>
        <w:tc>
          <w:tcPr>
            <w:tcW w:type="dxa" w:w="3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Mechanism</w:t>
            </w:r>
          </w:p>
        </w:tc>
        <w:tc>
          <w:tcPr>
            <w:tcW w:type="dxa" w:w="2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Enterprise Use</w:t>
            </w:r>
          </w:p>
        </w:tc>
      </w:tr>
      <w:tr>
        <w:tc>
          <w:tcPr>
            <w:tcW w:type="dxa" w:w="1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KernelSHAP</w:t>
            </w:r>
          </w:p>
        </w:tc>
        <w:tc>
          <w:tcPr>
            <w:tcW w:type="dxa" w:w="19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Any (model-agnostic)</w:t>
            </w:r>
          </w:p>
        </w:tc>
        <w:tc>
          <w:tcPr>
            <w:tcW w:type="dxa" w:w="35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LIME-based weighted coalition sampling; approximates O(2ⁿ) coalitions</w:t>
            </w:r>
          </w:p>
        </w:tc>
        <w:tc>
          <w:tcPr>
            <w:tcW w:type="dxa" w:w="23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Universal fallback; slower; proprietary/inaccessible models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TreeSHAP</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XGBoost, LightGBM, RF, Decision Trees</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Exact O(TLD²) algorithm exploiting tree structure; no sampling</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Enterprise standard for tabular credit models (Deutsche Bank CS1, Wells Fargo CS6)</w:t>
            </w:r>
          </w:p>
        </w:tc>
      </w:tr>
      <w:tr>
        <w:tc>
          <w:tcPr>
            <w:tcW w:type="dxa" w:w="1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DeepSHAP</w:t>
            </w:r>
          </w:p>
        </w:tc>
        <w:tc>
          <w:tcPr>
            <w:tcW w:type="dxa" w:w="19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Deep neural networks</w:t>
            </w:r>
          </w:p>
        </w:tc>
        <w:tc>
          <w:tcPr>
            <w:tcW w:type="dxa" w:w="35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Combines DeepLIFT backpropagation with Shapley framework</w:t>
            </w:r>
          </w:p>
        </w:tc>
        <w:tc>
          <w:tcPr>
            <w:tcW w:type="dxa" w:w="23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Fraud NLP, image classification (Santander CS4)</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GradientSHAP</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Neural networks</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Expected gradients — approximates Integrated Gradients with Shapley framework</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Medical imaging AI (DeepMind CS8)</w:t>
            </w:r>
          </w:p>
        </w:tc>
      </w:tr>
      <w:tr>
        <w:tc>
          <w:tcPr>
            <w:tcW w:type="dxa" w:w="1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PartitionSHAP</w:t>
            </w:r>
          </w:p>
        </w:tc>
        <w:tc>
          <w:tcPr>
            <w:tcW w:type="dxa" w:w="19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Any (text/image)</w:t>
            </w:r>
          </w:p>
        </w:tc>
        <w:tc>
          <w:tcPr>
            <w:tcW w:type="dxa" w:w="35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Hierarchical feature partitioning respecting feature correlations</w:t>
            </w:r>
          </w:p>
        </w:tc>
        <w:tc>
          <w:tcPr>
            <w:tcW w:type="dxa" w:w="23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Long-document NLP, structured medical records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0F1F38" w:val="clear"/>
            <w:tcMar>
              <w:top w:type="dxa" w:w="120"/>
              <w:left w:type="dxa" w:w="200"/>
              <w:bottom w:type="dxa" w:w="120"/>
              <w:right w:type="dxa" w:w="120"/>
            </w:tcMar>
          </w:tcPr>
          <w:p>
            <w:pPr>
              <w:spacing w:after="0"/>
            </w:pPr>
            <w:r>
              <w:rPr>
                <w:rFonts w:ascii="Courier New" w:cs="Courier New" w:eastAsia="Courier New" w:hAnsi="Courier New"/>
                <w:color w:val="AED6F1"/>
                <w:sz w:val="19"/>
                <w:szCs w:val="19"/>
              </w:rPr>
              <w:t xml:space="preserve">SHAP Visualisations — Enterprise Standard:
1. Force Plot (Local):    Baseline → positive contributions (push up) → negative → final prediction
                          USE: Individual adverse action, case-by-case audit
2. Summary Plot (Global): Beeswarm — each dot = one sample; colour = feature value; x = SHAP value
                          USE: Regulatory model card, global feature importance audit
3. Waterfall Plot (Local): Stacked horizontal bars, baseline → each feature → final prediction
                           USE: Explainability dashboard, human review interface
4. Dependence Plot:       SHAP(i) vs raw value of i; colour = interacting feature j (auto-selected)
                          USE: Detect non-linear effects, regulatory transparency</w:t>
            </w:r>
          </w:p>
        </w:tc>
      </w:tr>
    </w:tbl>
    <w:p>
      <w:pPr>
        <w:spacing w:after="80"/>
      </w:pPr>
      <w:r>
        <w:t xml:space="preserve"/>
      </w:r>
    </w:p>
    <w:p>
      <w:pPr>
        <w:spacing w:after="80"/>
      </w:pPr>
      <w:r>
        <w:t xml:space="preserve"/>
      </w:r>
    </w:p>
    <w:p>
      <w:r>
        <w:br w:type="page"/>
      </w:r>
    </w:p>
    <w:p>
      <w:pPr>
        <w:pStyle w:val="Heading1"/>
      </w:pPr>
      <w:r>
        <w:rPr>
          <w:rFonts w:ascii="Arial" w:cs="Arial" w:eastAsia="Arial" w:hAnsi="Arial"/>
          <w:b/>
          <w:bCs/>
          <w:color w:val="1F3864"/>
          <w:sz w:val="32"/>
          <w:szCs w:val="32"/>
        </w:rPr>
        <w:t xml:space="preserve">9.4  Integrated Gradients (Sundararajan et al., 2017)</w:t>
      </w:r>
    </w:p>
    <w:p>
      <w:pPr>
        <w:spacing w:after="120"/>
      </w:pPr>
      <w:r>
        <w:rPr>
          <w:rFonts w:ascii="Arial" w:cs="Arial" w:eastAsia="Arial" w:hAnsi="Arial"/>
          <w:color w:val="595959"/>
          <w:sz w:val="21"/>
          <w:szCs w:val="21"/>
        </w:rPr>
        <w:t xml:space="preserve">Integrated Gradients (IG) is an axiomatic attribution method for differentiable models (neural networks). It accumulates gradients of the model output with respect to each input feature along a straight-line path from a baseline (all zeros) to the actual input. IG satisfies completeness and sensitivity axioms — more theoretically principled than raw saliency maps or vanilla gradients.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0F1F38" w:val="clear"/>
            <w:tcMar>
              <w:top w:type="dxa" w:w="120"/>
              <w:left w:type="dxa" w:w="200"/>
              <w:bottom w:type="dxa" w:w="120"/>
              <w:right w:type="dxa" w:w="120"/>
            </w:tcMar>
          </w:tcPr>
          <w:p>
            <w:pPr>
              <w:spacing w:after="0"/>
            </w:pPr>
            <w:r>
              <w:rPr>
                <w:rFonts w:ascii="Courier New" w:cs="Courier New" w:eastAsia="Courier New" w:hAnsi="Courier New"/>
                <w:color w:val="AED6F1"/>
                <w:sz w:val="19"/>
                <w:szCs w:val="19"/>
              </w:rPr>
              <w:t xml:space="preserve">Integrated Gradients Definition (Sundararajan et al., 2017):
  IG_i(x) = (xᵢ − x'ᵢ) × ∫₀¹ [ ∂F(x' + α(x−x')) / ∂xᵢ ] dα
  x    = actual input (patient scan, loan application, transaction narrative)
  x'   = baseline (all zeros, black image, expected value vector)
  F    = differentiable model (CNN, transformer, MLP)
  α    = interpolation: α=0 → baseline; α=1 → actual input
  ∂F/∂xᵢ = gradient of F w.r.t. feature i at interpolated point
Approximation — Riemann Sum (m = 50–300 steps in practice):
  IG_i(x) ≈ (xᵢ − x'ᵢ) × (1/m) × Σₖ₌₁ᵐ [ ∂F(x' + (k/m)(x−x')) / ∂xᵢ ]
Two Key Axioms:
  Completeness:  Σᵢ IG_i(x) = F(x) − F(x')    [attributions sum to prediction difference]
  Sensitivity:   xᵢ ≠ x'ᵢ AND F changes with xᵢ ⟹ IG_i(x) ≠ 0  [relevant features attributed]
Baseline Selection Guide:
  Tabular features:  E[x] (expected value per feature) or zeros
  Images:            Black image (zeros) or blurred/mean image
  Text/embeddings:   Zero embedding vector or [PAD] token embedding
  Medical imaging:   Population mean scan (critical for valid attribution)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FFFFFF" w:sz="1"/>
              <w:left w:val="single" w:color="FFFFFF" w:sz="1"/>
              <w:bottom w:val="single" w:color="FFFFFF" w:sz="1"/>
              <w:right w:val="single" w:color="FFFFFF" w:sz="1"/>
            </w:tcBorders>
            <w:shd w:fill="1A6B5E" w:val="clear"/>
            <w:tcMar>
              <w:top w:type="dxa" w:w="80"/>
              <w:left w:type="dxa" w:w="80"/>
              <w:bottom w:type="dxa" w:w="80"/>
              <w:right w:type="dxa" w:w="60"/>
            </w:tcMar>
          </w:tcPr>
          <w:p>
            <w:pPr>
              <w:spacing w:after="0"/>
            </w:pPr>
            <w:r>
              <w:rPr>
                <w:rFonts w:ascii="Arial" w:cs="Arial" w:eastAsia="Arial" w:hAnsi="Arial"/>
                <w:b/>
                <w:bCs/>
                <w:color w:val="FFFFFF"/>
                <w:sz w:val="16"/>
                <w:szCs w:val="16"/>
              </w:rPr>
              <w:t xml:space="preserve">IG vs SHAP vs LIME</w:t>
            </w:r>
          </w:p>
        </w:tc>
        <w:tc>
          <w:tcPr>
            <w:tcW w:type="dxa" w:w="9080"/>
            <w:tcBorders>
              <w:top w:val="single" w:color="FFFFFF" w:sz="1"/>
              <w:left w:val="single" w:color="FFFFFF" w:sz="1"/>
              <w:bottom w:val="single" w:color="FFFFFF" w:sz="1"/>
              <w:right w:val="single" w:color="FFFFFF" w:sz="1"/>
            </w:tcBorders>
            <w:shd w:fill="EBF8F5" w:val="clear"/>
            <w:tcMar>
              <w:top w:type="dxa" w:w="80"/>
              <w:left w:type="dxa" w:w="120"/>
              <w:bottom w:type="dxa" w:w="80"/>
              <w:right w:type="dxa" w:w="120"/>
            </w:tcMar>
          </w:tcPr>
          <w:p>
            <w:pPr>
              <w:spacing w:after="0"/>
            </w:pPr>
            <w:r>
              <w:rPr>
                <w:rFonts w:ascii="Arial" w:cs="Arial" w:eastAsia="Arial" w:hAnsi="Arial"/>
                <w:color w:val="595959"/>
                <w:sz w:val="20"/>
                <w:szCs w:val="20"/>
              </w:rPr>
              <w:t xml:space="preserve">IG: preferred for deep learning (CNN, transformer) — exact gradient path integral, axiomatic, used for medical imaging (DeepMind CS8) and fraud NLP (Santander CS4). TreeSHAP: preferred for tabular GBM/XGBoost — exact, fast O(TLD²), enterprise standard for ECOA credit adverse action (Deutsche Bank CS1, Wells Fargo CS6). LIME: universal fallback — works on any model, output is familiar linear coefficients, best for adverse action translation to plain language. Enterprise rule: SHAP for tabular, IG for deep learning, LIME for universal/multi-modal.</w:t>
            </w:r>
          </w:p>
        </w:tc>
      </w:tr>
    </w:tbl>
    <w:p>
      <w:pPr>
        <w:spacing w:after="80"/>
      </w:pPr>
      <w:r>
        <w:t xml:space="preserve"/>
      </w:r>
    </w:p>
    <w:p>
      <w:pPr>
        <w:spacing w:after="80"/>
      </w:pPr>
      <w:r>
        <w:t xml:space="preserve"/>
      </w:r>
    </w:p>
    <w:p>
      <w:r>
        <w:br w:type="page"/>
      </w:r>
    </w:p>
    <w:p>
      <w:pPr>
        <w:pStyle w:val="Heading1"/>
      </w:pPr>
      <w:r>
        <w:rPr>
          <w:rFonts w:ascii="Arial" w:cs="Arial" w:eastAsia="Arial" w:hAnsi="Arial"/>
          <w:b/>
          <w:bCs/>
          <w:color w:val="1F3864"/>
          <w:sz w:val="32"/>
          <w:szCs w:val="32"/>
        </w:rPr>
        <w:t xml:space="preserve">9.5  Attention-Based Explanations</w:t>
      </w:r>
    </w:p>
    <w:p>
      <w:pPr>
        <w:spacing w:after="120"/>
      </w:pPr>
      <w:r>
        <w:rPr>
          <w:rFonts w:ascii="Arial" w:cs="Arial" w:eastAsia="Arial" w:hAnsi="Arial"/>
          <w:color w:val="595959"/>
          <w:sz w:val="21"/>
          <w:szCs w:val="21"/>
        </w:rPr>
        <w:t xml:space="preserve">Transformers compute attention weights between all token pairs — widely visualised as explanation heatmaps over input tokens. Intuition: high attention weight A[i,j] means position i 'looked at' position j when computing its representation. Attention is commonly used in XAI for NLP models, but its validity as explanation has been critically challenged by Jain &amp; Wallace (2019).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0F1F38" w:val="clear"/>
            <w:tcMar>
              <w:top w:type="dxa" w:w="120"/>
              <w:left w:type="dxa" w:w="200"/>
              <w:bottom w:type="dxa" w:w="120"/>
              <w:right w:type="dxa" w:w="120"/>
            </w:tcMar>
          </w:tcPr>
          <w:p>
            <w:pPr>
              <w:spacing w:after="0"/>
            </w:pPr>
            <w:r>
              <w:rPr>
                <w:rFonts w:ascii="Courier New" w:cs="Courier New" w:eastAsia="Courier New" w:hAnsi="Courier New"/>
                <w:color w:val="AED6F1"/>
                <w:sz w:val="19"/>
                <w:szCs w:val="19"/>
              </w:rPr>
              <w:t xml:space="preserve">Self-Attention (Vaswani et al., 2017):
  Attention(Q, K, V) = softmax(QKᵀ / √dₖ) · V
  A[i,j] = exp(qᵢ·kⱼ/√dₖ) / Σₗ exp(qᵢ·kₗ/√dₖ)   [weight: how much i attends to j]
Gradient-Weighted Attention (more faithful):
  Importance(j) = ‖ ∂L/∂A[:,j] ‖ × A[i,j]
  Weights attention scores by gradient of loss w.r.t. attention — less gameable
Attention Rollout (Abnar &amp; Zuidema, 2020):
  R = A_L × A_{L-1} × ... × A_1   [product across all transformer layers]
  Accounts for skip connections and multi-layer information flow
  More reliable attribution than raw single-layer attention
Jain &amp; Wallace (2019) — "Attention is Not Explanation":
  Finding 1: Alternative attention distributions with identical model performance exist
  Finding 2: Adversarially permuted attention produces same output
  Conclusion: Attention does NOT uniquely explain model behaviour
  Enterprise implication: Use gradient-weighted attention or rollout for regulatory XAI</w:t>
            </w:r>
          </w:p>
        </w:tc>
      </w:tr>
    </w:tbl>
    <w:p>
      <w:pPr>
        <w:spacing w:after="80"/>
      </w:pPr>
      <w:r>
        <w:t xml:space="preserve"/>
      </w:r>
    </w:p>
    <w:p>
      <w:pPr>
        <w:spacing w:after="80"/>
      </w:pPr>
      <w:r>
        <w:t xml:space="preserve"/>
      </w:r>
    </w:p>
    <w:p>
      <w:r>
        <w:br w:type="page"/>
      </w:r>
    </w:p>
    <w:p>
      <w:pPr>
        <w:pStyle w:val="Heading1"/>
      </w:pPr>
      <w:r>
        <w:rPr>
          <w:rFonts w:ascii="Arial" w:cs="Arial" w:eastAsia="Arial" w:hAnsi="Arial"/>
          <w:b/>
          <w:bCs/>
          <w:color w:val="1F3864"/>
          <w:sz w:val="32"/>
          <w:szCs w:val="32"/>
        </w:rPr>
        <w:t xml:space="preserve">9.6  Counterfactual Explanations — DiCE</w:t>
      </w:r>
    </w:p>
    <w:p>
      <w:pPr>
        <w:spacing w:after="120"/>
      </w:pPr>
      <w:r>
        <w:rPr>
          <w:rFonts w:ascii="Arial" w:cs="Arial" w:eastAsia="Arial" w:hAnsi="Arial"/>
          <w:color w:val="595959"/>
          <w:sz w:val="21"/>
          <w:szCs w:val="21"/>
        </w:rPr>
        <w:t xml:space="preserve">A counterfactual explanation answers: 'What is the minimum change to the input that would change the model's output?' Example: 'If your income were £5,000 higher and your credit utilisation 15% lower, your loan would be approved.' Counterfactuals are the most actionable form of explanation for human decision-makers and directly satisfy EU AI Act recitals on meaningful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0F1F38" w:val="clear"/>
            <w:tcMar>
              <w:top w:type="dxa" w:w="120"/>
              <w:left w:type="dxa" w:w="200"/>
              <w:bottom w:type="dxa" w:w="120"/>
              <w:right w:type="dxa" w:w="120"/>
            </w:tcMar>
          </w:tcPr>
          <w:p>
            <w:pPr>
              <w:spacing w:after="0"/>
            </w:pPr>
            <w:r>
              <w:rPr>
                <w:rFonts w:ascii="Courier New" w:cs="Courier New" w:eastAsia="Courier New" w:hAnsi="Courier New"/>
                <w:color w:val="AED6F1"/>
                <w:sz w:val="19"/>
                <w:szCs w:val="19"/>
              </w:rPr>
              <w:t xml:space="preserve">DiCE — Diverse Counterfactual Explanations (Mothilal et al., 2020):
Objective:
  min_{CF} λ₀·loss(f(CF), y_target) + λ₁·proximity(CF, x) + λ₂·diversity(CF₁,...,CFₖ)
  loss:      ensures CF achieves desired outcome class y_target
  proximity: CF should be close to original input x (sparse, minimal change)
  diversity: k counterfactuals should differ from each other
Actionability Constraints (enterprise-critical):
  Immutable:        age, gender, country of birth — CANNOT be changed
  Mutable ↑ only:   income (can increase, not decrease in practice)
  Mutable freely:   credit utilisation, savings balance, debt repayments
Example Output (mortgage denial):
  Original: LTV=92%, debt/income=48%, credit score=620 → DENIED
  CF1: "If LTV ≤ 85% (increase deposit by £23,000) → APPROVED"  [most feasible]
  CF2: "If debt/income ≤ 38% (repay £8,000 debt) AND LTV ≤ 88% → APPROVED"
  CF3: "If credit score ≥ 680 (after 18 months on-time payments) → APPROVED"
GDPR Art.22 / EU AI Act Art.13 Alignment:
  Recital 71: right to 'explanation of the decision' AND 'to have decision reviewed'
  Art.13: 'meaningful information about the logic' — counterfactuals are most intuitive
  ECOA Reg B: 'principal reasons' — CF provides specific, actionable adverse reasons</w:t>
            </w:r>
          </w:p>
        </w:tc>
      </w:tr>
    </w:tbl>
    <w:p>
      <w:pPr>
        <w:spacing w:after="80"/>
      </w:pPr>
      <w:r>
        <w:t xml:space="preserve"/>
      </w:r>
    </w:p>
    <w:p>
      <w:pPr>
        <w:spacing w:after="80"/>
      </w:pPr>
      <w:r>
        <w:t xml:space="preserve"/>
      </w:r>
    </w:p>
    <w:p>
      <w:r>
        <w:br w:type="page"/>
      </w:r>
    </w:p>
    <w:p>
      <w:pPr>
        <w:pStyle w:val="Heading1"/>
      </w:pPr>
      <w:r>
        <w:rPr>
          <w:rFonts w:ascii="Arial" w:cs="Arial" w:eastAsia="Arial" w:hAnsi="Arial"/>
          <w:b/>
          <w:bCs/>
          <w:color w:val="1F3864"/>
          <w:sz w:val="32"/>
          <w:szCs w:val="32"/>
        </w:rPr>
        <w:t xml:space="preserve">9.7  Model Cards (Mitchell et al., 2019)</w:t>
      </w:r>
    </w:p>
    <w:p>
      <w:pPr>
        <w:spacing w:after="120"/>
      </w:pPr>
      <w:r>
        <w:rPr>
          <w:rFonts w:ascii="Arial" w:cs="Arial" w:eastAsia="Arial" w:hAnsi="Arial"/>
          <w:color w:val="595959"/>
          <w:sz w:val="21"/>
          <w:szCs w:val="21"/>
        </w:rPr>
        <w:t xml:space="preserve">Model Cards are structured documentation artefacts accompanying ML models — analogous to pharmaceutical package inserts. Introduced by Google Research (Mitchell et al., 2019), they provide standardised transparency about intended use, performance characteristics, ethical considerations, and caveats. EU AI Act Annex IV mandates technical documentation that maps directly to Model Card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Section</w:t>
            </w:r>
          </w:p>
        </w:tc>
        <w:tc>
          <w:tcPr>
            <w:tcW w:type="dxa" w:w="3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Required Content</w:t>
            </w:r>
          </w:p>
        </w:tc>
        <w:tc>
          <w:tcPr>
            <w:tcW w:type="dxa" w:w="3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Regulatory Alignment</w:t>
            </w:r>
          </w:p>
        </w:tc>
      </w:tr>
      <w:tr>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Model Details</w:t>
            </w:r>
          </w:p>
        </w:tc>
        <w:tc>
          <w:tcPr>
            <w:tcW w:type="dxa" w:w="3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Developer, date, version, model type, training approach, paper citations, contact</w:t>
            </w:r>
          </w:p>
        </w:tc>
        <w:tc>
          <w:tcPr>
            <w:tcW w:type="dxa" w:w="3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EU AI Act Annex IV s.1; NIST AI RMF MAP function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Intended Use</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Primary intended uses, primary intended users, out-of-scope uses (explicit)</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EU AI Act Art.9 risk assessment; intended purpose declaration</w:t>
            </w:r>
          </w:p>
        </w:tc>
      </w:tr>
      <w:tr>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Factors</w:t>
            </w:r>
          </w:p>
        </w:tc>
        <w:tc>
          <w:tcPr>
            <w:tcW w:type="dxa" w:w="3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Relevant demographic, environmental, technical, and intersectional factors</w:t>
            </w:r>
          </w:p>
        </w:tc>
        <w:tc>
          <w:tcPr>
            <w:tcW w:type="dxa" w:w="3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EU AI Act Annex IV s.4; fairness subgroup documentation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Metrics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Performance measures (AUC, F1, precision, recall), decision thresholds, variation across groups</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EBA GL/2020/06 model validation; ECOA disparate impact</w:t>
            </w:r>
          </w:p>
        </w:tc>
      </w:tr>
      <w:tr>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Evaluation Data</w:t>
            </w:r>
          </w:p>
        </w:tc>
        <w:tc>
          <w:tcPr>
            <w:tcW w:type="dxa" w:w="3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Dataset, size, preprocessing, demographic coverage, limitations</w:t>
            </w:r>
          </w:p>
        </w:tc>
        <w:tc>
          <w:tcPr>
            <w:tcW w:type="dxa" w:w="3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EU AI Act Art.10 training data; OSFI E-23</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Training Data</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Dataset size, features, collection method, preprocessing pipeline</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EU AI Act Annex IV s.3; GDPR Art.13 data source transparency</w:t>
            </w:r>
          </w:p>
        </w:tc>
      </w:tr>
      <w:tr>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Quantitative Analyses</w:t>
            </w:r>
          </w:p>
        </w:tc>
        <w:tc>
          <w:tcPr>
            <w:tcW w:type="dxa" w:w="3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Disaggregated evaluation by age, race, gender, disability subgroups</w:t>
            </w:r>
          </w:p>
        </w:tc>
        <w:tc>
          <w:tcPr>
            <w:tcW w:type="dxa" w:w="3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EU AI Act Annex III non-discrimination; EEOC 4/5ths rule; OSFI E-23</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Ethical Considerations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Potential harms, sensitive uses, disparate impact risks, bias testing results</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EU AI Act Art.9 risk assessment; ISO 42001 clause 6</w:t>
            </w:r>
          </w:p>
        </w:tc>
      </w:tr>
      <w:tr>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Caveats &amp; Recommendations</w:t>
            </w:r>
          </w:p>
        </w:tc>
        <w:tc>
          <w:tcPr>
            <w:tcW w:type="dxa" w:w="3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Out-of-distribution warnings, known failure modes, deployment prerequisites</w:t>
            </w:r>
          </w:p>
        </w:tc>
        <w:tc>
          <w:tcPr>
            <w:tcW w:type="dxa" w:w="3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EU AI Act Annex IV s.6; OCC SR 11-7 model limitations</w:t>
            </w:r>
          </w:p>
        </w:tc>
      </w:tr>
    </w:tbl>
    <w:p>
      <w:pPr>
        <w:spacing w:after="80"/>
      </w:pPr>
      <w:r>
        <w:t xml:space="preserve"/>
      </w:r>
    </w:p>
    <w:p>
      <w:pPr>
        <w:spacing w:after="80"/>
      </w:pPr>
      <w:r>
        <w:t xml:space="preserve"/>
      </w:r>
    </w:p>
    <w:p>
      <w:r>
        <w:br w:type="page"/>
      </w:r>
    </w:p>
    <w:p>
      <w:pPr>
        <w:pStyle w:val="Heading1"/>
      </w:pPr>
      <w:r>
        <w:rPr>
          <w:rFonts w:ascii="Arial" w:cs="Arial" w:eastAsia="Arial" w:hAnsi="Arial"/>
          <w:b/>
          <w:bCs/>
          <w:color w:val="1F3864"/>
          <w:sz w:val="32"/>
          <w:szCs w:val="32"/>
        </w:rPr>
        <w:t xml:space="preserve">9.8  Regulatory XAI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FFFFFF" w:sz="1"/>
              <w:left w:val="single" w:color="FFFFFF" w:sz="1"/>
              <w:bottom w:val="single" w:color="FFFFFF" w:sz="1"/>
              <w:right w:val="single" w:color="FFFFFF" w:sz="1"/>
            </w:tcBorders>
            <w:shd w:fill="C9A227" w:val="clear"/>
            <w:tcMar>
              <w:top w:type="dxa" w:w="80"/>
              <w:left w:type="dxa" w:w="80"/>
              <w:bottom w:type="dxa" w:w="80"/>
              <w:right w:type="dxa" w:w="60"/>
            </w:tcMar>
          </w:tcPr>
          <w:p>
            <w:pPr>
              <w:spacing w:after="0"/>
            </w:pPr>
            <w:r>
              <w:rPr>
                <w:rFonts w:ascii="Arial" w:cs="Arial" w:eastAsia="Arial" w:hAnsi="Arial"/>
                <w:b/>
                <w:bCs/>
                <w:color w:val="FFFFFF"/>
                <w:sz w:val="16"/>
                <w:szCs w:val="16"/>
              </w:rPr>
              <w:t xml:space="preserve">EU AI ACT ART.13</w:t>
            </w:r>
          </w:p>
        </w:tc>
        <w:tc>
          <w:tcPr>
            <w:tcW w:type="dxa" w:w="9080"/>
            <w:tcBorders>
              <w:top w:val="single" w:color="FFFFFF" w:sz="1"/>
              <w:left w:val="single" w:color="FFFFFF" w:sz="1"/>
              <w:bottom w:val="single" w:color="FFFFFF" w:sz="1"/>
              <w:right w:val="single" w:color="FFFFFF" w:sz="1"/>
            </w:tcBorders>
            <w:shd w:fill="FEF9E7" w:val="clear"/>
            <w:tcMar>
              <w:top w:type="dxa" w:w="80"/>
              <w:left w:type="dxa" w:w="120"/>
              <w:bottom w:type="dxa" w:w="80"/>
              <w:right w:type="dxa" w:w="120"/>
            </w:tcMar>
          </w:tcPr>
          <w:p>
            <w:pPr>
              <w:spacing w:after="0"/>
            </w:pPr>
            <w:r>
              <w:rPr>
                <w:rFonts w:ascii="Arial" w:cs="Arial" w:eastAsia="Arial" w:hAnsi="Arial"/>
                <w:color w:val="595959"/>
                <w:sz w:val="20"/>
                <w:szCs w:val="20"/>
              </w:rPr>
              <w:t xml:space="preserve">Art.13: High-risk AI systems shall be designed and developed so as to ensure that their operation is sufficiently transparent to enable users to interpret the system's output and use it appropriately. Annex IV s.4: technical documentation must include a description of the measures taken for transparency — directly mandating SHAP or LIME for AI decisions affecting individuals. Art.13(3)(b): accuracy, robustness, and cybersecurity documentation — including global SHAP feature importance in the model card.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Regulation</w:t>
            </w:r>
          </w:p>
        </w:tc>
        <w:tc>
          <w:tcPr>
            <w:tcW w:type="dxa" w:w="3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XAI Requirement</w:t>
            </w:r>
          </w:p>
        </w:tc>
        <w:tc>
          <w:tcPr>
            <w:tcW w:type="dxa" w:w="4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Enterprise Implementation</w:t>
            </w:r>
          </w:p>
        </w:tc>
      </w:tr>
      <w:tr>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EU AI Act Art.13 / Annex IV</w:t>
            </w:r>
          </w:p>
        </w:tc>
        <w:tc>
          <w:tcPr>
            <w:tcW w:type="dxa" w:w="3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Transparent + interpretable outputs for high-risk AI; technical documentation</w:t>
            </w:r>
          </w:p>
        </w:tc>
        <w:tc>
          <w:tcPr>
            <w:tcW w:type="dxa" w:w="41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SHAP summary plot in model card; local SHAP/LIME for individual decisions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GDPR Art.22 / Recital 71</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'Meaningful information about the logic involved' in automated decisions</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SHAP force plots or LIME coefficients translated to plain language; counterfactuals</w:t>
            </w:r>
          </w:p>
        </w:tc>
      </w:tr>
      <w:tr>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ECOA Regulation B (US)</w:t>
            </w:r>
          </w:p>
        </w:tc>
        <w:tc>
          <w:tcPr>
            <w:tcW w:type="dxa" w:w="3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'Specific reasons' for adverse action — top 4 required; not generic</w:t>
            </w:r>
          </w:p>
        </w:tc>
        <w:tc>
          <w:tcPr>
            <w:tcW w:type="dxa" w:w="41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SHAP top-4 → mapped to standard CFPB Reg B adverse action codes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EBA GL/2020/06 (EU)</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Explainability as model validation requirement; explain individual decisions</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TreeSHAP for XGBoost credit models; SHAP dependence plots in validation report</w:t>
            </w:r>
          </w:p>
        </w:tc>
      </w:tr>
      <w:tr>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OCC SR 11-7 (US)</w:t>
            </w:r>
          </w:p>
        </w:tc>
        <w:tc>
          <w:tcPr>
            <w:tcW w:type="dxa" w:w="3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Model documentation must describe 'how the model works'; validation of explanation quality</w:t>
            </w:r>
          </w:p>
        </w:tc>
        <w:tc>
          <w:tcPr>
            <w:tcW w:type="dxa" w:w="41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LIME/SHAP fidelity metrics; explanation stability testing across demographic subgroups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OSFI E-23 (Canada)</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'Meaningful explanation of model output to model users and affected individuals'</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TreeSHAP adverse action; bilingual (EN/FR) explanation letters (TD Bank CS10)</w:t>
            </w:r>
          </w:p>
        </w:tc>
      </w:tr>
      <w:tr>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FDA AI/ML SaMD (US)</w:t>
            </w:r>
          </w:p>
        </w:tc>
        <w:tc>
          <w:tcPr>
            <w:tcW w:type="dxa" w:w="3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Clinician must be able to independently review AI recommendation</w:t>
            </w:r>
          </w:p>
        </w:tc>
        <w:tc>
          <w:tcPr>
            <w:tcW w:type="dxa" w:w="41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Integrated Gradients + Grad-CAM heatmap for medical imaging (DeepMind CS8)</w:t>
            </w:r>
          </w:p>
        </w:tc>
      </w:tr>
    </w:tbl>
    <w:p>
      <w:pPr>
        <w:spacing w:after="80"/>
      </w:pPr>
      <w:r>
        <w:t xml:space="preserve"/>
      </w:r>
    </w:p>
    <w:p>
      <w:pPr>
        <w:spacing w:after="80"/>
      </w:pPr>
      <w:r>
        <w:t xml:space="preserve"/>
      </w:r>
    </w:p>
    <w:p>
      <w:r>
        <w:br w:type="page"/>
      </w:r>
    </w:p>
    <w:p>
      <w:pPr>
        <w:pStyle w:val="Heading1"/>
      </w:pPr>
      <w:r>
        <w:rPr>
          <w:rFonts w:ascii="Arial" w:cs="Arial" w:eastAsia="Arial" w:hAnsi="Arial"/>
          <w:b/>
          <w:bCs/>
          <w:color w:val="1F3864"/>
          <w:sz w:val="32"/>
          <w:szCs w:val="32"/>
        </w:rPr>
        <w:t xml:space="preserve">9.9  Enterprise Case Studies — 10 Organisations</w:t>
      </w:r>
    </w:p>
    <w:p>
      <w:pPr>
        <w:spacing w:after="120"/>
      </w:pPr>
      <w:r>
        <w:rPr>
          <w:rFonts w:ascii="Arial" w:cs="Arial" w:eastAsia="Arial" w:hAnsi="Arial"/>
          <w:color w:val="595959"/>
          <w:sz w:val="21"/>
          <w:szCs w:val="21"/>
        </w:rPr>
        <w:t xml:space="preserve">Five European deployments (Germany, United Kingdom, France, Spain, Sweden) and five North American deployments (United States × 4, Canada × 1) across financial services, healthcare, and technology.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9A227" w:sz="1"/>
              <w:left w:val="single" w:color="C9A227" w:sz="1"/>
              <w:bottom w:val="single" w:color="C9A227" w:sz="1"/>
              <w:right w:val="single" w:color="C9A227" w:sz="1"/>
            </w:tcBorders>
            <w:shd w:fill="1F3864" w:val="clear"/>
            <w:tcMar>
              <w:top w:type="dxa" w:w="100"/>
              <w:left w:type="dxa" w:w="160"/>
              <w:bottom w:type="dxa" w:w="100"/>
              <w:right w:type="dxa" w:w="120"/>
            </w:tcMar>
          </w:tcPr>
          <w:p>
            <w:pPr>
              <w:spacing w:after="0"/>
            </w:pPr>
            <w:r>
              <w:rPr>
                <w:rFonts w:ascii="Arial" w:cs="Arial" w:eastAsia="Arial" w:hAnsi="Arial"/>
                <w:b/>
                <w:bCs/>
                <w:color w:val="C9A227"/>
                <w:sz w:val="21"/>
                <w:szCs w:val="21"/>
              </w:rPr>
              <w:t xml:space="preserve">Case Study 1  🇩🇪  Germany  —  Deutsche Bank AG</w:t>
            </w:r>
            <w:r>
              <w:rPr>
                <w:rFonts w:ascii="Arial" w:cs="Arial" w:eastAsia="Arial" w:hAnsi="Arial"/>
                <w:color w:val="AED6F1"/>
                <w:sz w:val="18"/>
                <w:szCs w:val="18"/>
              </w:rPr>
              <w:t xml:space="preserve">    |    Retail Banking — SHAP Credit Explainability</w:t>
            </w:r>
            <w:r>
              <w:rPr>
                <w:rFonts w:ascii="Arial" w:cs="Arial" w:eastAsia="Arial" w:hAnsi="Arial"/>
                <w:color w:val="D6E4F0"/>
                <w:sz w:val="18"/>
                <w:szCs w:val="18"/>
              </w:rPr>
              <w:t xml:space="preserve">    |    TreeSHAP for XGBoost (EBA GL/2020/06 + BaFin)</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Context</w:t>
            </w:r>
          </w:p>
          <w:p>
            <w:pPr>
              <w:spacing w:after="0"/>
            </w:pPr>
            <w:r>
              <w:rPr>
                <w:rFonts w:ascii="Arial" w:cs="Arial" w:eastAsia="Arial" w:hAnsi="Arial"/>
                <w:color w:val="595959"/>
                <w:sz w:val="19"/>
                <w:szCs w:val="19"/>
              </w:rPr>
              <w:t xml:space="preserve">Deutsche Bank AG, Frankfurt — EUR 1.4T total assets. Model Risk Management: TreeSHAP-based explainability for consumer credit scoring XGBoost model. Regulated by BaFin and ECB SSM. Subject to EBA GL/2020/06 (explainability), EU AI Act Annex III (credit high-risk), GDPR Art.22, German BGB adverse action disclosure.</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Problem / Challenge</w:t>
            </w:r>
          </w:p>
          <w:p>
            <w:pPr>
              <w:spacing w:after="0"/>
            </w:pPr>
            <w:r>
              <w:rPr>
                <w:rFonts w:ascii="Arial" w:cs="Arial" w:eastAsia="Arial" w:hAnsi="Arial"/>
                <w:color w:val="595959"/>
                <w:sz w:val="19"/>
                <w:szCs w:val="19"/>
              </w:rPr>
              <w:t xml:space="preserve">EBA GL/2020/06 s.5.4 requires ML credit models be 'explainable' — banks must explain individual credit decisions in plain language. BaFin examination identified that model documentation did not meet 'ability to explain individual decisions' criterion. Model validation also required explainability testing as a standalone validation component per EBA technical standards.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XAI Approach</w:t>
            </w:r>
          </w:p>
          <w:p>
            <w:pPr>
              <w:spacing w:after="0"/>
            </w:pPr>
            <w:r>
              <w:rPr>
                <w:rFonts w:ascii="Arial" w:cs="Arial" w:eastAsia="Arial" w:hAnsi="Arial"/>
                <w:color w:val="595959"/>
                <w:sz w:val="19"/>
                <w:szCs w:val="19"/>
              </w:rPr>
              <w:t xml:space="preserve">TreeSHAP deployed on XGBoost credit scoring. Global: SHAP summary plot for model card and regulatory documentation — top features: debt-to-income ratio, credit bureau score, payment history, credit age, utilisation. Local: SHAP force plot per decision → translated to BGB-compliant adverse action with top-4 specific reasons in plain German. SHAP consistency testing: equal explanation quality across demographic subgroups (EBA requirement).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Methodology Detail</w:t>
            </w:r>
          </w:p>
          <w:p>
            <w:pPr>
              <w:spacing w:after="0"/>
            </w:pPr>
            <w:r>
              <w:rPr>
                <w:rFonts w:ascii="Arial" w:cs="Arial" w:eastAsia="Arial" w:hAnsi="Arial"/>
                <w:color w:val="595959"/>
                <w:sz w:val="19"/>
                <w:szCs w:val="19"/>
              </w:rPr>
              <w:t xml:space="preserve">TreeSHAP exact computation O(TLD²) — no sampling; exact Shapley values for 200K+ monthly applications. SHAP summary: beeswarm plot in model card. Force plot: baseline → feature contributions → final decision. Explanation stability: SHAP variance tested across age, gender, nationality — must be equal across groups. Adverse action mapping: SHAP top-4 → German adverse action reason codes (BGB §355).</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Regulatory Framework</w:t>
            </w:r>
          </w:p>
          <w:p>
            <w:pPr>
              <w:spacing w:after="0"/>
            </w:pPr>
            <w:r>
              <w:rPr>
                <w:rFonts w:ascii="Arial" w:cs="Arial" w:eastAsia="Arial" w:hAnsi="Arial"/>
                <w:color w:val="595959"/>
                <w:sz w:val="19"/>
                <w:szCs w:val="19"/>
              </w:rPr>
              <w:t xml:space="preserve">EBA GL/2020/06 s.5.4: ML model explainability — 'ability to explain individual decisions'. BaFin AI Supervisory Framework: SHAP summary and force plots required in model documentation. EU AI Act Annex III: credit scoring high-risk — Annex IV explanation methodology. GDPR Art.22: automated decision — SHAP satisfies 'meaningful information' requirement. BGB §355: adverse action with specific reasons.</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Outcomes / Impact</w:t>
            </w:r>
          </w:p>
          <w:p>
            <w:pPr>
              <w:spacing w:after="0"/>
            </w:pPr>
            <w:r>
              <w:rPr>
                <w:rFonts w:ascii="Arial" w:cs="Arial" w:eastAsia="Arial" w:hAnsi="Arial"/>
                <w:color w:val="595959"/>
                <w:sz w:val="19"/>
                <w:szCs w:val="19"/>
              </w:rPr>
              <w:t xml:space="preserve">S — H  ·  A — d  ·  E — x  ·  M — o</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9A227" w:sz="1"/>
              <w:left w:val="single" w:color="C9A227" w:sz="1"/>
              <w:bottom w:val="single" w:color="C9A227" w:sz="1"/>
              <w:right w:val="single" w:color="C9A227" w:sz="1"/>
            </w:tcBorders>
            <w:shd w:fill="1F3864" w:val="clear"/>
            <w:tcMar>
              <w:top w:type="dxa" w:w="100"/>
              <w:left w:type="dxa" w:w="160"/>
              <w:bottom w:type="dxa" w:w="100"/>
              <w:right w:type="dxa" w:w="120"/>
            </w:tcMar>
          </w:tcPr>
          <w:p>
            <w:pPr>
              <w:spacing w:after="0"/>
            </w:pPr>
            <w:r>
              <w:rPr>
                <w:rFonts w:ascii="Arial" w:cs="Arial" w:eastAsia="Arial" w:hAnsi="Arial"/>
                <w:b/>
                <w:bCs/>
                <w:color w:val="C9A227"/>
                <w:sz w:val="21"/>
                <w:szCs w:val="21"/>
              </w:rPr>
              <w:t xml:space="preserve">Case Study 2  🇬🇧  United Kingdom  —  Barclays PLC</w:t>
            </w:r>
            <w:r>
              <w:rPr>
                <w:rFonts w:ascii="Arial" w:cs="Arial" w:eastAsia="Arial" w:hAnsi="Arial"/>
                <w:color w:val="AED6F1"/>
                <w:sz w:val="18"/>
                <w:szCs w:val="18"/>
              </w:rPr>
              <w:t xml:space="preserve">    |    Retail Banking — LIME Mortgage Adverse Action</w:t>
            </w:r>
            <w:r>
              <w:rPr>
                <w:rFonts w:ascii="Arial" w:cs="Arial" w:eastAsia="Arial" w:hAnsi="Arial"/>
                <w:color w:val="D6E4F0"/>
                <w:sz w:val="18"/>
                <w:szCs w:val="18"/>
              </w:rPr>
              <w:t xml:space="preserve">    |    LIME + SHAP + Counterfactuals (FCA Consumer Duty)</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Context</w:t>
            </w:r>
          </w:p>
          <w:p>
            <w:pPr>
              <w:spacing w:after="0"/>
            </w:pPr>
            <w:r>
              <w:rPr>
                <w:rFonts w:ascii="Arial" w:cs="Arial" w:eastAsia="Arial" w:hAnsi="Arial"/>
                <w:color w:val="595959"/>
                <w:sz w:val="19"/>
                <w:szCs w:val="19"/>
              </w:rPr>
              <w:t xml:space="preserve">Barclays PLC, London — GBP 1.5T total assets, 48M customers. Credit Risk AI: LIME and SHAP-based explainability for mortgage underwriting GBM. Regulated by PRA and FCA. Subject to FCA Consumer Duty 2023 (Consumer Understanding outcome), GDPR Art.22, FCA MCOB 11, UK Consumer Credit Act 1974, ICO AI Auditing Framework.</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Problem / Challenge</w:t>
            </w:r>
          </w:p>
          <w:p>
            <w:pPr>
              <w:spacing w:after="0"/>
            </w:pPr>
            <w:r>
              <w:rPr>
                <w:rFonts w:ascii="Arial" w:cs="Arial" w:eastAsia="Arial" w:hAnsi="Arial"/>
                <w:color w:val="595959"/>
                <w:sz w:val="19"/>
                <w:szCs w:val="19"/>
              </w:rPr>
              <w:t xml:space="preserve">FCA Consumer Duty 2023 Consumer Understanding outcome: customers must understand decisions affecting them. Barclays' GBM mortgage model produced denial letters with generic reasons ('did not meet our lending criteria') — insufficient under Consumer Duty and Consumer Credit Act. FCA supervisory notice required specific, comprehensible reasons for all automated mortgage decisions.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XAI Approach</w:t>
            </w:r>
          </w:p>
          <w:p>
            <w:pPr>
              <w:spacing w:after="0"/>
            </w:pPr>
            <w:r>
              <w:rPr>
                <w:rFonts w:ascii="Arial" w:cs="Arial" w:eastAsia="Arial" w:hAnsi="Arial"/>
                <w:color w:val="595959"/>
                <w:sz w:val="19"/>
                <w:szCs w:val="19"/>
              </w:rPr>
              <w:t xml:space="preserve">LIME deployed for mortgage adverse action. For each denial, LIME generates top-5 local feature importances translated to plain English: 'Your loan-to-value ratio of 92% exceeds our maximum of 85%', 'Your employment history of 8 months is below our 24-month minimum.' SHAP summary plots in quarterly Consumer Duty regulatory reports. DiCE counterfactuals added: 'If your deposit were 17% higher, your application would be approved.'</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Methodology Detail</w:t>
            </w:r>
          </w:p>
          <w:p>
            <w:pPr>
              <w:spacing w:after="0"/>
            </w:pPr>
            <w:r>
              <w:rPr>
                <w:rFonts w:ascii="Arial" w:cs="Arial" w:eastAsia="Arial" w:hAnsi="Arial"/>
                <w:color w:val="595959"/>
                <w:sz w:val="19"/>
                <w:szCs w:val="19"/>
              </w:rPr>
              <w:t xml:space="preserve">LIME: K=5 features, N=3,000 perturbed samples, exponential kernel σ=0.75. Mortgage feature space: LTV, income multiple, affordability stress test (6% rate), employment tenure, credit bureau score, outstanding debt/income. Plain-language translation: LIME coefficient → FCA-approved customer-facing reason codes. DiCE counterfactuals: immutable (age, property value); mutable (deposit, debt repayment). Barclays published UK's first AI Transparency Report for mortgage market (2024).</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Regulatory Framework</w:t>
            </w:r>
          </w:p>
          <w:p>
            <w:pPr>
              <w:spacing w:after="0"/>
            </w:pPr>
            <w:r>
              <w:rPr>
                <w:rFonts w:ascii="Arial" w:cs="Arial" w:eastAsia="Arial" w:hAnsi="Arial"/>
                <w:color w:val="595959"/>
                <w:sz w:val="19"/>
                <w:szCs w:val="19"/>
              </w:rPr>
              <w:t xml:space="preserve">FCA Consumer Duty 2023 (PRIN 12): Consumer Understanding — decisions must be comprehensible. Consumer Credit Act 1974: right to adverse action explanation on request. FCA MCOB 11: mortgage conduct; decision transparency. ICO AI Auditing Framework: algorithmic transparency. GDPR Art.22: meaningful information about logic. FCA Supervisory Notice: specific reasons required for all automated mortgage decisions.</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Outcomes / Impact</w:t>
            </w:r>
          </w:p>
          <w:p>
            <w:pPr>
              <w:spacing w:after="0"/>
            </w:pPr>
            <w:r>
              <w:rPr>
                <w:rFonts w:ascii="Arial" w:cs="Arial" w:eastAsia="Arial" w:hAnsi="Arial"/>
                <w:color w:val="595959"/>
                <w:sz w:val="19"/>
                <w:szCs w:val="19"/>
              </w:rPr>
              <w:t xml:space="preserve">L — I  ·  F — C  ·  F — i  ·  C — u</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9A227" w:sz="1"/>
              <w:left w:val="single" w:color="C9A227" w:sz="1"/>
              <w:bottom w:val="single" w:color="C9A227" w:sz="1"/>
              <w:right w:val="single" w:color="C9A227" w:sz="1"/>
            </w:tcBorders>
            <w:shd w:fill="1F3864" w:val="clear"/>
            <w:tcMar>
              <w:top w:type="dxa" w:w="100"/>
              <w:left w:type="dxa" w:w="160"/>
              <w:bottom w:type="dxa" w:w="100"/>
              <w:right w:type="dxa" w:w="120"/>
            </w:tcMar>
          </w:tcPr>
          <w:p>
            <w:pPr>
              <w:spacing w:after="0"/>
            </w:pPr>
            <w:r>
              <w:rPr>
                <w:rFonts w:ascii="Arial" w:cs="Arial" w:eastAsia="Arial" w:hAnsi="Arial"/>
                <w:b/>
                <w:bCs/>
                <w:color w:val="C9A227"/>
                <w:sz w:val="21"/>
                <w:szCs w:val="21"/>
              </w:rPr>
              <w:t xml:space="preserve">Case Study 3  🇫🇷  France  —  AXA Group</w:t>
            </w:r>
            <w:r>
              <w:rPr>
                <w:rFonts w:ascii="Arial" w:cs="Arial" w:eastAsia="Arial" w:hAnsi="Arial"/>
                <w:color w:val="AED6F1"/>
                <w:sz w:val="18"/>
                <w:szCs w:val="18"/>
              </w:rPr>
              <w:t xml:space="preserve">    |    Insurance — SHAP Claims &amp; Pricing Explainability</w:t>
            </w:r>
            <w:r>
              <w:rPr>
                <w:rFonts w:ascii="Arial" w:cs="Arial" w:eastAsia="Arial" w:hAnsi="Arial"/>
                <w:color w:val="D6E4F0"/>
                <w:sz w:val="18"/>
                <w:szCs w:val="18"/>
              </w:rPr>
              <w:t xml:space="preserve">    |    SHAP Waterfall + Model Cards (ACPR + EIOPA)</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Context</w:t>
            </w:r>
          </w:p>
          <w:p>
            <w:pPr>
              <w:spacing w:after="0"/>
            </w:pPr>
            <w:r>
              <w:rPr>
                <w:rFonts w:ascii="Arial" w:cs="Arial" w:eastAsia="Arial" w:hAnsi="Arial"/>
                <w:color w:val="595959"/>
                <w:sz w:val="19"/>
                <w:szCs w:val="19"/>
              </w:rPr>
              <w:t xml:space="preserve">AXA Group, Paris — EUR 102B revenue, world's largest insurance group. AXA Next AI Labs: SHAP-based explainability for P&amp;C claims handling AI and motor insurance pricing GBM. Regulated by ACPR. Subject to EU AI Act Annex III (insurance pricing high-risk), EIOPA AI Guidelines (2021), GDPR Art.22, French Insurance Code Art.L112-2 (explanation of exclusions).</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Problem / Challenge</w:t>
            </w:r>
          </w:p>
          <w:p>
            <w:pPr>
              <w:spacing w:after="0"/>
            </w:pPr>
            <w:r>
              <w:rPr>
                <w:rFonts w:ascii="Arial" w:cs="Arial" w:eastAsia="Arial" w:hAnsi="Arial"/>
                <w:color w:val="595959"/>
                <w:sz w:val="19"/>
                <w:szCs w:val="19"/>
              </w:rPr>
              <w:t xml:space="preserve">Dual regulatory scrutiny: (1) ACPR required explanation of individual premium quotes under French Insurance Code — generic 'risk-based pricing' insufficient. (2) EU AI Act Annex III classifies insurance pricing AI as high-risk — Annex IV documentation and Art.13 transparency required. EIOPA AI Guidelines (2021) require 'sufficient explainability' for insurance AI decisions affecting policyholders.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XAI Approach</w:t>
            </w:r>
          </w:p>
          <w:p>
            <w:pPr>
              <w:spacing w:after="0"/>
            </w:pPr>
            <w:r>
              <w:rPr>
                <w:rFonts w:ascii="Arial" w:cs="Arial" w:eastAsia="Arial" w:hAnsi="Arial"/>
                <w:color w:val="595959"/>
                <w:sz w:val="19"/>
                <w:szCs w:val="19"/>
              </w:rPr>
              <w:t xml:space="preserve">SHAP deployed on both GBM pricing model and XGBoost claims triage. Pricing: SHAP waterfall plot per premium quote — shows contribution of each risk factor (vehicle age, annual mileage, driver age, no-claims bonus, postcode risk band) in MyAXA customer app. Claims triage: SHAP force plot shows top-3 risk factors driving claim routing. Model Cards published for both models under ACPR model governance framework.</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Methodology Detail</w:t>
            </w:r>
          </w:p>
          <w:p>
            <w:pPr>
              <w:spacing w:after="0"/>
            </w:pPr>
            <w:r>
              <w:rPr>
                <w:rFonts w:ascii="Arial" w:cs="Arial" w:eastAsia="Arial" w:hAnsi="Arial"/>
                <w:color w:val="595959"/>
                <w:sz w:val="19"/>
                <w:szCs w:val="19"/>
              </w:rPr>
              <w:t xml:space="preserve">GBM pricing: SHAP summary plot (global regulatory card); SHAP waterfall (local — individual quote in app). XGBoost claims: SHAP force plot — claims adjuster interface. Feature engineering: vehicle telematics, postcode risk bands, driver behaviour scores, no-claims history. SHAP interaction values: mileage × vehicle age cross-effect. EIOPA requirement: explanation of AI output uncertainty and confidence intervals.</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Regulatory Framework</w:t>
            </w:r>
          </w:p>
          <w:p>
            <w:pPr>
              <w:spacing w:after="0"/>
            </w:pPr>
            <w:r>
              <w:rPr>
                <w:rFonts w:ascii="Arial" w:cs="Arial" w:eastAsia="Arial" w:hAnsi="Arial"/>
                <w:color w:val="595959"/>
                <w:sz w:val="19"/>
                <w:szCs w:val="19"/>
              </w:rPr>
              <w:t xml:space="preserve">EU AI Act Annex III: insurance pricing high-risk — Annex IV documentation; Art.13 transparency. EIOPA AI Guidelines (2021): 'sufficient explainability'. ACPR Model Risk Supervision: SHAP as mandatory model validation component. French Insurance Code Art.L112-2: insurer must explain pricing exclusions. GDPR Art.22: automated pricing — meaningful information about logic required.</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Outcomes / Impact</w:t>
            </w:r>
          </w:p>
          <w:p>
            <w:pPr>
              <w:spacing w:after="0"/>
            </w:pPr>
            <w:r>
              <w:rPr>
                <w:rFonts w:ascii="Arial" w:cs="Arial" w:eastAsia="Arial" w:hAnsi="Arial"/>
                <w:color w:val="595959"/>
                <w:sz w:val="19"/>
                <w:szCs w:val="19"/>
              </w:rPr>
              <w:t xml:space="preserve">A — X  ·  I — n  ·  A — I  ·  P — u</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9A227" w:sz="1"/>
              <w:left w:val="single" w:color="C9A227" w:sz="1"/>
              <w:bottom w:val="single" w:color="C9A227" w:sz="1"/>
              <w:right w:val="single" w:color="C9A227" w:sz="1"/>
            </w:tcBorders>
            <w:shd w:fill="1F3864" w:val="clear"/>
            <w:tcMar>
              <w:top w:type="dxa" w:w="100"/>
              <w:left w:type="dxa" w:w="160"/>
              <w:bottom w:type="dxa" w:w="100"/>
              <w:right w:type="dxa" w:w="120"/>
            </w:tcMar>
          </w:tcPr>
          <w:p>
            <w:pPr>
              <w:spacing w:after="0"/>
            </w:pPr>
            <w:r>
              <w:rPr>
                <w:rFonts w:ascii="Arial" w:cs="Arial" w:eastAsia="Arial" w:hAnsi="Arial"/>
                <w:b/>
                <w:bCs/>
                <w:color w:val="C9A227"/>
                <w:sz w:val="21"/>
                <w:szCs w:val="21"/>
              </w:rPr>
              <w:t xml:space="preserve">Case Study 4  🇪🇸  Spain  —  Banco Santander S.A.</w:t>
            </w:r>
            <w:r>
              <w:rPr>
                <w:rFonts w:ascii="Arial" w:cs="Arial" w:eastAsia="Arial" w:hAnsi="Arial"/>
                <w:color w:val="AED6F1"/>
                <w:sz w:val="18"/>
                <w:szCs w:val="18"/>
              </w:rPr>
              <w:t xml:space="preserve">    |    Investment Banking — Integrated Gradients for Fraud NLP</w:t>
            </w:r>
            <w:r>
              <w:rPr>
                <w:rFonts w:ascii="Arial" w:cs="Arial" w:eastAsia="Arial" w:hAnsi="Arial"/>
                <w:color w:val="D6E4F0"/>
                <w:sz w:val="18"/>
                <w:szCs w:val="18"/>
              </w:rPr>
              <w:t xml:space="preserve">    |    IG + DeepSHAP (BERT-based; PSD2 + EU AI Act)</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Context</w:t>
            </w:r>
          </w:p>
          <w:p>
            <w:pPr>
              <w:spacing w:after="0"/>
            </w:pPr>
            <w:r>
              <w:rPr>
                <w:rFonts w:ascii="Arial" w:cs="Arial" w:eastAsia="Arial" w:hAnsi="Arial"/>
                <w:color w:val="595959"/>
                <w:sz w:val="19"/>
                <w:szCs w:val="19"/>
              </w:rPr>
              <w:t xml:space="preserve">Banco Santander SA, Madrid — EUR 1.9T total assets, 164M customers. Global Fraud Prevention: Integrated Gradients and DeepSHAP for BERT-based transaction narrative fraud detection. Regulated by Banco de España and ECB SSM. Subject to EU AI Act Annex III (fraud detection high-risk), PSD2 RTS (Strong Customer Authentication explainability), GDPR Art.22, EU 6th Anti-Money Laundering Directive (6AMLD).</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Problem / Challenge</w:t>
            </w:r>
          </w:p>
          <w:p>
            <w:pPr>
              <w:spacing w:after="0"/>
            </w:pPr>
            <w:r>
              <w:rPr>
                <w:rFonts w:ascii="Arial" w:cs="Arial" w:eastAsia="Arial" w:hAnsi="Arial"/>
                <w:color w:val="595959"/>
                <w:sz w:val="19"/>
                <w:szCs w:val="19"/>
              </w:rPr>
              <w:t xml:space="preserve">Santander's BERT-based fraud detector analyses payment narrative text in real-time. Two regulatory challenges: (1) PSD2 requires fraud decisions to be explainable to merchants disputing false-positive payment blocks; (2) EU AI Act Annex III classifies payment fraud detection as high-risk — Art.13 transparency required. Generic 'model says fraud' is non-compliant for merchant dispute resolution under EU Payment Services Directive.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XAI Approach</w:t>
            </w:r>
          </w:p>
          <w:p>
            <w:pPr>
              <w:spacing w:after="0"/>
            </w:pPr>
            <w:r>
              <w:rPr>
                <w:rFonts w:ascii="Arial" w:cs="Arial" w:eastAsia="Arial" w:hAnsi="Arial"/>
                <w:color w:val="595959"/>
                <w:sz w:val="19"/>
                <w:szCs w:val="19"/>
              </w:rPr>
              <w:t xml:space="preserve">Integrated Gradients applied to BERT fraud classifier. For each flagged transaction, IG attributes importance scores to each token in the narrative — aggregated to semantic segments: merchant name, payment reference, amount pattern, account identifier. DeepSHAP for global feature importance across transaction types. Output: highlighted narrative shown to fraud analyst: 'Flagged because [URGENT TRANSFER] payment reference pattern is associated with social engineering fraud (87% confidence).'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Methodology Detail</w:t>
            </w:r>
          </w:p>
          <w:p>
            <w:pPr>
              <w:spacing w:after="0"/>
            </w:pPr>
            <w:r>
              <w:rPr>
                <w:rFonts w:ascii="Arial" w:cs="Arial" w:eastAsia="Arial" w:hAnsi="Arial"/>
                <w:color w:val="595959"/>
                <w:sz w:val="19"/>
                <w:szCs w:val="19"/>
              </w:rPr>
              <w:t xml:space="preserve">BERT tokenizer: WordPiece, 512 token context. IG: 50 interpolation steps from zero embedding baseline to actual token embeddings. Completeness check: IG sum = BERT output logit difference (within 0.1%). Semantic aggregation: token-level IG → word → entity → semantic category. DeepSHAP: global summary across 2M transaction narratives. SmoothGrad: IG averaged over 50 noisy input copies — reduces attribution noise for analyst interface.</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Regulatory Framework</w:t>
            </w:r>
          </w:p>
          <w:p>
            <w:pPr>
              <w:spacing w:after="0"/>
            </w:pPr>
            <w:r>
              <w:rPr>
                <w:rFonts w:ascii="Arial" w:cs="Arial" w:eastAsia="Arial" w:hAnsi="Arial"/>
                <w:color w:val="595959"/>
                <w:sz w:val="19"/>
                <w:szCs w:val="19"/>
              </w:rPr>
              <w:t xml:space="preserve">EU AI Act Annex III: payment fraud detection high-risk — Art.13 transparency; Annex IV documentation. PSD2 RTS Art.97: fraud decision explainability for merchant disputes. GDPR Art.22: automated fraud decision affecting payment rights — meaningful explanation. 6AMLD: money laundering risk assessment — IG-based explanation supports AML investigator review. Banco de España: IG methodology validated in model risk assessment.</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Outcomes / Impact</w:t>
            </w:r>
          </w:p>
          <w:p>
            <w:pPr>
              <w:spacing w:after="0"/>
            </w:pPr>
            <w:r>
              <w:rPr>
                <w:rFonts w:ascii="Arial" w:cs="Arial" w:eastAsia="Arial" w:hAnsi="Arial"/>
                <w:color w:val="595959"/>
                <w:sz w:val="19"/>
                <w:szCs w:val="19"/>
              </w:rPr>
              <w:t xml:space="preserve">I — G  ·  F — r  ·  M — e  ·  F — r</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9A227" w:sz="1"/>
              <w:left w:val="single" w:color="C9A227" w:sz="1"/>
              <w:bottom w:val="single" w:color="C9A227" w:sz="1"/>
              <w:right w:val="single" w:color="C9A227" w:sz="1"/>
            </w:tcBorders>
            <w:shd w:fill="1F3864" w:val="clear"/>
            <w:tcMar>
              <w:top w:type="dxa" w:w="100"/>
              <w:left w:type="dxa" w:w="160"/>
              <w:bottom w:type="dxa" w:w="100"/>
              <w:right w:type="dxa" w:w="120"/>
            </w:tcMar>
          </w:tcPr>
          <w:p>
            <w:pPr>
              <w:spacing w:after="0"/>
            </w:pPr>
            <w:r>
              <w:rPr>
                <w:rFonts w:ascii="Arial" w:cs="Arial" w:eastAsia="Arial" w:hAnsi="Arial"/>
                <w:b/>
                <w:bCs/>
                <w:color w:val="C9A227"/>
                <w:sz w:val="21"/>
                <w:szCs w:val="21"/>
              </w:rPr>
              <w:t xml:space="preserve">Case Study 5  🇸🇪  Sweden  —  Spotify AB</w:t>
            </w:r>
            <w:r>
              <w:rPr>
                <w:rFonts w:ascii="Arial" w:cs="Arial" w:eastAsia="Arial" w:hAnsi="Arial"/>
                <w:color w:val="AED6F1"/>
                <w:sz w:val="18"/>
                <w:szCs w:val="18"/>
              </w:rPr>
              <w:t xml:space="preserve">    |    Technology — Attention + SHAP Recommendation XAI</w:t>
            </w:r>
            <w:r>
              <w:rPr>
                <w:rFonts w:ascii="Arial" w:cs="Arial" w:eastAsia="Arial" w:hAnsi="Arial"/>
                <w:color w:val="D6E4F0"/>
                <w:sz w:val="18"/>
                <w:szCs w:val="18"/>
              </w:rPr>
              <w:t xml:space="preserve">    |    Attention Rollout + SHAP (GDPR Art.22; IMY Compliant)</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Context</w:t>
            </w:r>
          </w:p>
          <w:p>
            <w:pPr>
              <w:spacing w:after="0"/>
            </w:pPr>
            <w:r>
              <w:rPr>
                <w:rFonts w:ascii="Arial" w:cs="Arial" w:eastAsia="Arial" w:hAnsi="Arial"/>
                <w:color w:val="595959"/>
                <w:sz w:val="19"/>
                <w:szCs w:val="19"/>
              </w:rPr>
              <w:t xml:space="preserve">Spotify AB, Stockholm — USD 3.6B revenue, 602M users. Personalization AI: attention visualization and SHAP for music recommendation transformer under GDPR transparency requirements. Subject to GDPR Art.13/22 (automated profiling), Swedish IMY (Data Protection Authority) enforcement, EU AI Act GPAI Title II (large-scale recommendation model). 30% of listening driven by AI recommendations.</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Problem / Challenge</w:t>
            </w:r>
          </w:p>
          <w:p>
            <w:pPr>
              <w:spacing w:after="0"/>
            </w:pPr>
            <w:r>
              <w:rPr>
                <w:rFonts w:ascii="Arial" w:cs="Arial" w:eastAsia="Arial" w:hAnsi="Arial"/>
                <w:color w:val="595959"/>
                <w:sz w:val="19"/>
                <w:szCs w:val="19"/>
              </w:rPr>
              <w:t xml:space="preserve">GDPR Art.22 and EDPB Guidelines on automated decision-making require 'meaningful information about the logic' of profiling. IMY investigation (2022) required Spotify to explain why tracks/podcasts were recommended — 'because you listen to music' is insufficient. EDPB requires explanation to be specific to each user's actual behaviour, not a generic description of the system.</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XAI Approach</w:t>
            </w:r>
          </w:p>
          <w:p>
            <w:pPr>
              <w:spacing w:after="0"/>
            </w:pPr>
            <w:r>
              <w:rPr>
                <w:rFonts w:ascii="Arial" w:cs="Arial" w:eastAsia="Arial" w:hAnsi="Arial"/>
                <w:color w:val="595959"/>
                <w:sz w:val="19"/>
                <w:szCs w:val="19"/>
              </w:rPr>
              <w:t xml:space="preserve">Attention Rollout applied to transformer recommendation model — identifies which past listening sessions most influenced each recommendation. SHAP applied to user feature vectors — top-3 listening behaviour drivers: listening time of day, genre affinity scores, recent discovery patterns, skip rate. User-facing: 'Recommended because you listened to [similar artist] 12 times this week and often discover new music on weekday evenings.'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Methodology Detail</w:t>
            </w:r>
          </w:p>
          <w:p>
            <w:pPr>
              <w:spacing w:after="0"/>
            </w:pPr>
            <w:r>
              <w:rPr>
                <w:rFonts w:ascii="Arial" w:cs="Arial" w:eastAsia="Arial" w:hAnsi="Arial"/>
                <w:color w:val="595959"/>
                <w:sz w:val="19"/>
                <w:szCs w:val="19"/>
              </w:rPr>
              <w:t xml:space="preserve">Transformer: listening sequence as tokens; self-attention across sessions. Attention Rollout: propagates attention across all layers including skip connections (Abnar &amp; Zuidema 2020) — more faithful than raw single-layer attention. SHAP on user feature vectors: listening-hour patterns, genre embeddings, recent discovery rate, playlist behaviour, artist affinity decay. 'Why this?' button: plain-language from SHAP + rollout. IMY reviewed and approved explanation methodology.</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Regulatory Framework</w:t>
            </w:r>
          </w:p>
          <w:p>
            <w:pPr>
              <w:spacing w:after="0"/>
            </w:pPr>
            <w:r>
              <w:rPr>
                <w:rFonts w:ascii="Arial" w:cs="Arial" w:eastAsia="Arial" w:hAnsi="Arial"/>
                <w:color w:val="595959"/>
                <w:sz w:val="19"/>
                <w:szCs w:val="19"/>
              </w:rPr>
              <w:t xml:space="preserve">GDPR Art.13: right to information about automated profiling logic. GDPR Art.22: right to meaningful explanation of decisions based on automated profiling. EDPB Guidelines 03/2022: explanation must be specific, not generic. IMY (Swedish DPA): supervisory investigation — explanation required to be specific to user's actual listening history. EU AI Act GPAI Title II: capability documentation for large-scale recommendation AI.</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Outcomes / Impact</w:t>
            </w:r>
          </w:p>
          <w:p>
            <w:pPr>
              <w:spacing w:after="0"/>
            </w:pPr>
            <w:r>
              <w:rPr>
                <w:rFonts w:ascii="Arial" w:cs="Arial" w:eastAsia="Arial" w:hAnsi="Arial"/>
                <w:color w:val="595959"/>
                <w:sz w:val="19"/>
                <w:szCs w:val="19"/>
              </w:rPr>
              <w:t xml:space="preserve">R — e  ·  S — H  ·  S — w  ·  A — I</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9A227" w:sz="1"/>
              <w:left w:val="single" w:color="C9A227" w:sz="1"/>
              <w:bottom w:val="single" w:color="C9A227" w:sz="1"/>
              <w:right w:val="single" w:color="C9A227" w:sz="1"/>
            </w:tcBorders>
            <w:shd w:fill="1F3864" w:val="clear"/>
            <w:tcMar>
              <w:top w:type="dxa" w:w="100"/>
              <w:left w:type="dxa" w:w="160"/>
              <w:bottom w:type="dxa" w:w="100"/>
              <w:right w:type="dxa" w:w="120"/>
            </w:tcMar>
          </w:tcPr>
          <w:p>
            <w:pPr>
              <w:spacing w:after="0"/>
            </w:pPr>
            <w:r>
              <w:rPr>
                <w:rFonts w:ascii="Arial" w:cs="Arial" w:eastAsia="Arial" w:hAnsi="Arial"/>
                <w:b/>
                <w:bCs/>
                <w:color w:val="C9A227"/>
                <w:sz w:val="21"/>
                <w:szCs w:val="21"/>
              </w:rPr>
              <w:t xml:space="preserve">Case Study 6  🇺🇸  United States  —  Wells Fargo &amp; Company</w:t>
            </w:r>
            <w:r>
              <w:rPr>
                <w:rFonts w:ascii="Arial" w:cs="Arial" w:eastAsia="Arial" w:hAnsi="Arial"/>
                <w:color w:val="AED6F1"/>
                <w:sz w:val="18"/>
                <w:szCs w:val="18"/>
              </w:rPr>
              <w:t xml:space="preserve">    |    Retail Banking — SHAP Adverse Action (ECOA Reg B)</w:t>
            </w:r>
            <w:r>
              <w:rPr>
                <w:rFonts w:ascii="Arial" w:cs="Arial" w:eastAsia="Arial" w:hAnsi="Arial"/>
                <w:color w:val="D6E4F0"/>
                <w:sz w:val="18"/>
                <w:szCs w:val="18"/>
              </w:rPr>
              <w:t xml:space="preserve">    |    TreeSHAP + Reg B Adverse Action (CFPB Compliant)</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Context</w:t>
            </w:r>
          </w:p>
          <w:p>
            <w:pPr>
              <w:spacing w:after="0"/>
            </w:pPr>
            <w:r>
              <w:rPr>
                <w:rFonts w:ascii="Arial" w:cs="Arial" w:eastAsia="Arial" w:hAnsi="Arial"/>
                <w:color w:val="595959"/>
                <w:sz w:val="19"/>
                <w:szCs w:val="19"/>
              </w:rPr>
              <w:t xml:space="preserve">Wells Fargo &amp; Company, San Francisco — USD 1.9T assets. Consumer Credit Risk: SHAP-based adverse action explanation for personal loan, credit card, and auto lending AI. Regulated by OCC and Federal Reserve. Subject to ECOA Regulation B (adverse action specific reasons), CFPB fair lending supervision, OCC SR 11-7 (model risk explainability), US EO 14110.</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Problem / Challenge</w:t>
            </w:r>
          </w:p>
          <w:p>
            <w:pPr>
              <w:spacing w:after="0"/>
            </w:pPr>
            <w:r>
              <w:rPr>
                <w:rFonts w:ascii="Arial" w:cs="Arial" w:eastAsia="Arial" w:hAnsi="Arial"/>
                <w:color w:val="595959"/>
                <w:sz w:val="19"/>
                <w:szCs w:val="19"/>
              </w:rPr>
              <w:t xml:space="preserve">CFPB supervisory guidance (2022) clarified that complex AI models must still provide 'specific reasons' for adverse action under ECOA Regulation B — generic reasons like 'credit model decision' are non-compliant. CFPB examination identified adverse action deficiencies across Wells Fargo credit card, personal loan, and auto lending portfolios. Required remediation with specific reasons derived from model logic.</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XAI Approach</w:t>
            </w:r>
          </w:p>
          <w:p>
            <w:pPr>
              <w:spacing w:after="0"/>
            </w:pPr>
            <w:r>
              <w:rPr>
                <w:rFonts w:ascii="Arial" w:cs="Arial" w:eastAsia="Arial" w:hAnsi="Arial"/>
                <w:color w:val="595959"/>
                <w:sz w:val="19"/>
                <w:szCs w:val="19"/>
              </w:rPr>
              <w:t xml:space="preserve">TreeSHAP deployed on all consumer credit XGBoost and GBM models. For each declined application: SHAP top-4 features → mapped to CFPB-approved Regulation B adverse action codes: 'Debt-to-income ratio too high', 'Insufficient credit history length', 'Too many delinquencies in past 24 months', 'Credit utilisation rate is too high'. SHAP global summary plots in model risk documentation for OCC validation. Quarterly SHAP monitoring: explanation quality consistency across demographic groups.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Methodology Detail</w:t>
            </w:r>
          </w:p>
          <w:p>
            <w:pPr>
              <w:spacing w:after="0"/>
            </w:pPr>
            <w:r>
              <w:rPr>
                <w:rFonts w:ascii="Arial" w:cs="Arial" w:eastAsia="Arial" w:hAnsi="Arial"/>
                <w:color w:val="595959"/>
                <w:sz w:val="19"/>
                <w:szCs w:val="19"/>
              </w:rPr>
              <w:t xml:space="preserve">TreeSHAP exact computation for 500K+ monthly consumer credit decisions. SHAP → Reg B mapping: lookup table of 1,200 SHAP feature ranges → 35 standard CFPB adverse action codes. Adverse action letter: top-4 SHAP features as specific Reg B reasons in plain English. Explanation quality audit: SHAP consistency across race, gender, age subgroups — equal explanation quality required quarterly. Explanation stability: SHAP values monitored monthly for drift detection.</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Regulatory Framework</w:t>
            </w:r>
          </w:p>
          <w:p>
            <w:pPr>
              <w:spacing w:after="0"/>
            </w:pPr>
            <w:r>
              <w:rPr>
                <w:rFonts w:ascii="Arial" w:cs="Arial" w:eastAsia="Arial" w:hAnsi="Arial"/>
                <w:color w:val="595959"/>
                <w:sz w:val="19"/>
                <w:szCs w:val="19"/>
              </w:rPr>
              <w:t xml:space="preserve">ECOA Regulation B: adverse action notice with principal specific reasons — top-4 required. CFPB Advisory Opinion (2022): complex AI must produce specific reasons; LIME/SHAP satisfy this requirement. OCC SR 11-7: model risk — SHAP-based explainability validated in model review. US EO 14110: financial sector AI transparency reporting. UDAP/UDAAP: deceptive adverse action letters constitute enforcement risk.</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Outcomes / Impact</w:t>
            </w:r>
          </w:p>
          <w:p>
            <w:pPr>
              <w:spacing w:after="0"/>
            </w:pPr>
            <w:r>
              <w:rPr>
                <w:rFonts w:ascii="Arial" w:cs="Arial" w:eastAsia="Arial" w:hAnsi="Arial"/>
                <w:color w:val="595959"/>
                <w:sz w:val="19"/>
                <w:szCs w:val="19"/>
              </w:rPr>
              <w:t xml:space="preserve">S — H  ·  R — e  ·  A — d  ·  S — H</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9A227" w:sz="1"/>
              <w:left w:val="single" w:color="C9A227" w:sz="1"/>
              <w:bottom w:val="single" w:color="C9A227" w:sz="1"/>
              <w:right w:val="single" w:color="C9A227" w:sz="1"/>
            </w:tcBorders>
            <w:shd w:fill="1F3864" w:val="clear"/>
            <w:tcMar>
              <w:top w:type="dxa" w:w="100"/>
              <w:left w:type="dxa" w:w="160"/>
              <w:bottom w:type="dxa" w:w="100"/>
              <w:right w:type="dxa" w:w="120"/>
            </w:tcMar>
          </w:tcPr>
          <w:p>
            <w:pPr>
              <w:spacing w:after="0"/>
            </w:pPr>
            <w:r>
              <w:rPr>
                <w:rFonts w:ascii="Arial" w:cs="Arial" w:eastAsia="Arial" w:hAnsi="Arial"/>
                <w:b/>
                <w:bCs/>
                <w:color w:val="C9A227"/>
                <w:sz w:val="21"/>
                <w:szCs w:val="21"/>
              </w:rPr>
              <w:t xml:space="preserve">Case Study 7  🇺🇸  United States  —  IBM Corporation</w:t>
            </w:r>
            <w:r>
              <w:rPr>
                <w:rFonts w:ascii="Arial" w:cs="Arial" w:eastAsia="Arial" w:hAnsi="Arial"/>
                <w:color w:val="AED6F1"/>
                <w:sz w:val="18"/>
                <w:szCs w:val="18"/>
              </w:rPr>
              <w:t xml:space="preserve">    |    Enterprise AI — AI Explainability 360 (AIX360)</w:t>
            </w:r>
            <w:r>
              <w:rPr>
                <w:rFonts w:ascii="Arial" w:cs="Arial" w:eastAsia="Arial" w:hAnsi="Arial"/>
                <w:color w:val="D6E4F0"/>
                <w:sz w:val="18"/>
                <w:szCs w:val="18"/>
              </w:rPr>
              <w:t xml:space="preserve">    |    AIX360 Multi-Method XAI Toolkit (Open Source Standard)</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Context</w:t>
            </w:r>
          </w:p>
          <w:p>
            <w:pPr>
              <w:spacing w:after="0"/>
            </w:pPr>
            <w:r>
              <w:rPr>
                <w:rFonts w:ascii="Arial" w:cs="Arial" w:eastAsia="Arial" w:hAnsi="Arial"/>
                <w:color w:val="595959"/>
                <w:sz w:val="19"/>
                <w:szCs w:val="19"/>
              </w:rPr>
              <w:t xml:space="preserve">IBM Corporation, Armonk NY — USD 61.9B revenue. IBM Research: AI Explainability 360 (AIX360) open-source toolkit. Implements 9 XAI algorithms. Used in 50+ countries for regulatory-compliant XAI. IBM Watson deployed AIX360 for Watson Credit Risk at 180+ banks globally. Subject to EU AI Act GPAI Title II (Watson AI), US EO 14110, GDPR.</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Problem / Challenge</w:t>
            </w:r>
          </w:p>
          <w:p>
            <w:pPr>
              <w:spacing w:after="0"/>
            </w:pPr>
            <w:r>
              <w:rPr>
                <w:rFonts w:ascii="Arial" w:cs="Arial" w:eastAsia="Arial" w:hAnsi="Arial"/>
                <w:color w:val="595959"/>
                <w:sz w:val="19"/>
                <w:szCs w:val="19"/>
              </w:rPr>
              <w:t xml:space="preserve">Enterprise organisations needed a validated, consistent XAI toolkit covering: multiple explanation types (local, global, contrastive, rule-based), explanation quality metrics (faithfulness, complexity, stability), diverse regulatory requirements (ECOA, EU AI Act, GDPR) via a single framework, and integration with major ML frameworks. IBM Research built AIX360 to fill this gap and deployed it across Watson AI products.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XAI Approach</w:t>
            </w:r>
          </w:p>
          <w:p>
            <w:pPr>
              <w:spacing w:after="0"/>
            </w:pPr>
            <w:r>
              <w:rPr>
                <w:rFonts w:ascii="Arial" w:cs="Arial" w:eastAsia="Arial" w:hAnsi="Arial"/>
                <w:color w:val="595959"/>
                <w:sz w:val="19"/>
                <w:szCs w:val="19"/>
              </w:rPr>
              <w:t xml:space="preserve">AIX360 implements 9 XAI algorithms: SHAP (TreeSHAP, KernelSHAP), LIME, Integrated Gradients, Boolean Rule Columns (BRC), Linear Rule Regression, ProfWeight, Contrastive Explanation Method (CEM), DIPVAE, and ProtoDash. Explanation quality metrics: faithfulness (correlation of removal impact vs SHAP value), complexity (non-zero features), stability (Lipschitz coefficient). Regulatory mapping module: maps XAI technique → regulatory requirement (EU AI Act Art.13, GDPR Art.22, ECOA Reg B).</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Methodology Detail</w:t>
            </w:r>
          </w:p>
          <w:p>
            <w:pPr>
              <w:spacing w:after="0"/>
            </w:pPr>
            <w:r>
              <w:rPr>
                <w:rFonts w:ascii="Arial" w:cs="Arial" w:eastAsia="Arial" w:hAnsi="Arial"/>
                <w:color w:val="595959"/>
                <w:sz w:val="19"/>
                <w:szCs w:val="19"/>
              </w:rPr>
              <w:t xml:space="preserve">AIX360 faithfulness metric: Pearson correlation between SHAP value and actual feature removal impact on prediction. Stability: Lipschitz coefficient L of explanation function (how much explanation changes vs input change). Complexity: number of non-zero explanation features. Regulatory mapping module: enterprise teams select regulatory jurisdiction → AIX360 recommends appropriate XAI technique and validates output format. Watson Credit Risk: AIX360 SHAP deployed at 180+ banks for ECOA-compliant adverse action.</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Regulatory Framework</w:t>
            </w:r>
          </w:p>
          <w:p>
            <w:pPr>
              <w:spacing w:after="0"/>
            </w:pPr>
            <w:r>
              <w:rPr>
                <w:rFonts w:ascii="Arial" w:cs="Arial" w:eastAsia="Arial" w:hAnsi="Arial"/>
                <w:color w:val="595959"/>
                <w:sz w:val="19"/>
                <w:szCs w:val="19"/>
              </w:rPr>
              <w:t xml:space="preserve">US EO 14110: IBM reports Watson AI capabilities to NIST AI Safety Institute (foundation model reporting). EU AI Act GPAI Title II: IBM Watson as GPAI — technical documentation including explainability methodology. GDPR Art.22: AIX360 certified for EU GDPR explanation compliance by IBM's EU DPO. ECOA: AIX360 Reg B adverse action module validated by IBM Legal as CFPB-compliant.</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Outcomes / Impact</w:t>
            </w:r>
          </w:p>
          <w:p>
            <w:pPr>
              <w:spacing w:after="0"/>
            </w:pPr>
            <w:r>
              <w:rPr>
                <w:rFonts w:ascii="Arial" w:cs="Arial" w:eastAsia="Arial" w:hAnsi="Arial"/>
                <w:color w:val="595959"/>
                <w:sz w:val="19"/>
                <w:szCs w:val="19"/>
              </w:rPr>
              <w:t xml:space="preserve">S — H  ·  A — I  ·  W — a  ·  O — p</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9A227" w:sz="1"/>
              <w:left w:val="single" w:color="C9A227" w:sz="1"/>
              <w:bottom w:val="single" w:color="C9A227" w:sz="1"/>
              <w:right w:val="single" w:color="C9A227" w:sz="1"/>
            </w:tcBorders>
            <w:shd w:fill="1F3864" w:val="clear"/>
            <w:tcMar>
              <w:top w:type="dxa" w:w="100"/>
              <w:left w:type="dxa" w:w="160"/>
              <w:bottom w:type="dxa" w:w="100"/>
              <w:right w:type="dxa" w:w="120"/>
            </w:tcMar>
          </w:tcPr>
          <w:p>
            <w:pPr>
              <w:spacing w:after="0"/>
            </w:pPr>
            <w:r>
              <w:rPr>
                <w:rFonts w:ascii="Arial" w:cs="Arial" w:eastAsia="Arial" w:hAnsi="Arial"/>
                <w:b/>
                <w:bCs/>
                <w:color w:val="C9A227"/>
                <w:sz w:val="21"/>
                <w:szCs w:val="21"/>
              </w:rPr>
              <w:t xml:space="preserve">Case Study 8  🇺🇸  United States  —  Google DeepMind / NHS</w:t>
            </w:r>
            <w:r>
              <w:rPr>
                <w:rFonts w:ascii="Arial" w:cs="Arial" w:eastAsia="Arial" w:hAnsi="Arial"/>
                <w:color w:val="AED6F1"/>
                <w:sz w:val="18"/>
                <w:szCs w:val="18"/>
              </w:rPr>
              <w:t xml:space="preserve">    |    Healthcare — Integrated Gradients for Retinal AI</w:t>
            </w:r>
            <w:r>
              <w:rPr>
                <w:rFonts w:ascii="Arial" w:cs="Arial" w:eastAsia="Arial" w:hAnsi="Arial"/>
                <w:color w:val="D6E4F0"/>
                <w:sz w:val="18"/>
                <w:szCs w:val="18"/>
              </w:rPr>
              <w:t xml:space="preserve">    |    IG + Grad-CAM (FDA SaMD + NICE AI Framework)</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Context</w:t>
            </w:r>
          </w:p>
          <w:p>
            <w:pPr>
              <w:spacing w:after="0"/>
            </w:pPr>
            <w:r>
              <w:rPr>
                <w:rFonts w:ascii="Arial" w:cs="Arial" w:eastAsia="Arial" w:hAnsi="Arial"/>
                <w:color w:val="595959"/>
                <w:sz w:val="19"/>
                <w:szCs w:val="19"/>
              </w:rPr>
              <w:t xml:space="preserve">Google DeepMind Health — partnership with Moorfields Eye Hospital (NHS) and US radiology networks. IG and Grad-CAM for diabetic retinopathy detection AI (Nature Medicine, 2019) and breast cancer screening AI. Subject to FDA AI/ML SaMD guidance, UK NICE AI Evidence Standards Framework, NHS DTAC, GDPR, EU AI Act Annex III (medical AI high-risk).</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Problem / Challenge</w:t>
            </w:r>
          </w:p>
          <w:p>
            <w:pPr>
              <w:spacing w:after="0"/>
            </w:pPr>
            <w:r>
              <w:rPr>
                <w:rFonts w:ascii="Arial" w:cs="Arial" w:eastAsia="Arial" w:hAnsi="Arial"/>
                <w:color w:val="595959"/>
                <w:sz w:val="19"/>
                <w:szCs w:val="19"/>
              </w:rPr>
              <w:t xml:space="preserve">FDA AI/ML Software as a Medical Device guidance requires that AI clinical decision support tools provide 'a basis for the clinician to accept or reject the AI recommendation'. For retinal imaging, this means showing WHICH retinal features drove the diagnosis. NICE AI Evidence Standards Framework requires XAI evidence for NHS procurement. Without explainability, clinicians cannot meaningfully exercise independent professional judgement over AI outputs.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XAI Approach</w:t>
            </w:r>
          </w:p>
          <w:p>
            <w:pPr>
              <w:spacing w:after="0"/>
            </w:pPr>
            <w:r>
              <w:rPr>
                <w:rFonts w:ascii="Arial" w:cs="Arial" w:eastAsia="Arial" w:hAnsi="Arial"/>
                <w:color w:val="595959"/>
                <w:sz w:val="19"/>
                <w:szCs w:val="19"/>
              </w:rPr>
              <w:t xml:space="preserve">Integrated Gradients applied to retinal fundus image CNN. IG produces pixel-level attribution map highlighting which pixels most contributed to severity classification. Grad-CAM provides class-specific localisation — highlights retinal lesion regions (haemorrhages, exudates, microaneurysms). Combined IG + Grad-CAM overlay shown to ophthalmologists as attribution heatmap on fundus image. Clinical validation: ophthalmologist accuracy improves with explanation vs AI alone.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Methodology Detail</w:t>
            </w:r>
          </w:p>
          <w:p>
            <w:pPr>
              <w:spacing w:after="0"/>
            </w:pPr>
            <w:r>
              <w:rPr>
                <w:rFonts w:ascii="Arial" w:cs="Arial" w:eastAsia="Arial" w:hAnsi="Arial"/>
                <w:color w:val="595959"/>
                <w:sz w:val="19"/>
                <w:szCs w:val="19"/>
              </w:rPr>
              <w:t xml:space="preserve">IG: 100 interpolation steps from black image baseline. Completeness verified: IG sum = model logit difference (within 0.01%). Grad-CAM: gradient of class score w.r.t. final convolutional feature maps, ReLU-ed and upsampled to input resolution. SmoothGrad: IG averaged over 50 noisy input copies — reduces visual noise. Clinical validation study: ophthalmologist performance (sensitivity/specificity) measured with AI+explanation, AI alone, ophthalmologist alone across 3 conditions.</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Regulatory Framework</w:t>
            </w:r>
          </w:p>
          <w:p>
            <w:pPr>
              <w:spacing w:after="0"/>
            </w:pPr>
            <w:r>
              <w:rPr>
                <w:rFonts w:ascii="Arial" w:cs="Arial" w:eastAsia="Arial" w:hAnsi="Arial"/>
                <w:color w:val="595959"/>
                <w:sz w:val="19"/>
                <w:szCs w:val="19"/>
              </w:rPr>
              <w:t xml:space="preserve">FDA AI/ML SaMD Guidance (2021): clinician must independently review AI output — IG enables this. NICE AI Evidence Standards Framework: XAI evidence required for NHS AI procurement. NHS DTAC: Digital Technology Assessment Criteria — explainability mandatory. EU AI Act Annex III: medical AI high-risk — Art.13 transparency. GDPR: medical image processing — IG supports patient right to understand AI diagnosis basis.</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Outcomes / Impact</w:t>
            </w:r>
          </w:p>
          <w:p>
            <w:pPr>
              <w:spacing w:after="0"/>
            </w:pPr>
            <w:r>
              <w:rPr>
                <w:rFonts w:ascii="Arial" w:cs="Arial" w:eastAsia="Arial" w:hAnsi="Arial"/>
                <w:color w:val="595959"/>
                <w:sz w:val="19"/>
                <w:szCs w:val="19"/>
              </w:rPr>
              <w:t xml:space="preserve">L — a  ·  R — e  ·  D — u  ·  S — a</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9A227" w:sz="1"/>
              <w:left w:val="single" w:color="C9A227" w:sz="1"/>
              <w:bottom w:val="single" w:color="C9A227" w:sz="1"/>
              <w:right w:val="single" w:color="C9A227" w:sz="1"/>
            </w:tcBorders>
            <w:shd w:fill="1F3864" w:val="clear"/>
            <w:tcMar>
              <w:top w:type="dxa" w:w="100"/>
              <w:left w:type="dxa" w:w="160"/>
              <w:bottom w:type="dxa" w:w="100"/>
              <w:right w:type="dxa" w:w="120"/>
            </w:tcMar>
          </w:tcPr>
          <w:p>
            <w:pPr>
              <w:spacing w:after="0"/>
            </w:pPr>
            <w:r>
              <w:rPr>
                <w:rFonts w:ascii="Arial" w:cs="Arial" w:eastAsia="Arial" w:hAnsi="Arial"/>
                <w:b/>
                <w:bCs/>
                <w:color w:val="C9A227"/>
                <w:sz w:val="21"/>
                <w:szCs w:val="21"/>
              </w:rPr>
              <w:t xml:space="preserve">Case Study 9  🇺🇸  United States  —  Salesforce Inc.</w:t>
            </w:r>
            <w:r>
              <w:rPr>
                <w:rFonts w:ascii="Arial" w:cs="Arial" w:eastAsia="Arial" w:hAnsi="Arial"/>
                <w:color w:val="AED6F1"/>
                <w:sz w:val="18"/>
                <w:szCs w:val="18"/>
              </w:rPr>
              <w:t xml:space="preserve">    |    CRM AI Platform — Model Cards for Einstein AI</w:t>
            </w:r>
            <w:r>
              <w:rPr>
                <w:rFonts w:ascii="Arial" w:cs="Arial" w:eastAsia="Arial" w:hAnsi="Arial"/>
                <w:color w:val="D6E4F0"/>
                <w:sz w:val="18"/>
                <w:szCs w:val="18"/>
              </w:rPr>
              <w:t xml:space="preserve">    |    Model Cards (EU AI Act GPAI Annex IV Documentation)</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Context</w:t>
            </w:r>
          </w:p>
          <w:p>
            <w:pPr>
              <w:spacing w:after="0"/>
            </w:pPr>
            <w:r>
              <w:rPr>
                <w:rFonts w:ascii="Arial" w:cs="Arial" w:eastAsia="Arial" w:hAnsi="Arial"/>
                <w:color w:val="595959"/>
                <w:sz w:val="19"/>
                <w:szCs w:val="19"/>
              </w:rPr>
              <w:t xml:space="preserve">Salesforce Inc., San Francisco — USD 34.9B revenue. Responsible AI Office: Model Cards programme for all Einstein AI products (Einstein GPT, Prediction Builder, Next Best Action, Conversation Mining). Subject to EU AI Act GPAI Title II (Einstein as GPAI in EU), US EO 14110 (Einstein GPT foundation model reporting), GDPR, CCPA. 150,000+ enterprise customers globally.</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Problem / Challenge</w:t>
            </w:r>
          </w:p>
          <w:p>
            <w:pPr>
              <w:spacing w:after="0"/>
            </w:pPr>
            <w:r>
              <w:rPr>
                <w:rFonts w:ascii="Arial" w:cs="Arial" w:eastAsia="Arial" w:hAnsi="Arial"/>
                <w:color w:val="595959"/>
                <w:sz w:val="19"/>
                <w:szCs w:val="19"/>
              </w:rPr>
              <w:t xml:space="preserve">EU AI Act GPAI Title II requires providers of General Purpose AI models to maintain technical documentation including capabilities, limitations, intended uses, risks, and evaluation results. Salesforce Einstein AI is deployed by 150K+ enterprises across the EU — triggering GPAI documentation requirements. US EO 14110 requires NIST reporting for foundation models above 10²⁶ FLOPs (Einstein GPT). Enterprise customers require vendor-provided Model Cards for their own EU AI Act Annex III compliance.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XAI Approach</w:t>
            </w:r>
          </w:p>
          <w:p>
            <w:pPr>
              <w:spacing w:after="0"/>
            </w:pPr>
            <w:r>
              <w:rPr>
                <w:rFonts w:ascii="Arial" w:cs="Arial" w:eastAsia="Arial" w:hAnsi="Arial"/>
                <w:color w:val="595959"/>
                <w:sz w:val="19"/>
                <w:szCs w:val="19"/>
              </w:rPr>
              <w:t xml:space="preserve">Salesforce Responsible AI Office launched a Model Card programme covering all 8 Einstein AI product lines. Each Model Card: model architecture overview (without proprietary details), intended use cases and explicit out-of-scope uses, training data sources and preprocessing, performance metrics across demographic subgroups, bias testing results (SHAP-based), ethical considerations, known limitations, recommended deployment practices, and mandatory human oversight requirements.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Methodology Detail</w:t>
            </w:r>
          </w:p>
          <w:p>
            <w:pPr>
              <w:spacing w:after="0"/>
            </w:pPr>
            <w:r>
              <w:rPr>
                <w:rFonts w:ascii="Arial" w:cs="Arial" w:eastAsia="Arial" w:hAnsi="Arial"/>
                <w:color w:val="595959"/>
                <w:sz w:val="19"/>
                <w:szCs w:val="19"/>
              </w:rPr>
              <w:t xml:space="preserve">Model Card sections: (1) Model Details: architecture type, training vintage, update frequency. (2) Intended Use: CRM AI — sales/service/marketing; out-of-scope: medical/legal/financial advice. (3) Metrics: precision/recall/AUC by use case; subgroup disaggregation by gender, age, geography. (4) Bias testing: SHAP feature importance for discriminatory features; fairness metrics across subgroups. (5) Limitations: Einstein GPT hallucination rate; confidence calibration. (6) Human Oversight: all Einstein decisions require rep/agent review — not fully automated.</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Regulatory Framework</w:t>
            </w:r>
          </w:p>
          <w:p>
            <w:pPr>
              <w:spacing w:after="0"/>
            </w:pPr>
            <w:r>
              <w:rPr>
                <w:rFonts w:ascii="Arial" w:cs="Arial" w:eastAsia="Arial" w:hAnsi="Arial"/>
                <w:color w:val="595959"/>
                <w:sz w:val="19"/>
                <w:szCs w:val="19"/>
              </w:rPr>
              <w:t xml:space="preserve">EU AI Act GPAI Title II: technical documentation for GPAI providers — Model Cards as GPAI documentation. EU AI Act Annex III: enterprise deployers use Salesforce Model Cards as input to their own Annex IV documentation. US EO 14110: Salesforce reports Einstein GPT capabilities to NIST AI Safety Institute. GDPR: CRM data processing — Model Card documents lawful basis. CCPA: consumer rights — Model Card describes California-specific data processing.</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Outcomes / Impact</w:t>
            </w:r>
          </w:p>
          <w:p>
            <w:pPr>
              <w:spacing w:after="0"/>
            </w:pPr>
            <w:r>
              <w:rPr>
                <w:rFonts w:ascii="Arial" w:cs="Arial" w:eastAsia="Arial" w:hAnsi="Arial"/>
                <w:color w:val="595959"/>
                <w:sz w:val="19"/>
                <w:szCs w:val="19"/>
              </w:rPr>
              <w:t xml:space="preserve">M — o  ·  E — i  ·  T — i  ·  A — I</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9A227" w:sz="1"/>
              <w:left w:val="single" w:color="C9A227" w:sz="1"/>
              <w:bottom w:val="single" w:color="C9A227" w:sz="1"/>
              <w:right w:val="single" w:color="C9A227" w:sz="1"/>
            </w:tcBorders>
            <w:shd w:fill="1F3864" w:val="clear"/>
            <w:tcMar>
              <w:top w:type="dxa" w:w="100"/>
              <w:left w:type="dxa" w:w="160"/>
              <w:bottom w:type="dxa" w:w="100"/>
              <w:right w:type="dxa" w:w="120"/>
            </w:tcMar>
          </w:tcPr>
          <w:p>
            <w:pPr>
              <w:spacing w:after="0"/>
            </w:pPr>
            <w:r>
              <w:rPr>
                <w:rFonts w:ascii="Arial" w:cs="Arial" w:eastAsia="Arial" w:hAnsi="Arial"/>
                <w:b/>
                <w:bCs/>
                <w:color w:val="C9A227"/>
                <w:sz w:val="21"/>
                <w:szCs w:val="21"/>
              </w:rPr>
              <w:t xml:space="preserve">Case Study 10  🇨🇦  Canada  —  TD Bank Group</w:t>
            </w:r>
            <w:r>
              <w:rPr>
                <w:rFonts w:ascii="Arial" w:cs="Arial" w:eastAsia="Arial" w:hAnsi="Arial"/>
                <w:color w:val="AED6F1"/>
                <w:sz w:val="18"/>
                <w:szCs w:val="18"/>
              </w:rPr>
              <w:t xml:space="preserve">    |    Retail Banking — SHAP Mortgage Explainability (OSFI E-23)</w:t>
            </w:r>
            <w:r>
              <w:rPr>
                <w:rFonts w:ascii="Arial" w:cs="Arial" w:eastAsia="Arial" w:hAnsi="Arial"/>
                <w:color w:val="D6E4F0"/>
                <w:sz w:val="18"/>
                <w:szCs w:val="18"/>
              </w:rPr>
              <w:t xml:space="preserve">    |    TreeSHAP + DiCE Counterfactuals (Bilingual EN/FR)</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Context</w:t>
            </w:r>
          </w:p>
          <w:p>
            <w:pPr>
              <w:spacing w:after="0"/>
            </w:pPr>
            <w:r>
              <w:rPr>
                <w:rFonts w:ascii="Arial" w:cs="Arial" w:eastAsia="Arial" w:hAnsi="Arial"/>
                <w:color w:val="595959"/>
                <w:sz w:val="19"/>
                <w:szCs w:val="19"/>
              </w:rPr>
              <w:t xml:space="preserve">TD Bank Group, Toronto — CAD 1.9T assets, 27.5M customers. Model Risk Management: SHAP-based explainability for mortgage and consumer credit AI. Regulated by OSFI. Subject to OSFI E-23 (model risk, effective January 2024), Canada's proposed AIDA (Bill C-27), FCAC Guideline B-20, Official Languages Act (bilingual EN/FR), Quebec Law 25 (automated decision transparency).</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Problem / Challenge</w:t>
            </w:r>
          </w:p>
          <w:p>
            <w:pPr>
              <w:spacing w:after="0"/>
            </w:pPr>
            <w:r>
              <w:rPr>
                <w:rFonts w:ascii="Arial" w:cs="Arial" w:eastAsia="Arial" w:hAnsi="Arial"/>
                <w:color w:val="595959"/>
                <w:sz w:val="19"/>
                <w:szCs w:val="19"/>
              </w:rPr>
              <w:t xml:space="preserve">OSFI E-23 (effective January 2024) introduced the first explicit explainability requirement in Canadian banking model risk governance: 'The institution should be able to provide a meaningful explanation of the model output to model users and affected individuals.' This directly requires SHAP or equivalent XAI for credit models. Canada's proposed AIDA (Bill C-27) would further require 'plain language explanation' of high-impact AI decisions to affected individuals.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XAI Approach</w:t>
            </w:r>
          </w:p>
          <w:p>
            <w:pPr>
              <w:spacing w:after="0"/>
            </w:pPr>
            <w:r>
              <w:rPr>
                <w:rFonts w:ascii="Arial" w:cs="Arial" w:eastAsia="Arial" w:hAnsi="Arial"/>
                <w:color w:val="595959"/>
                <w:sz w:val="19"/>
                <w:szCs w:val="19"/>
              </w:rPr>
              <w:t xml:space="preserve">TreeSHAP on TD mortgage underwriting XGBoost model. For each decision, SHAP top-5 features → plain-language adverse action in English and French (Official Languages Act). SHAP global summary in OSFI E-23 model validation documentation. SHAP consistency monitoring: quarterly comparison across demographic subgroups. DiCE counterfactuals: 'If your LTV were reduced to 80% (additional deposit of $23,000), your application would be approved.'</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Methodology Detail</w:t>
            </w:r>
          </w:p>
          <w:p>
            <w:pPr>
              <w:spacing w:after="0"/>
            </w:pPr>
            <w:r>
              <w:rPr>
                <w:rFonts w:ascii="Arial" w:cs="Arial" w:eastAsia="Arial" w:hAnsi="Arial"/>
                <w:color w:val="595959"/>
                <w:sz w:val="19"/>
                <w:szCs w:val="19"/>
              </w:rPr>
              <w:t xml:space="preserve">TreeSHAP exact computation: 85K+ monthly mortgage decisions. Bilingual adverse action: SHAP → English and French plain-language reasons (Official Languages Act requirement). SHAP → FCAC-standard adverse action codes. Explanation stability: SHAP value consistency tested across application cohorts monthly. DiCE: immutable constraints (age, property value); mutable (down payment, debt repayment, LTV). AIDA-readiness: explanation format designed to satisfy proposed 'plain language' standard in Bill C-27.</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Regulatory Framework</w:t>
            </w:r>
          </w:p>
          <w:p>
            <w:pPr>
              <w:spacing w:after="0"/>
            </w:pPr>
            <w:r>
              <w:rPr>
                <w:rFonts w:ascii="Arial" w:cs="Arial" w:eastAsia="Arial" w:hAnsi="Arial"/>
                <w:color w:val="595959"/>
                <w:sz w:val="19"/>
                <w:szCs w:val="19"/>
              </w:rPr>
              <w:t xml:space="preserve">OSFI E-23 (January 2024): 'meaningful explanation of model output' — TreeSHAP satisfies this. Canada AIDA (proposed Bill C-27): 'plain language explanation' of high-impact AI decisions. FCAC Guideline B-20: suitability assessment transparency. Quebec Law 25: right to be informed of automated decision; right to human review. Official Languages Act: bilingual adverse action letters required. PIPEDA: personal information in credit decisions — lawful basis and explanation.</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Outcomes / Impact</w:t>
            </w:r>
          </w:p>
          <w:p>
            <w:pPr>
              <w:spacing w:after="0"/>
            </w:pPr>
            <w:r>
              <w:rPr>
                <w:rFonts w:ascii="Arial" w:cs="Arial" w:eastAsia="Arial" w:hAnsi="Arial"/>
                <w:color w:val="595959"/>
                <w:sz w:val="19"/>
                <w:szCs w:val="19"/>
              </w:rPr>
              <w:t xml:space="preserve">S — H  ·  B — i  ·  E — x  ·  E — x</w:t>
            </w:r>
          </w:p>
        </w:tc>
      </w:tr>
    </w:tbl>
    <w:p>
      <w:pPr>
        <w:spacing w:after="80"/>
      </w:pPr>
      <w:r>
        <w:t xml:space="preserve"/>
      </w:r>
    </w:p>
    <w:p>
      <w:pPr>
        <w:spacing w:after="80"/>
      </w:pPr>
      <w:r>
        <w:t xml:space="preserve"/>
      </w:r>
    </w:p>
    <w:p>
      <w:pPr>
        <w:spacing w:after="80"/>
      </w:pPr>
      <w:r>
        <w:t xml:space="preserve"/>
      </w:r>
    </w:p>
    <w:p>
      <w:r>
        <w:br w:type="page"/>
      </w:r>
    </w:p>
    <w:p>
      <w:pPr>
        <w:pStyle w:val="Heading1"/>
      </w:pPr>
      <w:r>
        <w:rPr>
          <w:rFonts w:ascii="Arial" w:cs="Arial" w:eastAsia="Arial" w:hAnsi="Arial"/>
          <w:b/>
          <w:bCs/>
          <w:color w:val="1F3864"/>
          <w:sz w:val="32"/>
          <w:szCs w:val="32"/>
        </w:rPr>
        <w:t xml:space="preserve">9.10  Chapter Summary — Key Takeaways</w:t>
      </w:r>
    </w:p>
    <w:p>
      <w:pPr>
        <w:spacing w:after="120"/>
      </w:pPr>
      <w:r>
        <w:rPr>
          <w:rFonts w:ascii="Arial" w:cs="Arial" w:eastAsia="Arial" w:hAnsi="Arial"/>
          <w:b/>
          <w:bCs/>
          <w:color w:val="1F3864"/>
          <w:sz w:val="21"/>
          <w:szCs w:val="21"/>
        </w:rPr>
        <w:t xml:space="preserve">XAI Taxonomy:  </w:t>
      </w:r>
      <w:r>
        <w:rPr>
          <w:rFonts w:ascii="Arial" w:cs="Arial" w:eastAsia="Arial" w:hAnsi="Arial"/>
          <w:color w:val="595959"/>
          <w:sz w:val="21"/>
          <w:szCs w:val="21"/>
        </w:rPr>
        <w:t xml:space="preserve">Global (model behaviour) vs Local (individual prediction). Model-agnostic (LIME, KernelSHAP) vs model-specific (TreeSHAP, IG, attention). Post-hoc vs intrinsic. Feature attribution, counterfactual, example-based outputs.</w:t>
      </w:r>
    </w:p>
    <w:p>
      <w:pPr>
        <w:spacing w:after="80"/>
      </w:pPr>
      <w:r>
        <w:t xml:space="preserve"/>
      </w:r>
    </w:p>
    <w:p>
      <w:pPr>
        <w:spacing w:after="120"/>
      </w:pPr>
      <w:r>
        <w:rPr>
          <w:rFonts w:ascii="Arial" w:cs="Arial" w:eastAsia="Arial" w:hAnsi="Arial"/>
          <w:b/>
          <w:bCs/>
          <w:color w:val="1F3864"/>
          <w:sz w:val="21"/>
          <w:szCs w:val="21"/>
        </w:rPr>
        <w:t xml:space="preserve">LIME:  </w:t>
      </w:r>
      <w:r>
        <w:rPr>
          <w:rFonts w:ascii="Arial" w:cs="Arial" w:eastAsia="Arial" w:hAnsi="Arial"/>
          <w:color w:val="595959"/>
          <w:sz w:val="21"/>
          <w:szCs w:val="21"/>
        </w:rPr>
        <w:t xml:space="preserve">ξ(x) = argmin L(f,g,π_x) + Ω(g). Perturb → weight by proximity (exponential kernel) → fit sparse linear model (K features). Enterprise use: universal adverse action translation. Limitation: instability, neighbourhood sensitivity.</w:t>
      </w:r>
    </w:p>
    <w:p>
      <w:pPr>
        <w:spacing w:after="80"/>
      </w:pPr>
      <w:r>
        <w:t xml:space="preserve"/>
      </w:r>
    </w:p>
    <w:p>
      <w:pPr>
        <w:spacing w:after="120"/>
      </w:pPr>
      <w:r>
        <w:rPr>
          <w:rFonts w:ascii="Arial" w:cs="Arial" w:eastAsia="Arial" w:hAnsi="Arial"/>
          <w:b/>
          <w:bCs/>
          <w:color w:val="1F3864"/>
          <w:sz w:val="21"/>
          <w:szCs w:val="21"/>
        </w:rPr>
        <w:t xml:space="preserve">SHAP:  </w:t>
      </w:r>
      <w:r>
        <w:rPr>
          <w:rFonts w:ascii="Arial" w:cs="Arial" w:eastAsia="Arial" w:hAnsi="Arial"/>
          <w:color w:val="595959"/>
          <w:sz w:val="21"/>
          <w:szCs w:val="21"/>
        </w:rPr>
        <w:t xml:space="preserve">Shapley axioms: efficiency, symmetry, dummy, additivity. f(x) = E[f(x)] + Σφᵢ. TreeSHAP: exact O(TLD²) for trees — enterprise standard. ECOA Reg B: SHAP top-4 → standard adverse action codes (Deutsche Bank CS1, Wells Fargo CS6).</w:t>
      </w:r>
    </w:p>
    <w:p>
      <w:pPr>
        <w:spacing w:after="80"/>
      </w:pPr>
      <w:r>
        <w:t xml:space="preserve"/>
      </w:r>
    </w:p>
    <w:p>
      <w:pPr>
        <w:spacing w:after="120"/>
      </w:pPr>
      <w:r>
        <w:rPr>
          <w:rFonts w:ascii="Arial" w:cs="Arial" w:eastAsia="Arial" w:hAnsi="Arial"/>
          <w:b/>
          <w:bCs/>
          <w:color w:val="1F3864"/>
          <w:sz w:val="21"/>
          <w:szCs w:val="21"/>
        </w:rPr>
        <w:t xml:space="preserve">Integrated Gradients:  </w:t>
      </w:r>
      <w:r>
        <w:rPr>
          <w:rFonts w:ascii="Arial" w:cs="Arial" w:eastAsia="Arial" w:hAnsi="Arial"/>
          <w:color w:val="595959"/>
          <w:sz w:val="21"/>
          <w:szCs w:val="21"/>
        </w:rPr>
        <w:t xml:space="preserve">IG_i = (xᵢ−x'ᵢ)·∫₀¹ ∂F/∂xᵢ dα. Completeness: ΣIG_i = F(x)−F(x'). Sensitivity axiom. Riemann approximation (m=50–300 steps). Preferred for deep learning: medical imaging (DeepMind CS8), fraud NLP (Santander CS4).</w:t>
      </w:r>
    </w:p>
    <w:p>
      <w:pPr>
        <w:spacing w:after="80"/>
      </w:pPr>
      <w:r>
        <w:t xml:space="preserve"/>
      </w:r>
    </w:p>
    <w:p>
      <w:pPr>
        <w:spacing w:after="120"/>
      </w:pPr>
      <w:r>
        <w:rPr>
          <w:rFonts w:ascii="Arial" w:cs="Arial" w:eastAsia="Arial" w:hAnsi="Arial"/>
          <w:b/>
          <w:bCs/>
          <w:color w:val="1F3864"/>
          <w:sz w:val="21"/>
          <w:szCs w:val="21"/>
        </w:rPr>
        <w:t xml:space="preserve">Attention:  </w:t>
      </w:r>
      <w:r>
        <w:rPr>
          <w:rFonts w:ascii="Arial" w:cs="Arial" w:eastAsia="Arial" w:hAnsi="Arial"/>
          <w:color w:val="595959"/>
          <w:sz w:val="21"/>
          <w:szCs w:val="21"/>
        </w:rPr>
        <w:t xml:space="preserve">A[i,j] = softmax(QKᵀ/√dₖ)[i,j]. Jain &amp; Wallace (2019): attention is NOT explanation — alternative distributions produce same output. Use gradient-weighted attention or Attention Rollout (Abnar &amp; Zuidema 2020) for regulatory XAI. Spotify (CS5): rollout + SHAP combination.</w:t>
      </w:r>
    </w:p>
    <w:p>
      <w:pPr>
        <w:spacing w:after="80"/>
      </w:pPr>
      <w:r>
        <w:t xml:space="preserve"/>
      </w:r>
    </w:p>
    <w:p>
      <w:pPr>
        <w:spacing w:after="120"/>
      </w:pPr>
      <w:r>
        <w:rPr>
          <w:rFonts w:ascii="Arial" w:cs="Arial" w:eastAsia="Arial" w:hAnsi="Arial"/>
          <w:b/>
          <w:bCs/>
          <w:color w:val="1F3864"/>
          <w:sz w:val="21"/>
          <w:szCs w:val="21"/>
        </w:rPr>
        <w:t xml:space="preserve">Counterfactuals:  </w:t>
      </w:r>
      <w:r>
        <w:rPr>
          <w:rFonts w:ascii="Arial" w:cs="Arial" w:eastAsia="Arial" w:hAnsi="Arial"/>
          <w:color w:val="595959"/>
          <w:sz w:val="21"/>
          <w:szCs w:val="21"/>
        </w:rPr>
        <w:t xml:space="preserve">DiCE: min proximity + diversity + loss. Actionability constraints: immutable (age, gender), mutable ↑ only (income), mutable freely (deposit, utilisation). 'If your deposit were £23K higher → approved.' Satisfies GDPR Art.22 Recital 71 and EU AI Act Art.13 better than attribution alone.</w:t>
      </w:r>
    </w:p>
    <w:p>
      <w:pPr>
        <w:spacing w:after="80"/>
      </w:pPr>
      <w:r>
        <w:t xml:space="preserve"/>
      </w:r>
    </w:p>
    <w:p>
      <w:pPr>
        <w:spacing w:after="120"/>
      </w:pPr>
      <w:r>
        <w:rPr>
          <w:rFonts w:ascii="Arial" w:cs="Arial" w:eastAsia="Arial" w:hAnsi="Arial"/>
          <w:b/>
          <w:bCs/>
          <w:color w:val="1F3864"/>
          <w:sz w:val="21"/>
          <w:szCs w:val="21"/>
        </w:rPr>
        <w:t xml:space="preserve">Model Cards:  </w:t>
      </w:r>
      <w:r>
        <w:rPr>
          <w:rFonts w:ascii="Arial" w:cs="Arial" w:eastAsia="Arial" w:hAnsi="Arial"/>
          <w:color w:val="595959"/>
          <w:sz w:val="21"/>
          <w:szCs w:val="21"/>
        </w:rPr>
        <w:t xml:space="preserve">Mitchell et al. (2019): 9 sections — model details, intended use, factors, metrics, evaluation data, training data, quantitative analyses (disaggregated), ethical considerations, caveats. Salesforce (CS9): Model Cards as EU AI Act GPAI Title II technical documentation for 150K+ enterprise customers.</w:t>
      </w:r>
    </w:p>
    <w:p>
      <w:pPr>
        <w:spacing w:after="80"/>
      </w:pPr>
      <w:r>
        <w:t xml:space="preserve"/>
      </w:r>
    </w:p>
    <w:p>
      <w:pPr>
        <w:spacing w:after="120"/>
      </w:pPr>
      <w:r>
        <w:rPr>
          <w:rFonts w:ascii="Arial" w:cs="Arial" w:eastAsia="Arial" w:hAnsi="Arial"/>
          <w:b/>
          <w:bCs/>
          <w:color w:val="1F3864"/>
          <w:sz w:val="21"/>
          <w:szCs w:val="21"/>
        </w:rPr>
        <w:t xml:space="preserve">Regulatory Standard:  </w:t>
      </w:r>
      <w:r>
        <w:rPr>
          <w:rFonts w:ascii="Arial" w:cs="Arial" w:eastAsia="Arial" w:hAnsi="Arial"/>
          <w:color w:val="595959"/>
          <w:sz w:val="21"/>
          <w:szCs w:val="21"/>
        </w:rPr>
        <w:t xml:space="preserve">EU AI Act Art.13: SHAP summary + local explanation for high-risk AI. GDPR Art.22: SHAP force plot or LIME → plain language. ECOA Reg B: SHAP top-4 → standard adverse action codes (CFPB Advisory Opinion 2022). OSFI E-23: 'meaningful explanation' — TreeSHAP for credit. FDA SaMD: IG + Grad-CAM for clinician review.</w:t>
      </w:r>
    </w:p>
    <w:p>
      <w:pPr>
        <w:spacing w:after="80"/>
      </w:pPr>
      <w:r>
        <w:t xml:space="preserve"/>
      </w:r>
    </w:p>
    <w:p>
      <w:pPr>
        <w:pStyle w:val="Heading1"/>
      </w:pPr>
      <w:r>
        <w:rPr>
          <w:rFonts w:ascii="Arial" w:cs="Arial" w:eastAsia="Arial" w:hAnsi="Arial"/>
          <w:b/>
          <w:bCs/>
          <w:color w:val="1F3864"/>
          <w:sz w:val="32"/>
          <w:szCs w:val="32"/>
        </w:rPr>
        <w:t xml:space="preserve">References</w:t>
      </w:r>
    </w:p>
    <w:p>
      <w:pPr>
        <w:pStyle w:val="ListParagraph"/>
        <w:numPr>
          <w:ilvl w:val="0"/>
          <w:numId w:val="3"/>
        </w:numPr>
        <w:spacing w:after="80"/>
      </w:pPr>
      <w:r>
        <w:rPr>
          <w:rFonts w:ascii="Arial" w:cs="Arial" w:eastAsia="Arial" w:hAnsi="Arial"/>
          <w:color w:val="595959"/>
          <w:sz w:val="21"/>
          <w:szCs w:val="21"/>
        </w:rPr>
        <w:t xml:space="preserve">Ribeiro, M.T., Singh, S. &amp; Guestrin, C. (2016). 'Why Should I Trust You?': Explaining the Predictions of Any Classifier. KDD 2016.</w:t>
      </w:r>
    </w:p>
    <w:p>
      <w:pPr>
        <w:pStyle w:val="ListParagraph"/>
        <w:numPr>
          <w:ilvl w:val="0"/>
          <w:numId w:val="3"/>
        </w:numPr>
        <w:spacing w:after="80"/>
      </w:pPr>
      <w:r>
        <w:rPr>
          <w:rFonts w:ascii="Arial" w:cs="Arial" w:eastAsia="Arial" w:hAnsi="Arial"/>
          <w:color w:val="595959"/>
          <w:sz w:val="21"/>
          <w:szCs w:val="21"/>
        </w:rPr>
        <w:t xml:space="preserve">Lundberg, S.M. &amp; Lee, S.I. (2017). A Unified Approach to Interpreting Model Predictions (SHAP). NeurIPS 2017.</w:t>
      </w:r>
    </w:p>
    <w:p>
      <w:pPr>
        <w:pStyle w:val="ListParagraph"/>
        <w:numPr>
          <w:ilvl w:val="0"/>
          <w:numId w:val="3"/>
        </w:numPr>
        <w:spacing w:after="80"/>
      </w:pPr>
      <w:r>
        <w:rPr>
          <w:rFonts w:ascii="Arial" w:cs="Arial" w:eastAsia="Arial" w:hAnsi="Arial"/>
          <w:color w:val="595959"/>
          <w:sz w:val="21"/>
          <w:szCs w:val="21"/>
        </w:rPr>
        <w:t xml:space="preserve">Lundberg, S.M. et al. (2020). From Local Explanations to Global Understanding with Explainable AI for Trees (TreeSHAP). Nature Machine Intelligence.</w:t>
      </w:r>
    </w:p>
    <w:p>
      <w:pPr>
        <w:pStyle w:val="ListParagraph"/>
        <w:numPr>
          <w:ilvl w:val="0"/>
          <w:numId w:val="3"/>
        </w:numPr>
        <w:spacing w:after="80"/>
      </w:pPr>
      <w:r>
        <w:rPr>
          <w:rFonts w:ascii="Arial" w:cs="Arial" w:eastAsia="Arial" w:hAnsi="Arial"/>
          <w:color w:val="595959"/>
          <w:sz w:val="21"/>
          <w:szCs w:val="21"/>
        </w:rPr>
        <w:t xml:space="preserve">Sundararajan, M., Taly, A. &amp; Yan, Q. (2017). Axiomatic Attribution for Deep Networks (Integrated Gradients). ICML 2017.</w:t>
      </w:r>
    </w:p>
    <w:p>
      <w:pPr>
        <w:pStyle w:val="ListParagraph"/>
        <w:numPr>
          <w:ilvl w:val="0"/>
          <w:numId w:val="3"/>
        </w:numPr>
        <w:spacing w:after="80"/>
      </w:pPr>
      <w:r>
        <w:rPr>
          <w:rFonts w:ascii="Arial" w:cs="Arial" w:eastAsia="Arial" w:hAnsi="Arial"/>
          <w:color w:val="595959"/>
          <w:sz w:val="21"/>
          <w:szCs w:val="21"/>
        </w:rPr>
        <w:t xml:space="preserve">Vaswani, A. et al. (2017). Attention Is All You Need. NeurIPS 2017.</w:t>
      </w:r>
    </w:p>
    <w:p>
      <w:pPr>
        <w:pStyle w:val="ListParagraph"/>
        <w:numPr>
          <w:ilvl w:val="0"/>
          <w:numId w:val="3"/>
        </w:numPr>
        <w:spacing w:after="80"/>
      </w:pPr>
      <w:r>
        <w:rPr>
          <w:rFonts w:ascii="Arial" w:cs="Arial" w:eastAsia="Arial" w:hAnsi="Arial"/>
          <w:color w:val="595959"/>
          <w:sz w:val="21"/>
          <w:szCs w:val="21"/>
        </w:rPr>
        <w:t xml:space="preserve">Jain, S. &amp; Wallace, B.C. (2019). Attention is Not Explanation. NAACL 2019.</w:t>
      </w:r>
    </w:p>
    <w:p>
      <w:pPr>
        <w:pStyle w:val="ListParagraph"/>
        <w:numPr>
          <w:ilvl w:val="0"/>
          <w:numId w:val="3"/>
        </w:numPr>
        <w:spacing w:after="80"/>
      </w:pPr>
      <w:r>
        <w:rPr>
          <w:rFonts w:ascii="Arial" w:cs="Arial" w:eastAsia="Arial" w:hAnsi="Arial"/>
          <w:color w:val="595959"/>
          <w:sz w:val="21"/>
          <w:szCs w:val="21"/>
        </w:rPr>
        <w:t xml:space="preserve">Abnar, S. &amp; Zuidema, W. (2020). Quantifying Attention Flow in Transformers (Attention Rollout). ACL 2020.</w:t>
      </w:r>
    </w:p>
    <w:p>
      <w:pPr>
        <w:pStyle w:val="ListParagraph"/>
        <w:numPr>
          <w:ilvl w:val="0"/>
          <w:numId w:val="3"/>
        </w:numPr>
        <w:spacing w:after="80"/>
      </w:pPr>
      <w:r>
        <w:rPr>
          <w:rFonts w:ascii="Arial" w:cs="Arial" w:eastAsia="Arial" w:hAnsi="Arial"/>
          <w:color w:val="595959"/>
          <w:sz w:val="21"/>
          <w:szCs w:val="21"/>
        </w:rPr>
        <w:t xml:space="preserve">Mitchell, M. et al. (2019). Model Cards for Model Reporting. FAccT 2019.</w:t>
      </w:r>
    </w:p>
    <w:p>
      <w:pPr>
        <w:pStyle w:val="ListParagraph"/>
        <w:numPr>
          <w:ilvl w:val="0"/>
          <w:numId w:val="3"/>
        </w:numPr>
        <w:spacing w:after="80"/>
      </w:pPr>
      <w:r>
        <w:rPr>
          <w:rFonts w:ascii="Arial" w:cs="Arial" w:eastAsia="Arial" w:hAnsi="Arial"/>
          <w:color w:val="595959"/>
          <w:sz w:val="21"/>
          <w:szCs w:val="21"/>
        </w:rPr>
        <w:t xml:space="preserve">Mothilal, R.K., Sharma, A. &amp; Tan, C. (2020). Explaining Machine Learning Classifiers through Diverse Counterfactual Explanations (DiCE). FAccT 2020.</w:t>
      </w:r>
    </w:p>
    <w:p>
      <w:pPr>
        <w:pStyle w:val="ListParagraph"/>
        <w:numPr>
          <w:ilvl w:val="0"/>
          <w:numId w:val="3"/>
        </w:numPr>
        <w:spacing w:after="80"/>
      </w:pPr>
      <w:r>
        <w:rPr>
          <w:rFonts w:ascii="Arial" w:cs="Arial" w:eastAsia="Arial" w:hAnsi="Arial"/>
          <w:color w:val="595959"/>
          <w:sz w:val="21"/>
          <w:szCs w:val="21"/>
        </w:rPr>
        <w:t xml:space="preserve">EU Parliament (2024). AI Act Regulation 2024/1689 — Art.13 (Transparency Obligations), Annex IV (Technical Documentation).</w:t>
      </w:r>
    </w:p>
    <w:p>
      <w:pPr>
        <w:pStyle w:val="ListParagraph"/>
        <w:numPr>
          <w:ilvl w:val="0"/>
          <w:numId w:val="3"/>
        </w:numPr>
        <w:spacing w:after="80"/>
      </w:pPr>
      <w:r>
        <w:rPr>
          <w:rFonts w:ascii="Arial" w:cs="Arial" w:eastAsia="Arial" w:hAnsi="Arial"/>
          <w:color w:val="595959"/>
          <w:sz w:val="21"/>
          <w:szCs w:val="21"/>
        </w:rPr>
        <w:t xml:space="preserve">CFPB Advisory Opinion (2022). Equal Credit Opportunity Act: Adverse Action Notification Requirements and AI/ML Models.</w:t>
      </w:r>
    </w:p>
    <w:p>
      <w:pPr>
        <w:pStyle w:val="ListParagraph"/>
        <w:numPr>
          <w:ilvl w:val="0"/>
          <w:numId w:val="3"/>
        </w:numPr>
        <w:spacing w:after="80"/>
      </w:pPr>
      <w:r>
        <w:rPr>
          <w:rFonts w:ascii="Arial" w:cs="Arial" w:eastAsia="Arial" w:hAnsi="Arial"/>
          <w:color w:val="595959"/>
          <w:sz w:val="21"/>
          <w:szCs w:val="21"/>
        </w:rPr>
        <w:t xml:space="preserve">EBA (2020). Guidelines on Loan Origination and Monitoring GL/2020/06 — Section 5.4 (Explainability of ML Models).</w:t>
      </w:r>
    </w:p>
    <w:p>
      <w:pPr>
        <w:pStyle w:val="ListParagraph"/>
        <w:numPr>
          <w:ilvl w:val="0"/>
          <w:numId w:val="3"/>
        </w:numPr>
        <w:spacing w:after="80"/>
      </w:pPr>
      <w:r>
        <w:rPr>
          <w:rFonts w:ascii="Arial" w:cs="Arial" w:eastAsia="Arial" w:hAnsi="Arial"/>
          <w:color w:val="595959"/>
          <w:sz w:val="21"/>
          <w:szCs w:val="21"/>
        </w:rPr>
        <w:t xml:space="preserve">OSFI (2024). Guideline E-23: Enterprise-Wide Model Risk Management — Explainability Requirements.</w:t>
      </w:r>
    </w:p>
    <w:p>
      <w:pPr>
        <w:pStyle w:val="ListParagraph"/>
        <w:numPr>
          <w:ilvl w:val="0"/>
          <w:numId w:val="3"/>
        </w:numPr>
        <w:spacing w:after="80"/>
      </w:pPr>
      <w:r>
        <w:rPr>
          <w:rFonts w:ascii="Arial" w:cs="Arial" w:eastAsia="Arial" w:hAnsi="Arial"/>
          <w:color w:val="595959"/>
          <w:sz w:val="21"/>
          <w:szCs w:val="21"/>
        </w:rPr>
        <w:t xml:space="preserve">Arrieta, A.B. et al. (2020). Explainable Artificial Intelligence (XAI): Concepts, taxonomies, opportunities and challenges. Information Fusion 58.</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4"/>
      </w:pBdr>
      <w:tabs>
        <w:tab w:val="right" w:pos="9026"/>
      </w:tabs>
    </w:pPr>
    <w:r>
      <w:rPr>
        <w:rFonts w:ascii="Arial" w:cs="Arial" w:eastAsia="Arial" w:hAnsi="Arial"/>
        <w:color w:val="595959"/>
        <w:sz w:val="18"/>
        <w:szCs w:val="18"/>
      </w:rPr>
      <w:t xml:space="preserve">Chapter 9: Explainable AI — LIME · SHAP · Integrated Gradients · Attention · Model Cards  |  CAISA™ Level 1</w:t>
    </w:r>
    <w:r>
      <w:rPr>
        <w:rFonts w:ascii="Arial" w:cs="Arial" w:eastAsia="Arial" w:hAnsi="Arial"/>
        <w:sz w:val="18"/>
        <w:szCs w:val="18"/>
      </w:rPr>
      <w:t xml:space="preserve">	</w:t>
    </w:r>
    <w:r>
      <w:rPr>
        <w:rFonts w:ascii="Arial" w:cs="Arial" w:eastAsia="Arial" w:hAnsi="Arial"/>
        <w:b/>
        <w:bCs/>
        <w:color w:val="1F386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4"/>
      </w:pBdr>
      <w:tabs>
        <w:tab w:val="right" w:pos="9026"/>
      </w:tabs>
    </w:pPr>
    <w:r>
      <w:rPr>
        <w:rFonts w:ascii="Arial" w:cs="Arial" w:eastAsia="Arial" w:hAnsi="Arial"/>
        <w:color w:val="2E75B6"/>
        <w:sz w:val="18"/>
        <w:szCs w:val="18"/>
      </w:rPr>
      <w:t xml:space="preserve">CAISA™ Level 1  |  Chapter 9: Explainable AI (XAI)</w:t>
    </w:r>
    <w:r>
      <w:rPr>
        <w:rFonts w:ascii="Arial" w:cs="Arial" w:eastAsia="Arial" w:hAnsi="Arial"/>
        <w:color w:val="595959"/>
        <w:sz w:val="18"/>
        <w:szCs w:val="18"/>
      </w:rPr>
      <w:t xml:space="preserve">	© SaamSoft Systems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pBd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160" w:after="80"/>
      <w:outlineLvl w:val="2"/>
    </w:pPr>
    <w:rPr>
      <w:rFonts w:ascii="Arial" w:cs="Arial" w:eastAsia="Arial" w:hAnsi="Arial"/>
      <w:b/>
      <w:bCs/>
      <w:color w:val="1A6B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2026-02-22T23:46:15.514Z</dcterms:created>
  <dcterms:modified xsi:type="dcterms:W3CDTF">2026-02-22T23:46:15.514Z</dcterms:modified>
</cp:coreProperties>
</file>

<file path=docProps/custom.xml><?xml version="1.0" encoding="utf-8"?>
<Properties xmlns="http://schemas.openxmlformats.org/officeDocument/2006/custom-properties" xmlns:vt="http://schemas.openxmlformats.org/officeDocument/2006/docPropsVTypes"/>
</file>