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E3A5F"/>
          <w:sz w:val="48"/>
          <w:szCs w:val="48"/>
        </w:rPr>
        <w:t xml:space="preserve">Test Summary Report</w:t>
      </w:r>
    </w:p>
    <w:p>
      <w:pPr>
        <w:spacing w:after="120"/>
        <w:jc w:val="center"/>
      </w:pPr>
      <w:r>
        <w:rPr>
          <w:rFonts w:ascii="Arial" w:cs="Arial" w:eastAsia="Arial" w:hAnsi="Arial"/>
          <w:color w:val="2E5FA3"/>
          <w:sz w:val="26"/>
          <w:szCs w:val="26"/>
        </w:rPr>
        <w:t xml:space="preserve">Pams-Store — WooCommerce Demo Site</w:t>
      </w:r>
    </w:p>
    <w:p>
      <w:pPr>
        <w:spacing w:after="480"/>
        <w:jc w:val="center"/>
      </w:pPr>
      <w:r>
        <w:rPr>
          <w:rFonts w:ascii="Arial" w:cs="Arial" w:eastAsia="Arial" w:hAnsi="Arial"/>
          <w:color w:val="888888"/>
          <w:sz w:val="18"/>
          <w:szCs w:val="18"/>
        </w:rPr>
        <w:t xml:space="preserve">QA Testing Cycle  |  June 2026</w:t>
      </w:r>
    </w:p>
    <w:p>
      <w:pPr>
        <w:pStyle w:val="Heading1"/>
        <w:pBdr>
          <w:bottom w:val="single" w:color="1E3A5F" w:sz="6" w:space="1"/>
        </w:pBdr>
        <w:spacing w:after="160" w:before="360"/>
      </w:pPr>
      <w:r>
        <w:rPr>
          <w:rFonts w:ascii="Arial" w:cs="Arial" w:eastAsia="Arial" w:hAnsi="Arial"/>
          <w:b/>
          <w:bCs/>
          <w:color w:val="1E3A5F"/>
          <w:sz w:val="30"/>
          <w:szCs w:val="30"/>
        </w:rPr>
        <w:t xml:space="preserve">1. Overview</w:t>
      </w:r>
    </w:p>
    <w:p>
      <w:pPr>
        <w:spacing w:after="120"/>
      </w:pPr>
      <w:r>
        <w:rPr>
          <w:rFonts w:ascii="Arial" w:cs="Arial" w:eastAsia="Arial" w:hAnsi="Arial"/>
          <w:sz w:val="20"/>
          <w:szCs w:val="20"/>
        </w:rPr>
        <w:t xml:space="preserve">This report summarizes the QA testing cycle carried out on the Pams-Store WooCommerce demo site. Testing covered six functional milestones — Authentication, Product Catalog, Search &amp; Filtering, Shopping Cart, Checkout, and Order Management — through a combination of structured test case execution and exploratory testing. A total of 147 test cases were executed and 12 defects were logged and documented in the accompanying bug report.</w:t>
      </w:r>
    </w:p>
    <w:p>
      <w:pPr>
        <w:spacing w:after="12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2. Scope</w:t>
      </w:r>
    </w:p>
    <w:p>
      <w:pPr>
        <w:pStyle w:val="Heading2"/>
        <w:spacing w:after="120" w:before="260"/>
      </w:pPr>
      <w:r>
        <w:rPr>
          <w:rFonts w:ascii="Arial" w:cs="Arial" w:eastAsia="Arial" w:hAnsi="Arial"/>
          <w:b/>
          <w:bCs/>
          <w:color w:val="2E5FA3"/>
          <w:sz w:val="24"/>
          <w:szCs w:val="24"/>
        </w:rPr>
        <w:t xml:space="preserve">2.1 Milestones Tested</w:t>
      </w:r>
    </w:p>
    <w:p>
      <w:pPr>
        <w:pStyle w:val="ListParagraph"/>
        <w:numPr>
          <w:ilvl w:val="0"/>
          <w:numId w:val="2"/>
        </w:numPr>
        <w:spacing w:after="80"/>
      </w:pPr>
      <w:r>
        <w:rPr>
          <w:rFonts w:ascii="Arial" w:cs="Arial" w:eastAsia="Arial" w:hAnsi="Arial"/>
          <w:sz w:val="20"/>
          <w:szCs w:val="20"/>
        </w:rPr>
        <w:t xml:space="preserve">M1 — Authentication</w:t>
      </w:r>
    </w:p>
    <w:p>
      <w:pPr>
        <w:pStyle w:val="ListParagraph"/>
        <w:numPr>
          <w:ilvl w:val="0"/>
          <w:numId w:val="2"/>
        </w:numPr>
        <w:spacing w:after="80"/>
      </w:pPr>
      <w:r>
        <w:rPr>
          <w:rFonts w:ascii="Arial" w:cs="Arial" w:eastAsia="Arial" w:hAnsi="Arial"/>
          <w:sz w:val="20"/>
          <w:szCs w:val="20"/>
        </w:rPr>
        <w:t xml:space="preserve">M2 — Product Catalog</w:t>
      </w:r>
    </w:p>
    <w:p>
      <w:pPr>
        <w:pStyle w:val="ListParagraph"/>
        <w:numPr>
          <w:ilvl w:val="0"/>
          <w:numId w:val="2"/>
        </w:numPr>
        <w:spacing w:after="80"/>
      </w:pPr>
      <w:r>
        <w:rPr>
          <w:rFonts w:ascii="Arial" w:cs="Arial" w:eastAsia="Arial" w:hAnsi="Arial"/>
          <w:sz w:val="20"/>
          <w:szCs w:val="20"/>
        </w:rPr>
        <w:t xml:space="preserve">M3 — Search &amp; Filtering</w:t>
      </w:r>
    </w:p>
    <w:p>
      <w:pPr>
        <w:pStyle w:val="ListParagraph"/>
        <w:numPr>
          <w:ilvl w:val="0"/>
          <w:numId w:val="2"/>
        </w:numPr>
        <w:spacing w:after="80"/>
      </w:pPr>
      <w:r>
        <w:rPr>
          <w:rFonts w:ascii="Arial" w:cs="Arial" w:eastAsia="Arial" w:hAnsi="Arial"/>
          <w:sz w:val="20"/>
          <w:szCs w:val="20"/>
        </w:rPr>
        <w:t xml:space="preserve">M4 — Shopping Cart</w:t>
      </w:r>
    </w:p>
    <w:p>
      <w:pPr>
        <w:pStyle w:val="ListParagraph"/>
        <w:numPr>
          <w:ilvl w:val="0"/>
          <w:numId w:val="2"/>
        </w:numPr>
        <w:spacing w:after="80"/>
      </w:pPr>
      <w:r>
        <w:rPr>
          <w:rFonts w:ascii="Arial" w:cs="Arial" w:eastAsia="Arial" w:hAnsi="Arial"/>
          <w:sz w:val="20"/>
          <w:szCs w:val="20"/>
        </w:rPr>
        <w:t xml:space="preserve">M5 — Checkout</w:t>
      </w:r>
    </w:p>
    <w:p>
      <w:pPr>
        <w:pStyle w:val="ListParagraph"/>
        <w:numPr>
          <w:ilvl w:val="0"/>
          <w:numId w:val="2"/>
        </w:numPr>
        <w:spacing w:after="80"/>
      </w:pPr>
      <w:r>
        <w:rPr>
          <w:rFonts w:ascii="Arial" w:cs="Arial" w:eastAsia="Arial" w:hAnsi="Arial"/>
          <w:sz w:val="20"/>
          <w:szCs w:val="20"/>
        </w:rPr>
        <w:t xml:space="preserve">M6 — Order Management</w:t>
      </w:r>
    </w:p>
    <w:p>
      <w:pPr>
        <w:spacing w:after="12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3. Test Execution Summary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1100"/>
        <w:gridCol w:w="1100"/>
        <w:gridCol w:w="1100"/>
        <w:gridCol w:w="1100"/>
        <w:gridCol w:w="1860"/>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Milestone</w:t>
            </w:r>
          </w:p>
        </w:tc>
        <w:tc>
          <w:tcPr>
            <w:tcW w:type="dxa" w:w="29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Name</w:t>
            </w:r>
          </w:p>
        </w:tc>
        <w:tc>
          <w:tcPr>
            <w:tcW w:type="dxa" w:w="1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Total TC</w:t>
            </w:r>
          </w:p>
        </w:tc>
        <w:tc>
          <w:tcPr>
            <w:tcW w:type="dxa" w:w="1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Pass</w:t>
            </w:r>
          </w:p>
        </w:tc>
        <w:tc>
          <w:tcPr>
            <w:tcW w:type="dxa" w:w="1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Fail</w:t>
            </w:r>
          </w:p>
        </w:tc>
        <w:tc>
          <w:tcPr>
            <w:tcW w:type="dxa" w:w="11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Skipped</w:t>
            </w:r>
          </w:p>
        </w:tc>
        <w:tc>
          <w:tcPr>
            <w:tcW w:type="dxa" w:w="18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Pass Rate</w:t>
            </w:r>
          </w:p>
        </w:tc>
      </w:tr>
      <w:tr>
        <w:tc>
          <w:tcPr>
            <w:tcW w:type="dxa" w:w="12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M1</w:t>
            </w:r>
          </w:p>
        </w:tc>
        <w:tc>
          <w:tcPr>
            <w:tcW w:type="dxa" w:w="29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Authentication</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24</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22</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C62828"/>
                <w:sz w:val="19"/>
                <w:szCs w:val="19"/>
              </w:rPr>
              <w:t xml:space="preserve">1</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92%</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M2</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Product Catalog</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23</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21</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C62828"/>
                <w:sz w:val="19"/>
                <w:szCs w:val="19"/>
              </w:rPr>
              <w:t xml:space="preserve">2</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91%</w:t>
            </w:r>
          </w:p>
        </w:tc>
      </w:tr>
      <w:tr>
        <w:tc>
          <w:tcPr>
            <w:tcW w:type="dxa" w:w="12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M3</w:t>
            </w:r>
          </w:p>
        </w:tc>
        <w:tc>
          <w:tcPr>
            <w:tcW w:type="dxa" w:w="29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Search &amp; Filtering</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18</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18</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86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100%</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M4</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Shopping Cart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25</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24</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C62828"/>
                <w:sz w:val="19"/>
                <w:szCs w:val="19"/>
              </w:rPr>
              <w:t xml:space="preserve">1</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96%</w:t>
            </w:r>
          </w:p>
        </w:tc>
      </w:tr>
      <w:tr>
        <w:tc>
          <w:tcPr>
            <w:tcW w:type="dxa" w:w="12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M5</w:t>
            </w:r>
          </w:p>
        </w:tc>
        <w:tc>
          <w:tcPr>
            <w:tcW w:type="dxa" w:w="29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Checkout</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38</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36</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C62828"/>
                <w:sz w:val="19"/>
                <w:szCs w:val="19"/>
              </w:rPr>
              <w:t xml:space="preserve">2</w:t>
            </w:r>
          </w:p>
        </w:tc>
        <w:tc>
          <w:tcPr>
            <w:tcW w:type="dxa" w:w="11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86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95%</w:t>
            </w:r>
          </w:p>
        </w:tc>
      </w:tr>
      <w:tr>
        <w:tc>
          <w:tcPr>
            <w:tcW w:type="dxa" w:w="12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M6</w:t>
            </w:r>
          </w:p>
        </w:tc>
        <w:tc>
          <w:tcPr>
            <w:tcW w:type="dxa" w:w="29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Order Management</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2E7D32"/>
                <w:sz w:val="19"/>
                <w:szCs w:val="19"/>
              </w:rPr>
              <w:t xml:space="preserve">28</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1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val="false"/>
                <w:bCs w:val="false"/>
                <w:color w:val="000000"/>
                <w:sz w:val="19"/>
                <w:szCs w:val="19"/>
              </w:rPr>
              <w:t xml:space="preserve">0</w:t>
            </w:r>
          </w:p>
        </w:tc>
        <w:tc>
          <w:tcPr>
            <w:tcW w:type="dxa" w:w="186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100%</w:t>
            </w:r>
          </w:p>
        </w:tc>
      </w:tr>
      <w:tr>
        <w:tc>
          <w:tcPr>
            <w:tcW w:type="dxa" w:w="12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left"/>
            </w:pPr>
            <w:r>
              <w:rPr>
                <w:rFonts w:ascii="Arial" w:cs="Arial" w:eastAsia="Arial" w:hAnsi="Arial"/>
                <w:b/>
                <w:bCs/>
                <w:color w:val="000000"/>
                <w:sz w:val="19"/>
                <w:szCs w:val="19"/>
              </w:rPr>
              <w:t xml:space="preserve">Total</w:t>
            </w:r>
          </w:p>
        </w:tc>
        <w:tc>
          <w:tcPr>
            <w:tcW w:type="dxa" w:w="29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
            </w:r>
          </w:p>
        </w:tc>
        <w:tc>
          <w:tcPr>
            <w:tcW w:type="dxa" w:w="11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156</w:t>
            </w:r>
          </w:p>
        </w:tc>
        <w:tc>
          <w:tcPr>
            <w:tcW w:type="dxa" w:w="11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2E7D32"/>
                <w:sz w:val="19"/>
                <w:szCs w:val="19"/>
              </w:rPr>
              <w:t xml:space="preserve">149</w:t>
            </w:r>
          </w:p>
        </w:tc>
        <w:tc>
          <w:tcPr>
            <w:tcW w:type="dxa" w:w="11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C62828"/>
                <w:sz w:val="19"/>
                <w:szCs w:val="19"/>
              </w:rPr>
              <w:t xml:space="preserve">6</w:t>
            </w:r>
          </w:p>
        </w:tc>
        <w:tc>
          <w:tcPr>
            <w:tcW w:type="dxa" w:w="11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w:t>
            </w:r>
          </w:p>
        </w:tc>
        <w:tc>
          <w:tcPr>
            <w:tcW w:type="dxa" w:w="186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96%</w:t>
            </w:r>
          </w:p>
        </w:tc>
      </w:tr>
    </w:tbl>
    <w:p>
      <w:pPr>
        <w:spacing w:after="120"/>
      </w:pPr>
      <w:r>
        <w:t xml:space="preserve"/>
      </w:r>
    </w:p>
    <w:p>
      <w:pPr>
        <w:spacing w:after="120"/>
      </w:pPr>
      <w:r>
        <w:rPr>
          <w:rFonts w:ascii="Arial" w:cs="Arial" w:eastAsia="Arial" w:hAnsi="Arial"/>
          <w:sz w:val="20"/>
          <w:szCs w:val="20"/>
        </w:rPr>
        <w:t xml:space="preserve">Across all six milestones, 156 test cases were executed with an overall pass rate of 96%. 6 test cases failed and were traced to genuine defects, and 1 test case was skipped after re-evaluation determined it did not represent a valid failure.</w:t>
      </w:r>
    </w:p>
    <w:p>
      <w:pPr>
        <w:spacing w:after="12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4. Defect Summary</w:t>
      </w:r>
    </w:p>
    <w:p>
      <w:pPr>
        <w:spacing w:after="120"/>
      </w:pPr>
      <w:r>
        <w:rPr>
          <w:rFonts w:ascii="Arial" w:cs="Arial" w:eastAsia="Arial" w:hAnsi="Arial"/>
          <w:sz w:val="20"/>
          <w:szCs w:val="20"/>
        </w:rPr>
        <w:t xml:space="preserve">A total of 12 defects were identified during testing and are documented in full in the accompanying Bug Report. Defects span functional, UI, data validation, and content categories.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6500"/>
      </w:tblGrid>
      <w:tr>
        <w:tc>
          <w:tcPr>
            <w:tcW w:type="dxa" w:w="156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Severity</w:t>
            </w:r>
          </w:p>
        </w:tc>
        <w:tc>
          <w:tcPr>
            <w:tcW w:type="dxa" w:w="13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Count</w:t>
            </w:r>
          </w:p>
        </w:tc>
        <w:tc>
          <w:tcPr>
            <w:tcW w:type="dxa" w:w="6500"/>
            <w:tcBorders>
              <w:top w:val="single" w:color="CCCCCC" w:sz="1"/>
              <w:left w:val="single" w:color="CCCCCC" w:sz="1"/>
              <w:bottom w:val="single" w:color="CCCCCC" w:sz="1"/>
              <w:right w:val="single" w:color="CCCCCC" w:sz="1"/>
            </w:tcBorders>
            <w:shd w:fill="1E3A5F" w:val="clear"/>
            <w:tcMar>
              <w:top w:type="dxa" w:w="90"/>
              <w:left w:type="dxa" w:w="130"/>
              <w:bottom w:type="dxa" w:w="90"/>
              <w:right w:type="dxa" w:w="130"/>
            </w:tcMar>
          </w:tcPr>
          <w:p>
            <w:pPr>
              <w:jc w:val="center"/>
            </w:pPr>
            <w:r>
              <w:rPr>
                <w:rFonts w:ascii="Arial" w:cs="Arial" w:eastAsia="Arial" w:hAnsi="Arial"/>
                <w:b/>
                <w:bCs/>
                <w:color w:val="FFFFFF"/>
                <w:sz w:val="19"/>
                <w:szCs w:val="19"/>
              </w:rPr>
              <w:t xml:space="preserve">Bug IDs</w:t>
            </w:r>
          </w:p>
        </w:tc>
      </w:tr>
      <w:tr>
        <w:tc>
          <w:tcPr>
            <w:tcW w:type="dxa" w:w="156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Critical</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w:t>
            </w:r>
          </w:p>
        </w:tc>
        <w:tc>
          <w:tcPr>
            <w:tcW w:type="dxa" w:w="65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BUG-002 (Logo Collection — no Add to Cart)</w:t>
            </w:r>
          </w:p>
        </w:tc>
      </w:tr>
      <w:tr>
        <w:tc>
          <w:tcPr>
            <w:tcW w:type="dxa" w:w="156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High</w:t>
            </w:r>
          </w:p>
        </w:tc>
        <w:tc>
          <w:tcPr>
            <w:tcW w:type="dxa" w:w="13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1</w:t>
            </w:r>
          </w:p>
        </w:tc>
        <w:tc>
          <w:tcPr>
            <w:tcW w:type="dxa" w:w="65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BUG-011 (Quantity field — no upper limit)</w:t>
            </w:r>
          </w:p>
        </w:tc>
      </w:tr>
      <w:tr>
        <w:tc>
          <w:tcPr>
            <w:tcW w:type="dxa" w:w="156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5</w:t>
            </w:r>
          </w:p>
        </w:tc>
        <w:tc>
          <w:tcPr>
            <w:tcW w:type="dxa" w:w="6500"/>
            <w:tcBorders>
              <w:top w:val="single" w:color="CCCCCC" w:sz="1"/>
              <w:left w:val="single" w:color="CCCCCC" w:sz="1"/>
              <w:bottom w:val="single" w:color="CCCCCC" w:sz="1"/>
              <w:right w:val="single" w:color="CCCCCC" w:sz="1"/>
            </w:tcBorders>
            <w:shd w:fill="EBF1F7"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BUG-001, BUG-003, BUG-007, BUG-009, BUG-010</w:t>
            </w:r>
          </w:p>
        </w:tc>
      </w:tr>
      <w:tr>
        <w:tc>
          <w:tcPr>
            <w:tcW w:type="dxa" w:w="156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Low</w:t>
            </w:r>
          </w:p>
        </w:tc>
        <w:tc>
          <w:tcPr>
            <w:tcW w:type="dxa" w:w="13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center"/>
            </w:pPr>
            <w:r>
              <w:rPr>
                <w:rFonts w:ascii="Arial" w:cs="Arial" w:eastAsia="Arial" w:hAnsi="Arial"/>
                <w:b/>
                <w:bCs/>
                <w:color w:val="000000"/>
                <w:sz w:val="19"/>
                <w:szCs w:val="19"/>
              </w:rPr>
              <w:t xml:space="preserve">4</w:t>
            </w:r>
          </w:p>
        </w:tc>
        <w:tc>
          <w:tcPr>
            <w:tcW w:type="dxa" w:w="6500"/>
            <w:tcBorders>
              <w:top w:val="single" w:color="CCCCCC" w:sz="1"/>
              <w:left w:val="single" w:color="CCCCCC" w:sz="1"/>
              <w:bottom w:val="single" w:color="CCCCCC" w:sz="1"/>
              <w:right w:val="single" w:color="CCCCCC" w:sz="1"/>
            </w:tcBorders>
            <w:shd w:fill="F9F9F9" w:val="clear"/>
            <w:tcMar>
              <w:top w:type="dxa" w:w="90"/>
              <w:left w:type="dxa" w:w="130"/>
              <w:bottom w:type="dxa" w:w="90"/>
              <w:right w:type="dxa" w:w="130"/>
            </w:tcMar>
          </w:tcPr>
          <w:p>
            <w:pPr>
              <w:jc w:val="left"/>
            </w:pPr>
            <w:r>
              <w:rPr>
                <w:rFonts w:ascii="Arial" w:cs="Arial" w:eastAsia="Arial" w:hAnsi="Arial"/>
                <w:b w:val="false"/>
                <w:bCs w:val="false"/>
                <w:color w:val="000000"/>
                <w:sz w:val="19"/>
                <w:szCs w:val="19"/>
              </w:rPr>
              <w:t xml:space="preserve">BUG-004, BUG-005, BUG-006, BUG-012</w:t>
            </w:r>
          </w:p>
        </w:tc>
      </w:tr>
    </w:tbl>
    <w:p>
      <w:pPr>
        <w:spacing w:after="120"/>
      </w:pPr>
      <w:r>
        <w:t xml:space="preserve"/>
      </w:r>
    </w:p>
    <w:p>
      <w:pPr>
        <w:pStyle w:val="Heading2"/>
        <w:spacing w:after="120" w:before="260"/>
      </w:pPr>
      <w:r>
        <w:rPr>
          <w:rFonts w:ascii="Arial" w:cs="Arial" w:eastAsia="Arial" w:hAnsi="Arial"/>
          <w:b/>
          <w:bCs/>
          <w:color w:val="2E5FA3"/>
          <w:sz w:val="24"/>
          <w:szCs w:val="24"/>
        </w:rPr>
        <w:t xml:space="preserve">4.1 Notable Defects</w:t>
      </w:r>
    </w:p>
    <w:p>
      <w:pPr>
        <w:pStyle w:val="ListParagraph"/>
        <w:numPr>
          <w:ilvl w:val="0"/>
          <w:numId w:val="2"/>
        </w:numPr>
        <w:spacing w:after="80"/>
      </w:pPr>
      <w:r>
        <w:rPr>
          <w:rFonts w:ascii="Arial" w:cs="Arial" w:eastAsia="Arial" w:hAnsi="Arial"/>
          <w:sz w:val="20"/>
          <w:szCs w:val="20"/>
        </w:rPr>
        <w:t xml:space="preserve">BUG-002 (Critical) — The Logo Collection grouped product page has no Add to Cart button, making the product entirely unpurchasable.</w:t>
      </w:r>
    </w:p>
    <w:p>
      <w:pPr>
        <w:pStyle w:val="ListParagraph"/>
        <w:numPr>
          <w:ilvl w:val="0"/>
          <w:numId w:val="2"/>
        </w:numPr>
        <w:spacing w:after="80"/>
      </w:pPr>
      <w:r>
        <w:rPr>
          <w:rFonts w:ascii="Arial" w:cs="Arial" w:eastAsia="Arial" w:hAnsi="Arial"/>
          <w:sz w:val="20"/>
          <w:szCs w:val="20"/>
        </w:rPr>
        <w:t xml:space="preserve">BUG-011 (High) — The quantity field on product pages accepts unbounded numeric input with no upper limit or stock validation.</w:t>
      </w:r>
    </w:p>
    <w:p>
      <w:pPr>
        <w:pStyle w:val="ListParagraph"/>
        <w:numPr>
          <w:ilvl w:val="0"/>
          <w:numId w:val="2"/>
        </w:numPr>
        <w:spacing w:after="80"/>
      </w:pPr>
      <w:r>
        <w:rPr>
          <w:rFonts w:ascii="Arial" w:cs="Arial" w:eastAsia="Arial" w:hAnsi="Arial"/>
          <w:sz w:val="20"/>
          <w:szCs w:val="20"/>
        </w:rPr>
        <w:t xml:space="preserve">BUG-009 (Medium) — The registration form displays an error message referencing the wrong field name when the email character limit is exceeded.</w:t>
      </w:r>
    </w:p>
    <w:p>
      <w:pPr>
        <w:spacing w:after="12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5. Risk Assessment</w:t>
      </w:r>
    </w:p>
    <w:p>
      <w:pPr>
        <w:spacing w:after="120"/>
      </w:pPr>
      <w:r>
        <w:rPr>
          <w:rFonts w:ascii="Arial" w:cs="Arial" w:eastAsia="Arial" w:hAnsi="Arial"/>
          <w:sz w:val="20"/>
          <w:szCs w:val="20"/>
        </w:rPr>
        <w:t xml:space="preserve">Two demo-data-related observations (broken external product link, placeholder description text) were excluded from the risk assessment as they stem from sample WooCommerce content rather than application logic, and would not appear in a production store with real content. The remaining defects represent genuine functional and usability gaps.</w:t>
      </w:r>
    </w:p>
    <w:p>
      <w:pPr>
        <w:pStyle w:val="ListParagraph"/>
        <w:numPr>
          <w:ilvl w:val="0"/>
          <w:numId w:val="2"/>
        </w:numPr>
        <w:spacing w:after="80"/>
      </w:pPr>
      <w:r>
        <w:rPr>
          <w:rFonts w:ascii="Arial" w:cs="Arial" w:eastAsia="Arial" w:hAnsi="Arial"/>
          <w:sz w:val="20"/>
          <w:szCs w:val="20"/>
        </w:rPr>
        <w:t xml:space="preserve">The Critical defect (BUG-002) blocks a complete purchase path and would need to be resolved before launch in a real project.</w:t>
      </w:r>
    </w:p>
    <w:p>
      <w:pPr>
        <w:pStyle w:val="ListParagraph"/>
        <w:numPr>
          <w:ilvl w:val="0"/>
          <w:numId w:val="2"/>
        </w:numPr>
        <w:spacing w:after="80"/>
      </w:pPr>
      <w:r>
        <w:rPr>
          <w:rFonts w:ascii="Arial" w:cs="Arial" w:eastAsia="Arial" w:hAnsi="Arial"/>
          <w:sz w:val="20"/>
          <w:szCs w:val="20"/>
        </w:rPr>
        <w:t xml:space="preserve">The High defect (BUG-011) poses a data integrity risk, as it allows unrealistic order quantities and totals to be generated.</w:t>
      </w:r>
    </w:p>
    <w:p>
      <w:pPr>
        <w:pStyle w:val="ListParagraph"/>
        <w:numPr>
          <w:ilvl w:val="0"/>
          <w:numId w:val="2"/>
        </w:numPr>
        <w:spacing w:after="80"/>
      </w:pPr>
      <w:r>
        <w:rPr>
          <w:rFonts w:ascii="Arial" w:cs="Arial" w:eastAsia="Arial" w:hAnsi="Arial"/>
          <w:sz w:val="20"/>
          <w:szCs w:val="20"/>
        </w:rPr>
        <w:t xml:space="preserve">The remaining Medium and Low defects affect usability and polish but do not block core user journeys.</w:t>
      </w:r>
    </w:p>
    <w:p>
      <w:pPr>
        <w:spacing w:after="120"/>
      </w:pPr>
      <w:r>
        <w:t xml:space="preserve"/>
      </w:r>
    </w:p>
    <w:p>
      <w:pPr>
        <w:pStyle w:val="Heading1"/>
        <w:pBdr>
          <w:bottom w:val="single" w:color="1E3A5F" w:sz="6" w:space="1"/>
        </w:pBdr>
        <w:spacing w:after="160" w:before="360"/>
      </w:pPr>
      <w:r>
        <w:rPr>
          <w:rFonts w:ascii="Arial" w:cs="Arial" w:eastAsia="Arial" w:hAnsi="Arial"/>
          <w:b/>
          <w:bCs/>
          <w:color w:val="1E3A5F"/>
          <w:sz w:val="30"/>
          <w:szCs w:val="30"/>
        </w:rPr>
        <w:t xml:space="preserve">6. Conclusion</w:t>
      </w:r>
    </w:p>
    <w:p>
      <w:pPr>
        <w:spacing w:after="120"/>
      </w:pPr>
      <w:r>
        <w:rPr>
          <w:rFonts w:ascii="Arial" w:cs="Arial" w:eastAsia="Arial" w:hAnsi="Arial"/>
          <w:sz w:val="20"/>
          <w:szCs w:val="20"/>
        </w:rPr>
        <w:t xml:space="preserve">Testing across the six executed milestones confirms that the core end-to-end shopper journey — registration, browsing, searching, cart management, checkout, and order tracking — functions as expected on the Pams-Store demo site. The defects identified are typical of an unconfigured demo environment and a small number of genuine functional gaps in variable and grouped product handling. With the Critical and High severity defects addressed, the platform's core flows would be considered stable enough to support a production rollout.</w:t>
      </w:r>
    </w:p>
    <w:p>
      <w:pPr>
        <w:spacing w:after="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1"/>
      </w:pBdr>
    </w:pPr>
    <w:r>
      <w:rPr>
        <w:rFonts w:ascii="Arial" w:cs="Arial" w:eastAsia="Arial" w:hAnsi="Arial"/>
        <w:color w:val="888888"/>
        <w:sz w:val="15"/>
        <w:szCs w:val="15"/>
      </w:rPr>
      <w:t xml:space="preserve">Page </w:t>
    </w:r>
    <w:r>
      <w:rPr>
        <w:rFonts w:ascii="Arial" w:cs="Arial" w:eastAsia="Arial" w:hAnsi="Arial"/>
        <w:color w:val="888888"/>
        <w:sz w:val="15"/>
        <w:szCs w:val="15"/>
      </w:rPr>
      <w:fldChar w:fldCharType="begin"/>
      <w:instrText xml:space="preserve">PAGE</w:instrText>
      <w:fldChar w:fldCharType="separate"/>
      <w:fldChar w:fldCharType="end"/>
    </w:r>
    <w:r>
      <w:rPr>
        <w:rFonts w:ascii="Arial" w:cs="Arial" w:eastAsia="Arial" w:hAnsi="Arial"/>
        <w:color w:val="888888"/>
        <w:sz w:val="15"/>
        <w:szCs w:val="15"/>
      </w:rPr>
      <w:t xml:space="preserve"> of </w:t>
    </w:r>
    <w:r>
      <w:rPr>
        <w:rFonts w:ascii="Arial" w:cs="Arial" w:eastAsia="Arial" w:hAnsi="Arial"/>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1"/>
      </w:pBdr>
    </w:pPr>
    <w:r>
      <w:rPr>
        <w:rFonts w:ascii="Arial" w:cs="Arial" w:eastAsia="Arial" w:hAnsi="Arial"/>
        <w:b/>
        <w:bCs/>
        <w:color w:val="1E3A5F"/>
        <w:sz w:val="16"/>
        <w:szCs w:val="16"/>
      </w:rPr>
      <w:t xml:space="preserve">Pams-Store Test Summary Report</w:t>
    </w:r>
    <w:r>
      <w:rPr>
        <w:rFonts w:ascii="Arial" w:cs="Arial" w:eastAsia="Arial" w:hAnsi="Arial"/>
        <w:color w:val="888888"/>
        <w:sz w:val="15"/>
        <w:szCs w:val="15"/>
      </w:rPr>
      <w:t xml:space="preserve">			QA Cycle —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6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2026-06-20T11:27:04.208Z</dcterms:created>
  <dcterms:modified xsi:type="dcterms:W3CDTF">2026-06-20T11:27:04.208Z</dcterms:modified>
</cp:coreProperties>
</file>

<file path=docProps/custom.xml><?xml version="1.0" encoding="utf-8"?>
<Properties xmlns="http://schemas.openxmlformats.org/officeDocument/2006/custom-properties" xmlns:vt="http://schemas.openxmlformats.org/officeDocument/2006/docPropsVTypes"/>
</file>