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0E6665" w:rsidRDefault="000E666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0E6665" w:rsidRDefault="000E6665" w:rsidP="000E6665">
      <w:pPr>
        <w:pStyle w:val="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pPr>
        <w:rPr>
          <w:rFonts w:hint="eastAsia"/>
        </w:rPr>
      </w:pPr>
      <w:r>
        <w:rPr>
          <w:rFonts w:hint="eastAsia"/>
        </w:rPr>
        <w:t>Flask(project name)</w:t>
      </w:r>
    </w:p>
    <w:p w:rsidR="000E6665" w:rsidRDefault="000E6665" w:rsidP="000E6665">
      <w:pPr>
        <w:rPr>
          <w:rFonts w:hint="eastAsia"/>
        </w:rPr>
      </w:pPr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pPr>
        <w:rPr>
          <w:rFonts w:hint="eastAsia"/>
        </w:rPr>
      </w:pPr>
      <w:r>
        <w:tab/>
      </w:r>
      <w:r>
        <w:tab/>
        <w:t>|-models.py</w:t>
      </w:r>
    </w:p>
    <w:p w:rsidR="000E6665" w:rsidRDefault="000E6665" w:rsidP="000E6665">
      <w:pPr>
        <w:ind w:firstLine="420"/>
        <w:rPr>
          <w:rFonts w:hint="eastAsia"/>
        </w:rPr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  <w:rPr>
          <w:rFonts w:hint="eastAsia"/>
        </w:rPr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  <w:rPr>
          <w:rFonts w:hint="eastAsia"/>
        </w:rPr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  <w:rPr>
          <w:rFonts w:hint="eastAsia"/>
        </w:rPr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  <w:rPr>
          <w:rFonts w:hint="eastAsia"/>
        </w:rPr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  <w:rPr>
          <w:rFonts w:hint="eastAsia"/>
        </w:rPr>
      </w:pPr>
      <w:r>
        <w:t>pip install -r requirements.txt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4C1FBE" w:rsidP="00B277FE">
      <w:hyperlink r:id="rId7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lastRenderedPageBreak/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4C1FB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4C1FB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lastRenderedPageBreak/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bookmarkStart w:id="0" w:name="_GoBack"/>
      <w:bookmarkEnd w:id="0"/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1"/>
      </w:pPr>
      <w:r>
        <w:lastRenderedPageBreak/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lastRenderedPageBreak/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4C1FBE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4C1FBE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lastRenderedPageBreak/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BE" w:rsidRDefault="004C1FBE" w:rsidP="00CC0948">
      <w:r>
        <w:separator/>
      </w:r>
    </w:p>
  </w:endnote>
  <w:endnote w:type="continuationSeparator" w:id="0">
    <w:p w:rsidR="004C1FBE" w:rsidRDefault="004C1FBE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BE" w:rsidRDefault="004C1FBE" w:rsidP="00CC0948">
      <w:r>
        <w:separator/>
      </w:r>
    </w:p>
  </w:footnote>
  <w:footnote w:type="continuationSeparator" w:id="0">
    <w:p w:rsidR="004C1FBE" w:rsidRDefault="004C1FBE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53AC"/>
    <w:rsid w:val="000258CC"/>
    <w:rsid w:val="00063EB8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F76BD"/>
    <w:rsid w:val="00301A11"/>
    <w:rsid w:val="00303F39"/>
    <w:rsid w:val="00305DE0"/>
    <w:rsid w:val="0031690E"/>
    <w:rsid w:val="00357C34"/>
    <w:rsid w:val="0036144E"/>
    <w:rsid w:val="00361E42"/>
    <w:rsid w:val="00365F8E"/>
    <w:rsid w:val="003C3889"/>
    <w:rsid w:val="003F2F18"/>
    <w:rsid w:val="0044220B"/>
    <w:rsid w:val="00492221"/>
    <w:rsid w:val="004C1FBE"/>
    <w:rsid w:val="005F6EA6"/>
    <w:rsid w:val="00637531"/>
    <w:rsid w:val="00663EE2"/>
    <w:rsid w:val="00676AF3"/>
    <w:rsid w:val="0069720E"/>
    <w:rsid w:val="006E0795"/>
    <w:rsid w:val="006E19E7"/>
    <w:rsid w:val="00737C35"/>
    <w:rsid w:val="00766BC3"/>
    <w:rsid w:val="007A2B84"/>
    <w:rsid w:val="007C1C56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E2F43"/>
    <w:rsid w:val="00AF2441"/>
    <w:rsid w:val="00B05ACE"/>
    <w:rsid w:val="00B2124C"/>
    <w:rsid w:val="00B277FE"/>
    <w:rsid w:val="00B83F19"/>
    <w:rsid w:val="00BD77D1"/>
    <w:rsid w:val="00BE38F9"/>
    <w:rsid w:val="00C048EB"/>
    <w:rsid w:val="00C07DC1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B635D"/>
    <w:rsid w:val="00EC7BF7"/>
    <w:rsid w:val="00F24747"/>
    <w:rsid w:val="00F35BEB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BE3F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49</cp:revision>
  <dcterms:created xsi:type="dcterms:W3CDTF">2018-02-17T11:49:00Z</dcterms:created>
  <dcterms:modified xsi:type="dcterms:W3CDTF">2018-02-19T12:56:00Z</dcterms:modified>
</cp:coreProperties>
</file>