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10F" w:rsidRDefault="00CF4FC6">
      <w:r>
        <w:fldChar w:fldCharType="begin"/>
      </w:r>
      <w:r w:rsidR="000151C1">
        <w:instrText>HYPERLINK "http://www.caclubindia.com/forum/message_display.asp?group_id=51671"</w:instrText>
      </w:r>
      <w:r>
        <w:fldChar w:fldCharType="separate"/>
      </w:r>
      <w:r w:rsidR="003569CA" w:rsidRPr="004D53DA">
        <w:rPr>
          <w:rStyle w:val="Hyperlink"/>
        </w:rPr>
        <w:t>http://www.caclubindia.com/forum/message_display.asp?group_id=51671</w:t>
      </w:r>
      <w:r>
        <w:fldChar w:fldCharType="end"/>
      </w:r>
    </w:p>
    <w:p w:rsidR="003569CA" w:rsidRDefault="003569CA"/>
    <w:p w:rsidR="003569CA" w:rsidRDefault="003569CA"/>
    <w:p w:rsidR="003569CA" w:rsidRDefault="00CF4FC6">
      <w:hyperlink r:id="rId5" w:history="1">
        <w:r w:rsidR="00117F7D" w:rsidRPr="004D53DA">
          <w:rPr>
            <w:rStyle w:val="Hyperlink"/>
          </w:rPr>
          <w:t>http://www.docstoc.com/docs/15138542/Direct-taxes</w:t>
        </w:r>
      </w:hyperlink>
    </w:p>
    <w:p w:rsidR="00117F7D" w:rsidRDefault="00117F7D"/>
    <w:p w:rsidR="00117F7D" w:rsidRDefault="00117F7D"/>
    <w:p w:rsidR="00117F7D" w:rsidRDefault="00117F7D"/>
    <w:p w:rsidR="00117F7D" w:rsidRDefault="00117F7D"/>
    <w:p w:rsidR="00117F7D" w:rsidRPr="00117F7D" w:rsidRDefault="00117F7D" w:rsidP="00117F7D">
      <w:pPr>
        <w:pStyle w:val="Heading1"/>
        <w:jc w:val="center"/>
        <w:rPr>
          <w:u w:val="single"/>
        </w:rPr>
      </w:pPr>
      <w:r w:rsidRPr="00117F7D">
        <w:rPr>
          <w:u w:val="single"/>
        </w:rPr>
        <w:t>Notes on Direct Taxes</w:t>
      </w:r>
    </w:p>
    <w:p w:rsidR="00117F7D" w:rsidRDefault="00117F7D">
      <w:pPr>
        <w:rPr>
          <w:u w:val="single"/>
        </w:rPr>
      </w:pPr>
      <w:r>
        <w:rPr>
          <w:u w:val="single"/>
        </w:rPr>
        <w:t>Topics</w:t>
      </w:r>
    </w:p>
    <w:p w:rsidR="00117F7D" w:rsidRDefault="00117F7D" w:rsidP="00117F7D">
      <w:pPr>
        <w:pStyle w:val="ListParagraph"/>
        <w:numPr>
          <w:ilvl w:val="0"/>
          <w:numId w:val="1"/>
        </w:numPr>
      </w:pPr>
      <w:r>
        <w:t>Basic</w:t>
      </w:r>
    </w:p>
    <w:p w:rsidR="00117F7D" w:rsidRDefault="00117F7D" w:rsidP="00117F7D">
      <w:pPr>
        <w:pStyle w:val="ListParagraph"/>
        <w:numPr>
          <w:ilvl w:val="0"/>
          <w:numId w:val="1"/>
        </w:numPr>
      </w:pPr>
      <w:r>
        <w:t>Residential status</w:t>
      </w:r>
    </w:p>
    <w:p w:rsidR="00117F7D" w:rsidRDefault="00117F7D" w:rsidP="00117F7D">
      <w:pPr>
        <w:pStyle w:val="ListParagraph"/>
        <w:numPr>
          <w:ilvl w:val="0"/>
          <w:numId w:val="1"/>
        </w:numPr>
      </w:pPr>
      <w:r>
        <w:t>Agriculture income</w:t>
      </w:r>
    </w:p>
    <w:p w:rsidR="00117F7D" w:rsidRDefault="00117F7D" w:rsidP="00117F7D">
      <w:pPr>
        <w:pStyle w:val="ListParagraph"/>
        <w:numPr>
          <w:ilvl w:val="0"/>
          <w:numId w:val="1"/>
        </w:numPr>
      </w:pPr>
      <w:r>
        <w:t>Exempted income</w:t>
      </w:r>
    </w:p>
    <w:p w:rsidR="00117F7D" w:rsidRDefault="00117F7D" w:rsidP="00117F7D">
      <w:pPr>
        <w:pStyle w:val="ListParagraph"/>
        <w:numPr>
          <w:ilvl w:val="0"/>
          <w:numId w:val="1"/>
        </w:numPr>
      </w:pPr>
      <w:r>
        <w:t>Five Heads of income</w:t>
      </w:r>
    </w:p>
    <w:p w:rsidR="00117F7D" w:rsidRDefault="00117F7D" w:rsidP="00117F7D">
      <w:pPr>
        <w:pStyle w:val="ListParagraph"/>
        <w:numPr>
          <w:ilvl w:val="0"/>
          <w:numId w:val="2"/>
        </w:numPr>
      </w:pPr>
      <w:r>
        <w:t>Income from salary</w:t>
      </w:r>
    </w:p>
    <w:p w:rsidR="00117F7D" w:rsidRDefault="00117F7D" w:rsidP="00117F7D">
      <w:pPr>
        <w:pStyle w:val="ListParagraph"/>
        <w:numPr>
          <w:ilvl w:val="0"/>
          <w:numId w:val="2"/>
        </w:numPr>
      </w:pPr>
      <w:r>
        <w:t>Income from House Property</w:t>
      </w:r>
    </w:p>
    <w:p w:rsidR="00117F7D" w:rsidRDefault="00117F7D" w:rsidP="00117F7D">
      <w:pPr>
        <w:pStyle w:val="ListParagraph"/>
        <w:numPr>
          <w:ilvl w:val="0"/>
          <w:numId w:val="2"/>
        </w:numPr>
      </w:pPr>
      <w:r>
        <w:t>Profit and Gains of Business or Profession</w:t>
      </w:r>
    </w:p>
    <w:p w:rsidR="00117F7D" w:rsidRDefault="00117F7D" w:rsidP="00117F7D">
      <w:pPr>
        <w:pStyle w:val="ListParagraph"/>
        <w:numPr>
          <w:ilvl w:val="0"/>
          <w:numId w:val="2"/>
        </w:numPr>
      </w:pPr>
      <w:r>
        <w:t>Capital gain</w:t>
      </w:r>
    </w:p>
    <w:p w:rsidR="00117F7D" w:rsidRDefault="0039596C" w:rsidP="00117F7D">
      <w:pPr>
        <w:pStyle w:val="ListParagraph"/>
        <w:numPr>
          <w:ilvl w:val="0"/>
          <w:numId w:val="2"/>
        </w:numPr>
      </w:pPr>
      <w:r>
        <w:t>Income from other Sources</w:t>
      </w:r>
    </w:p>
    <w:p w:rsidR="0039596C" w:rsidRDefault="0039596C" w:rsidP="0039596C">
      <w:pPr>
        <w:pStyle w:val="ListParagraph"/>
        <w:numPr>
          <w:ilvl w:val="0"/>
          <w:numId w:val="1"/>
        </w:numPr>
      </w:pPr>
      <w:r>
        <w:t xml:space="preserve">Income of other Person included in total income of the </w:t>
      </w:r>
      <w:proofErr w:type="spellStart"/>
      <w:r>
        <w:t>assessee</w:t>
      </w:r>
      <w:proofErr w:type="spellEnd"/>
    </w:p>
    <w:p w:rsidR="0039596C" w:rsidRDefault="0039596C" w:rsidP="0039596C">
      <w:pPr>
        <w:pStyle w:val="ListParagraph"/>
        <w:numPr>
          <w:ilvl w:val="0"/>
          <w:numId w:val="1"/>
        </w:numPr>
      </w:pPr>
      <w:r>
        <w:t>Set off and carry forward of losses</w:t>
      </w:r>
    </w:p>
    <w:p w:rsidR="0039596C" w:rsidRDefault="0039596C" w:rsidP="0039596C">
      <w:pPr>
        <w:pStyle w:val="ListParagraph"/>
        <w:numPr>
          <w:ilvl w:val="0"/>
          <w:numId w:val="1"/>
        </w:numPr>
      </w:pPr>
      <w:r>
        <w:t>Deduction under chapter VI A</w:t>
      </w:r>
    </w:p>
    <w:p w:rsidR="0039596C" w:rsidRDefault="0039596C" w:rsidP="0039596C">
      <w:pPr>
        <w:pStyle w:val="ListParagraph"/>
        <w:numPr>
          <w:ilvl w:val="0"/>
          <w:numId w:val="1"/>
        </w:numPr>
      </w:pPr>
      <w:r>
        <w:t>Taxation of Persons</w:t>
      </w:r>
    </w:p>
    <w:p w:rsidR="0039596C" w:rsidRDefault="0039596C" w:rsidP="0039596C">
      <w:pPr>
        <w:pStyle w:val="ListParagraph"/>
        <w:numPr>
          <w:ilvl w:val="0"/>
          <w:numId w:val="1"/>
        </w:numPr>
      </w:pPr>
      <w:r>
        <w:t>Authority for Advance Rulings</w:t>
      </w:r>
    </w:p>
    <w:p w:rsidR="0039596C" w:rsidRDefault="0039596C" w:rsidP="0039596C">
      <w:pPr>
        <w:pStyle w:val="ListParagraph"/>
        <w:numPr>
          <w:ilvl w:val="0"/>
          <w:numId w:val="1"/>
        </w:numPr>
      </w:pPr>
      <w:r>
        <w:t>Double taxation Avoidance Agreement</w:t>
      </w:r>
    </w:p>
    <w:p w:rsidR="0039596C" w:rsidRDefault="0039596C" w:rsidP="0039596C">
      <w:pPr>
        <w:pStyle w:val="ListParagraph"/>
        <w:numPr>
          <w:ilvl w:val="0"/>
          <w:numId w:val="1"/>
        </w:numPr>
      </w:pPr>
      <w:r>
        <w:t>FBT</w:t>
      </w:r>
    </w:p>
    <w:p w:rsidR="0039596C" w:rsidRDefault="0039596C" w:rsidP="0039596C">
      <w:pPr>
        <w:pStyle w:val="ListParagraph"/>
        <w:numPr>
          <w:ilvl w:val="0"/>
          <w:numId w:val="1"/>
        </w:numPr>
      </w:pPr>
      <w:r>
        <w:t>Taxation of International transaction</w:t>
      </w:r>
    </w:p>
    <w:p w:rsidR="0039596C" w:rsidRDefault="0039596C" w:rsidP="0039596C">
      <w:pPr>
        <w:pStyle w:val="ListParagraph"/>
        <w:numPr>
          <w:ilvl w:val="0"/>
          <w:numId w:val="1"/>
        </w:numPr>
      </w:pPr>
      <w:r>
        <w:lastRenderedPageBreak/>
        <w:t>Assessment Procedure</w:t>
      </w:r>
    </w:p>
    <w:p w:rsidR="0039596C" w:rsidRDefault="0039596C" w:rsidP="0039596C">
      <w:pPr>
        <w:pStyle w:val="ListParagraph"/>
        <w:numPr>
          <w:ilvl w:val="0"/>
          <w:numId w:val="1"/>
        </w:numPr>
      </w:pPr>
      <w:r>
        <w:t>TDS</w:t>
      </w:r>
    </w:p>
    <w:p w:rsidR="0039596C" w:rsidRDefault="0039596C" w:rsidP="0039596C">
      <w:pPr>
        <w:pStyle w:val="ListParagraph"/>
        <w:numPr>
          <w:ilvl w:val="0"/>
          <w:numId w:val="1"/>
        </w:numPr>
      </w:pPr>
      <w:r>
        <w:t>Advance Tax</w:t>
      </w:r>
    </w:p>
    <w:p w:rsidR="0039596C" w:rsidRDefault="0039596C" w:rsidP="0039596C">
      <w:pPr>
        <w:pStyle w:val="ListParagraph"/>
        <w:numPr>
          <w:ilvl w:val="0"/>
          <w:numId w:val="1"/>
        </w:numPr>
      </w:pPr>
      <w:r>
        <w:t>Interest and Refunds</w:t>
      </w:r>
    </w:p>
    <w:p w:rsidR="0039596C" w:rsidRDefault="0039596C" w:rsidP="0039596C">
      <w:pPr>
        <w:pStyle w:val="ListParagraph"/>
        <w:numPr>
          <w:ilvl w:val="0"/>
          <w:numId w:val="1"/>
        </w:numPr>
      </w:pPr>
      <w:r>
        <w:t>Penalties and Prosecutions</w:t>
      </w:r>
    </w:p>
    <w:p w:rsidR="0039596C" w:rsidRDefault="0039596C" w:rsidP="0039596C">
      <w:pPr>
        <w:pStyle w:val="ListParagraph"/>
        <w:numPr>
          <w:ilvl w:val="0"/>
          <w:numId w:val="1"/>
        </w:numPr>
      </w:pPr>
      <w:r>
        <w:t>wealth Tax Act,1957</w:t>
      </w:r>
    </w:p>
    <w:p w:rsidR="00117F7D" w:rsidRPr="001F2F9F" w:rsidRDefault="001F2F9F" w:rsidP="001F2F9F">
      <w:pPr>
        <w:pStyle w:val="Title"/>
        <w:jc w:val="center"/>
        <w:rPr>
          <w:b/>
          <w:u w:val="single"/>
        </w:rPr>
      </w:pPr>
      <w:r w:rsidRPr="001F2F9F">
        <w:rPr>
          <w:b/>
          <w:u w:val="single"/>
        </w:rPr>
        <w:t>1. Basic</w:t>
      </w:r>
    </w:p>
    <w:p w:rsidR="001B799C" w:rsidRDefault="00597D6E" w:rsidP="00597D6E">
      <w:pPr>
        <w:pStyle w:val="Heading1"/>
        <w:rPr>
          <w:sz w:val="32"/>
          <w:szCs w:val="32"/>
          <w:u w:val="single"/>
        </w:rPr>
      </w:pPr>
      <w:r w:rsidRPr="00597D6E">
        <w:rPr>
          <w:sz w:val="32"/>
          <w:szCs w:val="32"/>
          <w:u w:val="single"/>
        </w:rPr>
        <w:t>Definitions</w:t>
      </w:r>
      <w:r>
        <w:rPr>
          <w:sz w:val="32"/>
          <w:szCs w:val="32"/>
          <w:u w:val="single"/>
        </w:rPr>
        <w:t>:</w:t>
      </w:r>
    </w:p>
    <w:p w:rsidR="00E13805" w:rsidRPr="00597D6E" w:rsidRDefault="00AA6642" w:rsidP="00597D6E">
      <w:pPr>
        <w:pStyle w:val="Heading1"/>
      </w:pPr>
      <w:r>
        <w:rPr>
          <w:u w:val="single"/>
        </w:rPr>
        <w:t>1.</w:t>
      </w:r>
      <w:r w:rsidRPr="00AA6642">
        <w:rPr>
          <w:u w:val="single"/>
        </w:rPr>
        <w:t xml:space="preserve"> Section</w:t>
      </w:r>
      <w:r w:rsidR="00597D6E" w:rsidRPr="00AA6642">
        <w:rPr>
          <w:u w:val="single"/>
        </w:rPr>
        <w:t xml:space="preserve"> 2(1A) Agricultural</w:t>
      </w:r>
      <w:r w:rsidR="00E13805" w:rsidRPr="00AA6642">
        <w:rPr>
          <w:u w:val="single"/>
        </w:rPr>
        <w:t xml:space="preserve"> income</w:t>
      </w:r>
      <w:r w:rsidR="00E13805" w:rsidRPr="00597D6E">
        <w:rPr>
          <w:sz w:val="2"/>
          <w:szCs w:val="2"/>
        </w:rPr>
        <w:t xml:space="preserve"> </w:t>
      </w:r>
      <w:r w:rsidR="00597D6E">
        <w:rPr>
          <w:sz w:val="2"/>
          <w:szCs w:val="2"/>
        </w:rPr>
        <w:t xml:space="preserve">            UUU                                                U</w:t>
      </w:r>
    </w:p>
    <w:p w:rsidR="004E3E38" w:rsidRDefault="00E13805" w:rsidP="00E13805">
      <w:pPr>
        <w:spacing w:after="80"/>
        <w:ind w:left="1320" w:hanging="720"/>
      </w:pPr>
      <w:r>
        <w:t>(</w:t>
      </w:r>
      <w:r>
        <w:rPr>
          <w:i/>
          <w:iCs/>
        </w:rPr>
        <w:t>a</w:t>
      </w:r>
      <w:r>
        <w:t xml:space="preserve">) </w:t>
      </w:r>
      <w:r w:rsidR="004E3E38">
        <w:t>Income from</w:t>
      </w:r>
      <w:r>
        <w:t xml:space="preserve"> land</w:t>
      </w:r>
      <w:r w:rsidR="00597D6E">
        <w:t xml:space="preserve"> </w:t>
      </w:r>
      <w:r>
        <w:rPr>
          <w:sz w:val="2"/>
          <w:szCs w:val="2"/>
        </w:rPr>
        <w:t xml:space="preserve"> </w:t>
      </w:r>
      <w:r w:rsidR="00597D6E">
        <w:rPr>
          <w:sz w:val="2"/>
          <w:szCs w:val="2"/>
        </w:rPr>
        <w:t xml:space="preserve">  </w:t>
      </w:r>
      <w:hyperlink r:id="rId6" w:history="1"/>
      <w:r>
        <w:rPr>
          <w:sz w:val="2"/>
          <w:szCs w:val="2"/>
        </w:rPr>
        <w:t xml:space="preserve"> </w:t>
      </w:r>
      <w:r>
        <w:t>which is situated in India and is</w:t>
      </w:r>
      <w:r w:rsidR="00597D6E">
        <w:t xml:space="preserve"> used for agricultural purposes</w:t>
      </w:r>
      <w:r w:rsidR="004E3E38">
        <w:t>.</w:t>
      </w:r>
    </w:p>
    <w:p w:rsidR="004E3E38" w:rsidRDefault="004E3E38" w:rsidP="00E13805">
      <w:pPr>
        <w:spacing w:after="80"/>
        <w:ind w:left="1320" w:hanging="720"/>
      </w:pPr>
      <w:r>
        <w:t xml:space="preserve">Income from farm Building </w:t>
      </w:r>
      <w:r w:rsidR="008B18B1">
        <w:t>is considered</w:t>
      </w:r>
      <w:r>
        <w:t xml:space="preserve"> as agriculture Income:</w:t>
      </w:r>
    </w:p>
    <w:p w:rsidR="004E3E38" w:rsidRDefault="004E3E38" w:rsidP="004E3E38">
      <w:pPr>
        <w:pStyle w:val="ListParagraph"/>
        <w:numPr>
          <w:ilvl w:val="0"/>
          <w:numId w:val="3"/>
        </w:numPr>
        <w:spacing w:after="80"/>
      </w:pPr>
      <w:r>
        <w:t>It should be occupied by the cultivator or receiver of rent or revenue</w:t>
      </w:r>
    </w:p>
    <w:p w:rsidR="004E3E38" w:rsidRDefault="008E1A05" w:rsidP="004E3E38">
      <w:pPr>
        <w:pStyle w:val="ListParagraph"/>
        <w:numPr>
          <w:ilvl w:val="0"/>
          <w:numId w:val="3"/>
        </w:numPr>
        <w:spacing w:after="80"/>
      </w:pPr>
      <w:r>
        <w:t>The building is on or in the immediate vicinity of the land</w:t>
      </w:r>
    </w:p>
    <w:p w:rsidR="008E1A05" w:rsidRDefault="008E1A05" w:rsidP="004E3E38">
      <w:pPr>
        <w:pStyle w:val="ListParagraph"/>
        <w:numPr>
          <w:ilvl w:val="0"/>
          <w:numId w:val="3"/>
        </w:numPr>
        <w:spacing w:after="80"/>
      </w:pPr>
      <w:r>
        <w:t>Building can be used as dwelling house or store house or out-house</w:t>
      </w:r>
    </w:p>
    <w:p w:rsidR="008E1A05" w:rsidRDefault="008E1A05" w:rsidP="004E3E38">
      <w:pPr>
        <w:pStyle w:val="ListParagraph"/>
        <w:numPr>
          <w:ilvl w:val="0"/>
          <w:numId w:val="3"/>
        </w:numPr>
        <w:spacing w:after="80"/>
      </w:pPr>
      <w:r>
        <w:t xml:space="preserve">The land is assessed to land revenue if not land shall not be situated </w:t>
      </w:r>
    </w:p>
    <w:p w:rsidR="008E1A05" w:rsidRDefault="008E1A05" w:rsidP="008E1A05">
      <w:pPr>
        <w:pStyle w:val="ListParagraph"/>
        <w:numPr>
          <w:ilvl w:val="0"/>
          <w:numId w:val="4"/>
        </w:numPr>
        <w:spacing w:after="80"/>
      </w:pPr>
      <w:r>
        <w:t xml:space="preserve">Within municipality with not less than 10,000 </w:t>
      </w:r>
      <w:r w:rsidR="008B18B1">
        <w:t>population as per last census on the 1</w:t>
      </w:r>
      <w:r w:rsidR="008B18B1" w:rsidRPr="008B18B1">
        <w:rPr>
          <w:vertAlign w:val="superscript"/>
        </w:rPr>
        <w:t>st</w:t>
      </w:r>
      <w:r w:rsidR="008B18B1">
        <w:t xml:space="preserve"> day of pervious year</w:t>
      </w:r>
    </w:p>
    <w:p w:rsidR="008B18B1" w:rsidRDefault="008B18B1" w:rsidP="008E1A05">
      <w:pPr>
        <w:pStyle w:val="ListParagraph"/>
        <w:numPr>
          <w:ilvl w:val="0"/>
          <w:numId w:val="4"/>
        </w:numPr>
        <w:spacing w:after="80"/>
      </w:pPr>
      <w:r>
        <w:t>Within 8 Kilometers from the notified local limits</w:t>
      </w:r>
    </w:p>
    <w:p w:rsidR="008B18B1" w:rsidRDefault="008B18B1" w:rsidP="008B18B1">
      <w:pPr>
        <w:pStyle w:val="ListParagraph"/>
        <w:numPr>
          <w:ilvl w:val="0"/>
          <w:numId w:val="3"/>
        </w:numPr>
        <w:spacing w:after="80"/>
      </w:pPr>
      <w:r>
        <w:t xml:space="preserve">Income derived from </w:t>
      </w:r>
      <w:proofErr w:type="gramStart"/>
      <w:r>
        <w:t>letting  out</w:t>
      </w:r>
      <w:proofErr w:type="gramEnd"/>
      <w:r>
        <w:t xml:space="preserve"> the land or building for the residential purpose or for business or profession is not an agriculture Income.</w:t>
      </w:r>
    </w:p>
    <w:p w:rsidR="008B18B1" w:rsidRDefault="008B18B1" w:rsidP="008B18B1">
      <w:r w:rsidRPr="001B799C">
        <w:rPr>
          <w:b/>
          <w:u w:val="single"/>
        </w:rPr>
        <w:t>Note</w:t>
      </w:r>
      <w:r>
        <w:t>: Any income derived from saplings or seedlings grown in a nursery shall be deemed to be agricultural income.</w:t>
      </w:r>
    </w:p>
    <w:p w:rsidR="00AA6642" w:rsidRDefault="00AA6642" w:rsidP="008B18B1">
      <w:pPr>
        <w:rPr>
          <w:rFonts w:asciiTheme="majorHAnsi" w:eastAsiaTheme="majorEastAsia" w:hAnsiTheme="majorHAnsi" w:cstheme="majorBidi"/>
          <w:b/>
          <w:bCs/>
          <w:color w:val="365F91" w:themeColor="accent1" w:themeShade="BF"/>
          <w:sz w:val="28"/>
          <w:szCs w:val="28"/>
          <w:u w:val="single"/>
        </w:rPr>
      </w:pPr>
      <w:r w:rsidRPr="00AA6642">
        <w:rPr>
          <w:rFonts w:asciiTheme="majorHAnsi" w:eastAsiaTheme="majorEastAsia" w:hAnsiTheme="majorHAnsi" w:cstheme="majorBidi"/>
          <w:b/>
          <w:bCs/>
          <w:color w:val="365F91" w:themeColor="accent1" w:themeShade="BF"/>
          <w:sz w:val="28"/>
          <w:szCs w:val="28"/>
          <w:u w:val="single"/>
        </w:rPr>
        <w:t>2. Section 2(7</w:t>
      </w:r>
      <w:proofErr w:type="gramStart"/>
      <w:r w:rsidRPr="00AA6642">
        <w:rPr>
          <w:rFonts w:asciiTheme="majorHAnsi" w:eastAsiaTheme="majorEastAsia" w:hAnsiTheme="majorHAnsi" w:cstheme="majorBidi"/>
          <w:b/>
          <w:bCs/>
          <w:color w:val="365F91" w:themeColor="accent1" w:themeShade="BF"/>
          <w:sz w:val="28"/>
          <w:szCs w:val="28"/>
          <w:u w:val="single"/>
        </w:rPr>
        <w:t>)</w:t>
      </w:r>
      <w:proofErr w:type="spellStart"/>
      <w:r w:rsidRPr="00AA6642">
        <w:rPr>
          <w:rFonts w:asciiTheme="majorHAnsi" w:eastAsiaTheme="majorEastAsia" w:hAnsiTheme="majorHAnsi" w:cstheme="majorBidi"/>
          <w:b/>
          <w:bCs/>
          <w:color w:val="365F91" w:themeColor="accent1" w:themeShade="BF"/>
          <w:sz w:val="28"/>
          <w:szCs w:val="28"/>
          <w:u w:val="single"/>
        </w:rPr>
        <w:t>Assessee</w:t>
      </w:r>
      <w:proofErr w:type="spellEnd"/>
      <w:proofErr w:type="gramEnd"/>
      <w:r>
        <w:rPr>
          <w:rFonts w:asciiTheme="majorHAnsi" w:eastAsiaTheme="majorEastAsia" w:hAnsiTheme="majorHAnsi" w:cstheme="majorBidi"/>
          <w:b/>
          <w:bCs/>
          <w:color w:val="365F91" w:themeColor="accent1" w:themeShade="BF"/>
          <w:sz w:val="28"/>
          <w:szCs w:val="28"/>
          <w:u w:val="single"/>
        </w:rPr>
        <w:t>:</w:t>
      </w:r>
    </w:p>
    <w:p w:rsidR="00AA6642" w:rsidRDefault="00AA6642" w:rsidP="00AA6642">
      <w:pPr>
        <w:rPr>
          <w:rFonts w:eastAsiaTheme="majorEastAsia"/>
        </w:rPr>
      </w:pPr>
      <w:proofErr w:type="spellStart"/>
      <w:r>
        <w:rPr>
          <w:rFonts w:eastAsiaTheme="majorEastAsia"/>
        </w:rPr>
        <w:t>Assessee</w:t>
      </w:r>
      <w:proofErr w:type="spellEnd"/>
      <w:r>
        <w:rPr>
          <w:rFonts w:eastAsiaTheme="majorEastAsia"/>
        </w:rPr>
        <w:t xml:space="preserve"> means a person liable to pay any Tax or any other sum of money under the Income tax act.</w:t>
      </w:r>
    </w:p>
    <w:p w:rsidR="00AA6642" w:rsidRPr="0064705E" w:rsidRDefault="0064705E" w:rsidP="00AA6642">
      <w:pPr>
        <w:rPr>
          <w:rFonts w:asciiTheme="majorHAnsi" w:eastAsiaTheme="majorEastAsia" w:hAnsiTheme="majorHAnsi" w:cstheme="majorBidi"/>
          <w:b/>
          <w:bCs/>
          <w:color w:val="365F91" w:themeColor="accent1" w:themeShade="BF"/>
          <w:sz w:val="28"/>
          <w:szCs w:val="28"/>
          <w:u w:val="single"/>
        </w:rPr>
      </w:pPr>
      <w:r w:rsidRPr="0064705E">
        <w:rPr>
          <w:rFonts w:asciiTheme="majorHAnsi" w:eastAsiaTheme="majorEastAsia" w:hAnsiTheme="majorHAnsi" w:cstheme="majorBidi"/>
          <w:b/>
          <w:bCs/>
          <w:color w:val="365F91" w:themeColor="accent1" w:themeShade="BF"/>
          <w:sz w:val="28"/>
          <w:szCs w:val="28"/>
          <w:u w:val="single"/>
        </w:rPr>
        <w:t>3. Section 2(9</w:t>
      </w:r>
      <w:r w:rsidR="00802BFB" w:rsidRPr="0064705E">
        <w:rPr>
          <w:rFonts w:asciiTheme="majorHAnsi" w:eastAsiaTheme="majorEastAsia" w:hAnsiTheme="majorHAnsi" w:cstheme="majorBidi"/>
          <w:b/>
          <w:bCs/>
          <w:color w:val="365F91" w:themeColor="accent1" w:themeShade="BF"/>
          <w:sz w:val="28"/>
          <w:szCs w:val="28"/>
          <w:u w:val="single"/>
        </w:rPr>
        <w:t>)</w:t>
      </w:r>
      <w:r w:rsidR="00802BFB">
        <w:rPr>
          <w:rFonts w:asciiTheme="majorHAnsi" w:eastAsiaTheme="majorEastAsia" w:hAnsiTheme="majorHAnsi" w:cstheme="majorBidi"/>
          <w:b/>
          <w:bCs/>
          <w:color w:val="365F91" w:themeColor="accent1" w:themeShade="BF"/>
          <w:sz w:val="28"/>
          <w:szCs w:val="28"/>
          <w:u w:val="single"/>
        </w:rPr>
        <w:t xml:space="preserve"> Assessment</w:t>
      </w:r>
      <w:r>
        <w:rPr>
          <w:rFonts w:asciiTheme="majorHAnsi" w:eastAsiaTheme="majorEastAsia" w:hAnsiTheme="majorHAnsi" w:cstheme="majorBidi"/>
          <w:b/>
          <w:bCs/>
          <w:color w:val="365F91" w:themeColor="accent1" w:themeShade="BF"/>
          <w:sz w:val="28"/>
          <w:szCs w:val="28"/>
          <w:u w:val="single"/>
        </w:rPr>
        <w:t xml:space="preserve"> Year</w:t>
      </w:r>
      <w:r w:rsidRPr="0064705E">
        <w:rPr>
          <w:rFonts w:asciiTheme="majorHAnsi" w:eastAsiaTheme="majorEastAsia" w:hAnsiTheme="majorHAnsi" w:cstheme="majorBidi"/>
          <w:b/>
          <w:bCs/>
          <w:color w:val="365F91" w:themeColor="accent1" w:themeShade="BF"/>
          <w:sz w:val="28"/>
          <w:szCs w:val="28"/>
          <w:u w:val="single"/>
        </w:rPr>
        <w:t>:</w:t>
      </w:r>
    </w:p>
    <w:p w:rsidR="00AA6642" w:rsidRDefault="00802BFB" w:rsidP="008B18B1">
      <w:r>
        <w:t>The period of 12 months commencing on the first day of April of every year</w:t>
      </w:r>
    </w:p>
    <w:p w:rsidR="001B799C" w:rsidRDefault="001B799C" w:rsidP="008B18B1">
      <w:proofErr w:type="gramStart"/>
      <w:r>
        <w:rPr>
          <w:rFonts w:asciiTheme="majorHAnsi" w:eastAsiaTheme="majorEastAsia" w:hAnsiTheme="majorHAnsi" w:cstheme="majorBidi"/>
          <w:b/>
          <w:bCs/>
          <w:color w:val="365F91" w:themeColor="accent1" w:themeShade="BF"/>
          <w:sz w:val="28"/>
          <w:szCs w:val="28"/>
          <w:u w:val="single"/>
        </w:rPr>
        <w:t>4.</w:t>
      </w:r>
      <w:r w:rsidRPr="001B799C">
        <w:rPr>
          <w:rFonts w:asciiTheme="majorHAnsi" w:eastAsiaTheme="majorEastAsia" w:hAnsiTheme="majorHAnsi" w:cstheme="majorBidi"/>
          <w:b/>
          <w:bCs/>
          <w:color w:val="365F91" w:themeColor="accent1" w:themeShade="BF"/>
          <w:sz w:val="28"/>
          <w:szCs w:val="28"/>
          <w:u w:val="single"/>
        </w:rPr>
        <w:t>Section</w:t>
      </w:r>
      <w:proofErr w:type="gramEnd"/>
      <w:r w:rsidRPr="001B799C">
        <w:rPr>
          <w:rFonts w:asciiTheme="majorHAnsi" w:eastAsiaTheme="majorEastAsia" w:hAnsiTheme="majorHAnsi" w:cstheme="majorBidi"/>
          <w:b/>
          <w:bCs/>
          <w:color w:val="365F91" w:themeColor="accent1" w:themeShade="BF"/>
          <w:sz w:val="28"/>
          <w:szCs w:val="28"/>
          <w:u w:val="single"/>
        </w:rPr>
        <w:t xml:space="preserve"> [(12A) Books or Books of account</w:t>
      </w:r>
      <w:r>
        <w:t>:</w:t>
      </w:r>
    </w:p>
    <w:p w:rsidR="008B18B1" w:rsidRDefault="001B799C" w:rsidP="008B18B1">
      <w:r>
        <w:lastRenderedPageBreak/>
        <w:t>ledgers, day-books, cash books, account-books and other books, whether kept in the written form or as print-outs of data stored in a floppy, disc, tape or any other form of electro-magnetic data storage device;]</w:t>
      </w:r>
    </w:p>
    <w:p w:rsidR="001B799C" w:rsidRPr="001B799C" w:rsidRDefault="001B799C" w:rsidP="001B799C">
      <w:pPr>
        <w:spacing w:after="80"/>
        <w:ind w:left="960" w:hanging="960"/>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color w:val="365F91" w:themeColor="accent1" w:themeShade="BF"/>
          <w:sz w:val="28"/>
          <w:szCs w:val="28"/>
          <w:u w:val="single"/>
        </w:rPr>
        <w:t>5.</w:t>
      </w:r>
      <w:r w:rsidRPr="001B799C">
        <w:rPr>
          <w:rFonts w:asciiTheme="majorHAnsi" w:eastAsiaTheme="majorEastAsia" w:hAnsiTheme="majorHAnsi" w:cstheme="majorBidi"/>
          <w:b/>
          <w:bCs/>
          <w:color w:val="365F91" w:themeColor="accent1" w:themeShade="BF"/>
          <w:sz w:val="28"/>
          <w:szCs w:val="28"/>
          <w:u w:val="single"/>
        </w:rPr>
        <w:t xml:space="preserve"> Section (31) </w:t>
      </w:r>
      <w:proofErr w:type="gramStart"/>
      <w:r w:rsidRPr="001B799C">
        <w:rPr>
          <w:rFonts w:asciiTheme="majorHAnsi" w:eastAsiaTheme="majorEastAsia" w:hAnsiTheme="majorHAnsi" w:cstheme="majorBidi"/>
          <w:b/>
          <w:bCs/>
          <w:color w:val="365F91" w:themeColor="accent1" w:themeShade="BF"/>
          <w:sz w:val="28"/>
          <w:szCs w:val="28"/>
          <w:u w:val="single"/>
        </w:rPr>
        <w:t xml:space="preserve">Person </w:t>
      </w:r>
      <w:r>
        <w:rPr>
          <w:rFonts w:asciiTheme="majorHAnsi" w:eastAsiaTheme="majorEastAsia" w:hAnsiTheme="majorHAnsi" w:cstheme="majorBidi"/>
          <w:b/>
          <w:bCs/>
          <w:color w:val="365F91" w:themeColor="accent1" w:themeShade="BF"/>
          <w:sz w:val="28"/>
          <w:szCs w:val="28"/>
          <w:u w:val="single"/>
        </w:rPr>
        <w:t>:</w:t>
      </w:r>
      <w:proofErr w:type="gramEnd"/>
      <w:r>
        <w:rPr>
          <w:rFonts w:asciiTheme="majorHAnsi" w:eastAsiaTheme="majorEastAsia" w:hAnsiTheme="majorHAnsi" w:cstheme="majorBidi"/>
          <w:b/>
          <w:bCs/>
          <w:color w:val="365F91" w:themeColor="accent1" w:themeShade="BF"/>
          <w:sz w:val="28"/>
          <w:szCs w:val="28"/>
          <w:u w:val="single"/>
        </w:rPr>
        <w:t xml:space="preserve"> </w:t>
      </w:r>
      <w:r w:rsidRPr="001B799C">
        <w:rPr>
          <w:rFonts w:asciiTheme="majorHAnsi" w:eastAsiaTheme="majorEastAsia" w:hAnsiTheme="majorHAnsi" w:cstheme="majorBidi"/>
          <w:b/>
          <w:bCs/>
          <w:color w:val="365F91" w:themeColor="accent1" w:themeShade="BF"/>
          <w:sz w:val="28"/>
          <w:szCs w:val="28"/>
        </w:rPr>
        <w:t xml:space="preserve">      </w:t>
      </w:r>
      <w:r w:rsidRPr="001B799C">
        <w:t>It Includes</w:t>
      </w:r>
    </w:p>
    <w:p w:rsidR="001B799C" w:rsidRDefault="001B799C" w:rsidP="001B799C">
      <w:pPr>
        <w:spacing w:after="80"/>
      </w:pPr>
      <w:r>
        <w:t>An individual</w:t>
      </w:r>
      <w:r>
        <w:rPr>
          <w:vertAlign w:val="superscript"/>
        </w:rPr>
        <w:t>,</w:t>
      </w:r>
      <w:r w:rsidRPr="001B799C">
        <w:t xml:space="preserve"> </w:t>
      </w:r>
      <w:r>
        <w:t>Hindu undivided family</w:t>
      </w:r>
      <w:r w:rsidRPr="001B799C">
        <w:t>,</w:t>
      </w:r>
      <w:r>
        <w:t xml:space="preserve"> company, firm, association of persons, </w:t>
      </w:r>
      <w:r w:rsidRPr="001B799C">
        <w:t>a</w:t>
      </w:r>
      <w:r>
        <w:t xml:space="preserve"> body of individuals,</w:t>
      </w:r>
      <w:r w:rsidRPr="001B799C">
        <w:t xml:space="preserve"> </w:t>
      </w:r>
      <w:r>
        <w:t>local authority</w:t>
      </w:r>
      <w:r w:rsidRPr="001B799C">
        <w:t>, every</w:t>
      </w:r>
      <w:r>
        <w:t xml:space="preserve"> artificial juridical person</w:t>
      </w:r>
    </w:p>
    <w:p w:rsidR="001B799C" w:rsidRDefault="001B799C" w:rsidP="001B799C">
      <w:r w:rsidRPr="001B799C">
        <w:rPr>
          <w:b/>
          <w:u w:val="single"/>
        </w:rPr>
        <w:t>Note</w:t>
      </w:r>
      <w:r>
        <w:t>: association of persons or a body of individuals or a local authority or an artificial juridical person shall be deemed to be a person, whether or not such person or body or authority or juridical person was formed or established or incorporated with the object of deriving income, profits or gains.</w:t>
      </w:r>
    </w:p>
    <w:p w:rsidR="00C5297C" w:rsidRDefault="00FD7EDF" w:rsidP="00FD7EDF">
      <w:r>
        <w:rPr>
          <w:rFonts w:asciiTheme="majorHAnsi" w:eastAsiaTheme="majorEastAsia" w:hAnsiTheme="majorHAnsi" w:cstheme="majorBidi"/>
          <w:b/>
          <w:bCs/>
          <w:color w:val="365F91" w:themeColor="accent1" w:themeShade="BF"/>
          <w:sz w:val="28"/>
          <w:szCs w:val="28"/>
          <w:u w:val="single"/>
        </w:rPr>
        <w:t>6.</w:t>
      </w:r>
      <w:r w:rsidRPr="00FD7EDF">
        <w:rPr>
          <w:rFonts w:asciiTheme="majorHAnsi" w:eastAsiaTheme="majorEastAsia" w:hAnsiTheme="majorHAnsi" w:cstheme="majorBidi"/>
          <w:b/>
          <w:bCs/>
          <w:color w:val="365F91" w:themeColor="accent1" w:themeShade="BF"/>
          <w:sz w:val="28"/>
          <w:szCs w:val="28"/>
          <w:u w:val="single"/>
        </w:rPr>
        <w:t xml:space="preserve"> Section2</w:t>
      </w:r>
      <w:r w:rsidR="00C5297C" w:rsidRPr="00FD7EDF">
        <w:rPr>
          <w:rFonts w:asciiTheme="majorHAnsi" w:eastAsiaTheme="majorEastAsia" w:hAnsiTheme="majorHAnsi" w:cstheme="majorBidi"/>
          <w:b/>
          <w:bCs/>
          <w:color w:val="365F91" w:themeColor="accent1" w:themeShade="BF"/>
          <w:sz w:val="28"/>
          <w:szCs w:val="28"/>
          <w:u w:val="single"/>
        </w:rPr>
        <w:t xml:space="preserve"> (24) Income</w:t>
      </w:r>
      <w:r w:rsidR="00C5297C">
        <w:t>: Includes</w:t>
      </w:r>
    </w:p>
    <w:p w:rsidR="00C5297C" w:rsidRDefault="00C5297C" w:rsidP="00954C03">
      <w:pPr>
        <w:pStyle w:val="ListParagraph"/>
        <w:numPr>
          <w:ilvl w:val="0"/>
          <w:numId w:val="6"/>
        </w:numPr>
      </w:pPr>
      <w:r>
        <w:t>Profit and gains of business or profession.</w:t>
      </w:r>
    </w:p>
    <w:p w:rsidR="00C5297C" w:rsidRDefault="00C5297C" w:rsidP="00954C03">
      <w:pPr>
        <w:pStyle w:val="ListParagraph"/>
        <w:numPr>
          <w:ilvl w:val="0"/>
          <w:numId w:val="6"/>
        </w:numPr>
      </w:pPr>
      <w:r>
        <w:t>Dividends</w:t>
      </w:r>
    </w:p>
    <w:p w:rsidR="00C5297C" w:rsidRDefault="00C5297C" w:rsidP="00954C03">
      <w:pPr>
        <w:pStyle w:val="ListParagraph"/>
        <w:numPr>
          <w:ilvl w:val="0"/>
          <w:numId w:val="6"/>
        </w:numPr>
      </w:pPr>
      <w:r>
        <w:t xml:space="preserve">Voluntary contributions received by a charitable or religious purposes or by an institution established hospital or other institution </w:t>
      </w:r>
    </w:p>
    <w:p w:rsidR="00C5297C" w:rsidRDefault="00954C03" w:rsidP="00954C03">
      <w:pPr>
        <w:pStyle w:val="ListParagraph"/>
        <w:numPr>
          <w:ilvl w:val="0"/>
          <w:numId w:val="6"/>
        </w:numPr>
      </w:pPr>
      <w:r>
        <w:t>The</w:t>
      </w:r>
      <w:r w:rsidR="00C5297C">
        <w:t xml:space="preserve"> value of any perquisite or profit in lieu of salary taxable</w:t>
      </w:r>
    </w:p>
    <w:p w:rsidR="00C5297C" w:rsidRDefault="00954C03" w:rsidP="00954C03">
      <w:pPr>
        <w:pStyle w:val="ListParagraph"/>
        <w:numPr>
          <w:ilvl w:val="0"/>
          <w:numId w:val="6"/>
        </w:numPr>
      </w:pPr>
      <w:r>
        <w:t>Interest, salary, bonus, commission or remuneration earned by a partner of a firm</w:t>
      </w:r>
    </w:p>
    <w:p w:rsidR="00954C03" w:rsidRDefault="00954C03" w:rsidP="00954C03">
      <w:pPr>
        <w:pStyle w:val="ListParagraph"/>
        <w:numPr>
          <w:ilvl w:val="0"/>
          <w:numId w:val="6"/>
        </w:numPr>
      </w:pPr>
      <w:r>
        <w:t>Capital gains chargeable U/s 45</w:t>
      </w:r>
    </w:p>
    <w:p w:rsidR="00954C03" w:rsidRDefault="00954C03" w:rsidP="00C5297C">
      <w:pPr>
        <w:pStyle w:val="ListParagraph"/>
        <w:numPr>
          <w:ilvl w:val="0"/>
          <w:numId w:val="6"/>
        </w:numPr>
      </w:pPr>
      <w:r>
        <w:t>The profits and gains of any business of insurance carried on by a mutual insurance company or by a co-operative society</w:t>
      </w:r>
    </w:p>
    <w:p w:rsidR="00954C03" w:rsidRDefault="00954C03" w:rsidP="00C5297C">
      <w:pPr>
        <w:pStyle w:val="ListParagraph"/>
        <w:numPr>
          <w:ilvl w:val="0"/>
          <w:numId w:val="6"/>
        </w:numPr>
      </w:pPr>
      <w:r>
        <w:t>Any winnings from lotteries, crossword puzzles, races including horse races, card games and other games of any sort or from gambling or betting of any form or nature whatsoever</w:t>
      </w:r>
    </w:p>
    <w:p w:rsidR="00954C03" w:rsidRDefault="00954C03" w:rsidP="00C5297C">
      <w:pPr>
        <w:pStyle w:val="ListParagraph"/>
        <w:numPr>
          <w:ilvl w:val="0"/>
          <w:numId w:val="6"/>
        </w:numPr>
      </w:pPr>
      <w:r>
        <w:t xml:space="preserve">Any sum received by the </w:t>
      </w:r>
      <w:proofErr w:type="spellStart"/>
      <w:r>
        <w:t>assessee</w:t>
      </w:r>
      <w:proofErr w:type="spellEnd"/>
      <w:r>
        <w:t xml:space="preserve"> from his employees as contributions to any provident fund or superannuation fund</w:t>
      </w:r>
    </w:p>
    <w:p w:rsidR="00954C03" w:rsidRDefault="00954C03" w:rsidP="00C5297C">
      <w:pPr>
        <w:pStyle w:val="ListParagraph"/>
        <w:numPr>
          <w:ilvl w:val="0"/>
          <w:numId w:val="6"/>
        </w:numPr>
      </w:pPr>
      <w:r>
        <w:t xml:space="preserve">Any sum received under a </w:t>
      </w:r>
      <w:proofErr w:type="spellStart"/>
      <w:r>
        <w:t>Keyman</w:t>
      </w:r>
      <w:proofErr w:type="spellEnd"/>
      <w:r>
        <w:t xml:space="preserve"> insurance policy including the sum allocated by way of bonus on such policy.  </w:t>
      </w:r>
    </w:p>
    <w:p w:rsidR="00954C03" w:rsidRDefault="00954C03" w:rsidP="00C5297C">
      <w:pPr>
        <w:pStyle w:val="ListParagraph"/>
        <w:numPr>
          <w:ilvl w:val="0"/>
          <w:numId w:val="6"/>
        </w:numPr>
      </w:pPr>
      <w:r>
        <w:t xml:space="preserve">Benefit or perquisite received from a </w:t>
      </w:r>
      <w:r w:rsidR="001C0E0F">
        <w:t>company,</w:t>
      </w:r>
      <w:r>
        <w:t xml:space="preserve"> by a director or a person holding substantial interest or a relative of the director or such person.</w:t>
      </w:r>
    </w:p>
    <w:p w:rsidR="00954C03" w:rsidRDefault="00954C03" w:rsidP="00C5297C">
      <w:pPr>
        <w:pStyle w:val="ListParagraph"/>
        <w:numPr>
          <w:ilvl w:val="0"/>
          <w:numId w:val="6"/>
        </w:numPr>
      </w:pPr>
      <w:r>
        <w:t xml:space="preserve">Gifts U/s 56(2)(Vi)            </w:t>
      </w:r>
    </w:p>
    <w:p w:rsidR="00954C03" w:rsidRDefault="00954C03" w:rsidP="00C5297C"/>
    <w:p w:rsidR="00C5297C" w:rsidRDefault="00572226" w:rsidP="00572226">
      <w:r>
        <w:rPr>
          <w:rFonts w:asciiTheme="majorHAnsi" w:eastAsiaTheme="majorEastAsia" w:hAnsiTheme="majorHAnsi" w:cstheme="majorBidi"/>
          <w:b/>
          <w:bCs/>
          <w:color w:val="365F91" w:themeColor="accent1" w:themeShade="BF"/>
          <w:sz w:val="28"/>
          <w:szCs w:val="28"/>
          <w:u w:val="single"/>
        </w:rPr>
        <w:t>7.</w:t>
      </w:r>
      <w:r w:rsidRPr="00572226">
        <w:rPr>
          <w:rFonts w:asciiTheme="majorHAnsi" w:eastAsiaTheme="majorEastAsia" w:hAnsiTheme="majorHAnsi" w:cstheme="majorBidi"/>
          <w:b/>
          <w:bCs/>
          <w:color w:val="365F91" w:themeColor="accent1" w:themeShade="BF"/>
          <w:sz w:val="28"/>
          <w:szCs w:val="28"/>
          <w:u w:val="single"/>
        </w:rPr>
        <w:t xml:space="preserve"> Section3 Pervious Year</w:t>
      </w:r>
      <w:r>
        <w:t>:</w:t>
      </w:r>
    </w:p>
    <w:p w:rsidR="00572226" w:rsidRDefault="00572226" w:rsidP="00572226">
      <w:proofErr w:type="gramStart"/>
      <w:r>
        <w:t>Financial year immediately preceding the assessment Year.</w:t>
      </w:r>
      <w:proofErr w:type="gramEnd"/>
    </w:p>
    <w:p w:rsidR="00572226" w:rsidRDefault="00572226" w:rsidP="00572226">
      <w:r w:rsidRPr="00572226">
        <w:rPr>
          <w:u w:val="single"/>
        </w:rPr>
        <w:t>Exception in the following cases</w:t>
      </w:r>
      <w:r>
        <w:t>:</w:t>
      </w:r>
    </w:p>
    <w:p w:rsidR="00572226" w:rsidRDefault="00572226" w:rsidP="00572226">
      <w:pPr>
        <w:pStyle w:val="ListParagraph"/>
        <w:numPr>
          <w:ilvl w:val="0"/>
          <w:numId w:val="9"/>
        </w:numPr>
      </w:pPr>
      <w:r>
        <w:t>Shipping business of non- resident (section 172)</w:t>
      </w:r>
    </w:p>
    <w:p w:rsidR="00572226" w:rsidRDefault="00572226" w:rsidP="00572226">
      <w:pPr>
        <w:pStyle w:val="ListParagraph"/>
        <w:numPr>
          <w:ilvl w:val="0"/>
          <w:numId w:val="9"/>
        </w:numPr>
      </w:pPr>
      <w:r>
        <w:t>Person Leaving India (section 174)</w:t>
      </w:r>
    </w:p>
    <w:p w:rsidR="00572226" w:rsidRDefault="00572226" w:rsidP="00572226">
      <w:pPr>
        <w:pStyle w:val="ListParagraph"/>
        <w:numPr>
          <w:ilvl w:val="0"/>
          <w:numId w:val="9"/>
        </w:numPr>
      </w:pPr>
      <w:r>
        <w:t>AOP or BOI or Artificial Juridical person formed for a particular event or purpose (Section 174A)</w:t>
      </w:r>
    </w:p>
    <w:p w:rsidR="00572226" w:rsidRDefault="00572226" w:rsidP="00572226">
      <w:pPr>
        <w:pStyle w:val="ListParagraph"/>
        <w:numPr>
          <w:ilvl w:val="0"/>
          <w:numId w:val="9"/>
        </w:numPr>
      </w:pPr>
      <w:r>
        <w:t>Person likely to transfer property to avoid Tax (Section 175)</w:t>
      </w:r>
    </w:p>
    <w:p w:rsidR="00572226" w:rsidRDefault="00572226" w:rsidP="00572226">
      <w:pPr>
        <w:pStyle w:val="ListParagraph"/>
        <w:numPr>
          <w:ilvl w:val="0"/>
          <w:numId w:val="9"/>
        </w:numPr>
      </w:pPr>
      <w:r>
        <w:lastRenderedPageBreak/>
        <w:t>Discontinued Business ( Section 174)</w:t>
      </w:r>
    </w:p>
    <w:p w:rsidR="00572226" w:rsidRDefault="00572226" w:rsidP="00572226">
      <w:pPr>
        <w:pStyle w:val="ListParagraph"/>
      </w:pPr>
    </w:p>
    <w:p w:rsidR="00572226" w:rsidRDefault="00572226" w:rsidP="00572226"/>
    <w:p w:rsidR="00572226" w:rsidRDefault="00572226" w:rsidP="00572226"/>
    <w:p w:rsidR="00572226" w:rsidRDefault="00572226" w:rsidP="00572226"/>
    <w:p w:rsidR="00C5297C" w:rsidRDefault="00C5297C" w:rsidP="00C5297C"/>
    <w:p w:rsidR="00C5297C" w:rsidRDefault="00C5297C" w:rsidP="00C5297C"/>
    <w:tbl>
      <w:tblPr>
        <w:tblStyle w:val="TableGrid"/>
        <w:tblW w:w="10980" w:type="dxa"/>
        <w:tblInd w:w="-522" w:type="dxa"/>
        <w:tblLook w:val="04A0"/>
      </w:tblPr>
      <w:tblGrid>
        <w:gridCol w:w="2013"/>
        <w:gridCol w:w="2209"/>
        <w:gridCol w:w="2263"/>
        <w:gridCol w:w="2209"/>
        <w:gridCol w:w="2286"/>
      </w:tblGrid>
      <w:tr w:rsidR="00296242" w:rsidTr="00296242">
        <w:tc>
          <w:tcPr>
            <w:tcW w:w="2013" w:type="dxa"/>
          </w:tcPr>
          <w:p w:rsidR="00296242" w:rsidRDefault="00296242" w:rsidP="00FD00DD">
            <w:pPr>
              <w:jc w:val="center"/>
            </w:pPr>
            <w:r>
              <w:t>Particulars</w:t>
            </w:r>
          </w:p>
        </w:tc>
        <w:tc>
          <w:tcPr>
            <w:tcW w:w="2209" w:type="dxa"/>
          </w:tcPr>
          <w:p w:rsidR="00296242" w:rsidRDefault="00296242" w:rsidP="00FD00DD">
            <w:pPr>
              <w:jc w:val="center"/>
            </w:pPr>
            <w:r>
              <w:t>Section 10A</w:t>
            </w:r>
          </w:p>
        </w:tc>
        <w:tc>
          <w:tcPr>
            <w:tcW w:w="2263" w:type="dxa"/>
          </w:tcPr>
          <w:p w:rsidR="00296242" w:rsidRDefault="00296242" w:rsidP="00FD00DD">
            <w:pPr>
              <w:jc w:val="center"/>
            </w:pPr>
            <w:r>
              <w:t>Section 10AA</w:t>
            </w:r>
          </w:p>
        </w:tc>
        <w:tc>
          <w:tcPr>
            <w:tcW w:w="2209" w:type="dxa"/>
          </w:tcPr>
          <w:p w:rsidR="00296242" w:rsidRDefault="00296242" w:rsidP="00FD00DD">
            <w:pPr>
              <w:jc w:val="center"/>
            </w:pPr>
            <w:r>
              <w:t>Section 10B</w:t>
            </w:r>
          </w:p>
        </w:tc>
        <w:tc>
          <w:tcPr>
            <w:tcW w:w="2286" w:type="dxa"/>
          </w:tcPr>
          <w:p w:rsidR="00296242" w:rsidRDefault="00296242" w:rsidP="00FD00DD">
            <w:pPr>
              <w:jc w:val="center"/>
            </w:pPr>
            <w:r>
              <w:t>Section 10BA</w:t>
            </w:r>
          </w:p>
        </w:tc>
      </w:tr>
      <w:tr w:rsidR="00296242" w:rsidTr="00296242">
        <w:tc>
          <w:tcPr>
            <w:tcW w:w="2013" w:type="dxa"/>
          </w:tcPr>
          <w:p w:rsidR="00296242" w:rsidRPr="00296242" w:rsidRDefault="00296242" w:rsidP="00FD00DD">
            <w:pPr>
              <w:jc w:val="center"/>
              <w:rPr>
                <w:b/>
              </w:rPr>
            </w:pPr>
            <w:r w:rsidRPr="00296242">
              <w:rPr>
                <w:b/>
              </w:rPr>
              <w:t xml:space="preserve">Eligible </w:t>
            </w:r>
            <w:proofErr w:type="spellStart"/>
            <w:r w:rsidRPr="00296242">
              <w:rPr>
                <w:b/>
              </w:rPr>
              <w:t>Assessee</w:t>
            </w:r>
            <w:proofErr w:type="spellEnd"/>
          </w:p>
        </w:tc>
        <w:tc>
          <w:tcPr>
            <w:tcW w:w="2209" w:type="dxa"/>
          </w:tcPr>
          <w:p w:rsidR="00296242" w:rsidRDefault="00296242" w:rsidP="00FD00DD">
            <w:r>
              <w:rPr>
                <w:b/>
                <w:bCs/>
              </w:rPr>
              <w:t>Special provision in respect of newly established undertakings in free trade zone, etc.</w:t>
            </w:r>
          </w:p>
        </w:tc>
        <w:tc>
          <w:tcPr>
            <w:tcW w:w="2263" w:type="dxa"/>
          </w:tcPr>
          <w:p w:rsidR="00296242" w:rsidRDefault="00296242" w:rsidP="00FD00DD">
            <w:r>
              <w:rPr>
                <w:b/>
                <w:bCs/>
              </w:rPr>
              <w:t>Special provisions in respect of newly established Units in Special Economic Zones</w:t>
            </w:r>
          </w:p>
        </w:tc>
        <w:tc>
          <w:tcPr>
            <w:tcW w:w="2209" w:type="dxa"/>
          </w:tcPr>
          <w:p w:rsidR="00296242" w:rsidRDefault="00296242" w:rsidP="00FD00DD">
            <w:r>
              <w:rPr>
                <w:b/>
                <w:bCs/>
              </w:rPr>
              <w:t>Special provisions in respect of newly established hundred per cent export-oriented undertakings</w:t>
            </w:r>
          </w:p>
        </w:tc>
        <w:tc>
          <w:tcPr>
            <w:tcW w:w="2286" w:type="dxa"/>
          </w:tcPr>
          <w:p w:rsidR="00296242" w:rsidRDefault="00296242" w:rsidP="00FD00DD">
            <w:r w:rsidRPr="00296242">
              <w:rPr>
                <w:b/>
                <w:bCs/>
              </w:rPr>
              <w:t>Units Exporting article or things</w:t>
            </w:r>
          </w:p>
        </w:tc>
      </w:tr>
      <w:tr w:rsidR="00296242" w:rsidTr="00296242">
        <w:tc>
          <w:tcPr>
            <w:tcW w:w="2013" w:type="dxa"/>
          </w:tcPr>
          <w:p w:rsidR="00296242" w:rsidRDefault="00296242" w:rsidP="00FD00DD">
            <w:pPr>
              <w:jc w:val="center"/>
            </w:pPr>
            <w:r>
              <w:t>Nature of Business</w:t>
            </w:r>
          </w:p>
        </w:tc>
        <w:tc>
          <w:tcPr>
            <w:tcW w:w="2209" w:type="dxa"/>
          </w:tcPr>
          <w:p w:rsidR="00296242" w:rsidRDefault="00296242" w:rsidP="00FD00DD">
            <w:r>
              <w:t>Manufacture/produce article or things or computer software</w:t>
            </w:r>
          </w:p>
        </w:tc>
        <w:tc>
          <w:tcPr>
            <w:tcW w:w="2263" w:type="dxa"/>
          </w:tcPr>
          <w:p w:rsidR="00296242" w:rsidRDefault="00296242" w:rsidP="00FD00DD">
            <w:r>
              <w:t>Manufacture/produce article or things or computer software or provide services</w:t>
            </w:r>
          </w:p>
        </w:tc>
        <w:tc>
          <w:tcPr>
            <w:tcW w:w="2209" w:type="dxa"/>
          </w:tcPr>
          <w:p w:rsidR="00296242" w:rsidRDefault="00296242" w:rsidP="00FD00DD">
            <w:r>
              <w:t>Manufacture/produce article or things or computer software</w:t>
            </w:r>
          </w:p>
        </w:tc>
        <w:tc>
          <w:tcPr>
            <w:tcW w:w="2286" w:type="dxa"/>
          </w:tcPr>
          <w:p w:rsidR="00296242" w:rsidRDefault="00296242" w:rsidP="00FD00DD">
            <w:r>
              <w:t>Manufacture/producer of Eligible article or things(Min. export is 90% to total Turnover)</w:t>
            </w:r>
          </w:p>
        </w:tc>
      </w:tr>
      <w:tr w:rsidR="00296242" w:rsidTr="00296242">
        <w:tc>
          <w:tcPr>
            <w:tcW w:w="2013" w:type="dxa"/>
          </w:tcPr>
          <w:p w:rsidR="00296242" w:rsidRDefault="00296242" w:rsidP="00C5297C">
            <w:r>
              <w:t>Special Reserve account and conditions relating for additional reserve</w:t>
            </w:r>
          </w:p>
        </w:tc>
        <w:tc>
          <w:tcPr>
            <w:tcW w:w="2209" w:type="dxa"/>
          </w:tcPr>
          <w:p w:rsidR="00296242" w:rsidRDefault="00296242" w:rsidP="00FD00DD">
            <w:pPr>
              <w:jc w:val="center"/>
            </w:pPr>
          </w:p>
          <w:p w:rsidR="00296242" w:rsidRDefault="00296242" w:rsidP="00FD00DD">
            <w:pPr>
              <w:jc w:val="center"/>
            </w:pPr>
          </w:p>
          <w:p w:rsidR="00296242" w:rsidRDefault="00296242" w:rsidP="00FD00DD">
            <w:pPr>
              <w:jc w:val="center"/>
            </w:pPr>
            <w:r>
              <w:t>Applicable</w:t>
            </w:r>
          </w:p>
        </w:tc>
        <w:tc>
          <w:tcPr>
            <w:tcW w:w="2263" w:type="dxa"/>
          </w:tcPr>
          <w:p w:rsidR="00296242" w:rsidRDefault="00296242" w:rsidP="00FD00DD">
            <w:pPr>
              <w:jc w:val="center"/>
            </w:pPr>
          </w:p>
          <w:p w:rsidR="00296242" w:rsidRDefault="00296242" w:rsidP="00FD00DD">
            <w:pPr>
              <w:jc w:val="center"/>
            </w:pPr>
          </w:p>
          <w:p w:rsidR="00296242" w:rsidRDefault="00296242" w:rsidP="00FD00DD">
            <w:pPr>
              <w:jc w:val="center"/>
            </w:pPr>
            <w:r>
              <w:t>Applicable</w:t>
            </w:r>
          </w:p>
        </w:tc>
        <w:tc>
          <w:tcPr>
            <w:tcW w:w="2209" w:type="dxa"/>
          </w:tcPr>
          <w:p w:rsidR="00296242" w:rsidRDefault="00296242" w:rsidP="00FD00DD">
            <w:pPr>
              <w:jc w:val="center"/>
            </w:pPr>
          </w:p>
          <w:p w:rsidR="00296242" w:rsidRDefault="00296242" w:rsidP="00FD00DD">
            <w:pPr>
              <w:jc w:val="center"/>
            </w:pPr>
          </w:p>
          <w:p w:rsidR="00296242" w:rsidRDefault="00296242" w:rsidP="00FD00DD">
            <w:pPr>
              <w:jc w:val="center"/>
            </w:pPr>
            <w:r>
              <w:t>Not Applicable</w:t>
            </w:r>
          </w:p>
        </w:tc>
        <w:tc>
          <w:tcPr>
            <w:tcW w:w="2286" w:type="dxa"/>
          </w:tcPr>
          <w:p w:rsidR="00296242" w:rsidRDefault="00296242" w:rsidP="00FD00DD">
            <w:pPr>
              <w:jc w:val="center"/>
            </w:pPr>
          </w:p>
          <w:p w:rsidR="00296242" w:rsidRDefault="00296242" w:rsidP="00FD00DD">
            <w:pPr>
              <w:jc w:val="center"/>
            </w:pPr>
          </w:p>
          <w:p w:rsidR="00296242" w:rsidRDefault="00296242" w:rsidP="00FD00DD">
            <w:pPr>
              <w:jc w:val="center"/>
            </w:pPr>
            <w:r>
              <w:t>Not Applicable</w:t>
            </w:r>
          </w:p>
        </w:tc>
      </w:tr>
      <w:tr w:rsidR="00296242" w:rsidTr="00296242">
        <w:tc>
          <w:tcPr>
            <w:tcW w:w="2013" w:type="dxa"/>
          </w:tcPr>
          <w:p w:rsidR="00296242" w:rsidRDefault="00296242" w:rsidP="00C5297C">
            <w:r>
              <w:t>Audit report</w:t>
            </w:r>
          </w:p>
        </w:tc>
        <w:tc>
          <w:tcPr>
            <w:tcW w:w="2209" w:type="dxa"/>
          </w:tcPr>
          <w:p w:rsidR="00296242" w:rsidRDefault="00296242" w:rsidP="00FD00DD">
            <w:pPr>
              <w:jc w:val="center"/>
            </w:pPr>
            <w:r>
              <w:t>FORM 56F</w:t>
            </w:r>
          </w:p>
        </w:tc>
        <w:tc>
          <w:tcPr>
            <w:tcW w:w="2263" w:type="dxa"/>
          </w:tcPr>
          <w:p w:rsidR="00296242" w:rsidRDefault="00296242" w:rsidP="00FD00DD">
            <w:pPr>
              <w:jc w:val="center"/>
            </w:pPr>
            <w:r>
              <w:t>FORM 56F</w:t>
            </w:r>
          </w:p>
        </w:tc>
        <w:tc>
          <w:tcPr>
            <w:tcW w:w="2209" w:type="dxa"/>
          </w:tcPr>
          <w:p w:rsidR="00296242" w:rsidRDefault="00296242" w:rsidP="00FD00DD">
            <w:pPr>
              <w:jc w:val="center"/>
            </w:pPr>
            <w:r>
              <w:t>FORM 56</w:t>
            </w:r>
            <w:r w:rsidR="00FD00DD">
              <w:t>G</w:t>
            </w:r>
          </w:p>
        </w:tc>
        <w:tc>
          <w:tcPr>
            <w:tcW w:w="2286" w:type="dxa"/>
          </w:tcPr>
          <w:p w:rsidR="00296242" w:rsidRDefault="00FD00DD" w:rsidP="00FD00DD">
            <w:pPr>
              <w:jc w:val="center"/>
            </w:pPr>
            <w:r>
              <w:t>FORM 56H</w:t>
            </w:r>
          </w:p>
        </w:tc>
      </w:tr>
      <w:tr w:rsidR="00296242" w:rsidTr="00296242">
        <w:tc>
          <w:tcPr>
            <w:tcW w:w="2013" w:type="dxa"/>
          </w:tcPr>
          <w:p w:rsidR="00296242" w:rsidRDefault="00FD00DD" w:rsidP="00C5297C">
            <w:r>
              <w:t>Form for return for particulars of New machinery</w:t>
            </w:r>
          </w:p>
        </w:tc>
        <w:tc>
          <w:tcPr>
            <w:tcW w:w="2209" w:type="dxa"/>
          </w:tcPr>
          <w:p w:rsidR="00FD00DD" w:rsidRDefault="00FD00DD" w:rsidP="00FD00DD">
            <w:pPr>
              <w:jc w:val="center"/>
            </w:pPr>
          </w:p>
          <w:p w:rsidR="00296242" w:rsidRDefault="00FD00DD" w:rsidP="00FD00DD">
            <w:pPr>
              <w:jc w:val="center"/>
            </w:pPr>
            <w:r>
              <w:t>Form 56FF</w:t>
            </w:r>
          </w:p>
        </w:tc>
        <w:tc>
          <w:tcPr>
            <w:tcW w:w="2263" w:type="dxa"/>
          </w:tcPr>
          <w:p w:rsidR="00FD00DD" w:rsidRDefault="00FD00DD" w:rsidP="00FD00DD">
            <w:pPr>
              <w:jc w:val="center"/>
            </w:pPr>
          </w:p>
          <w:p w:rsidR="00296242" w:rsidRDefault="00FD00DD" w:rsidP="00FD00DD">
            <w:pPr>
              <w:jc w:val="center"/>
            </w:pPr>
            <w:r>
              <w:t>Form 56FF</w:t>
            </w:r>
          </w:p>
        </w:tc>
        <w:tc>
          <w:tcPr>
            <w:tcW w:w="2209" w:type="dxa"/>
          </w:tcPr>
          <w:p w:rsidR="00FD00DD" w:rsidRDefault="00FD00DD" w:rsidP="00FD00DD">
            <w:pPr>
              <w:jc w:val="center"/>
            </w:pPr>
          </w:p>
          <w:p w:rsidR="00296242" w:rsidRDefault="00FD00DD" w:rsidP="00FD00DD">
            <w:pPr>
              <w:jc w:val="center"/>
            </w:pPr>
            <w:r>
              <w:t>-</w:t>
            </w:r>
          </w:p>
        </w:tc>
        <w:tc>
          <w:tcPr>
            <w:tcW w:w="2286" w:type="dxa"/>
          </w:tcPr>
          <w:p w:rsidR="00FD00DD" w:rsidRDefault="00FD00DD" w:rsidP="00FD00DD">
            <w:pPr>
              <w:jc w:val="center"/>
            </w:pPr>
          </w:p>
          <w:p w:rsidR="00296242" w:rsidRDefault="00FD00DD" w:rsidP="00FD00DD">
            <w:pPr>
              <w:jc w:val="center"/>
            </w:pPr>
            <w:r>
              <w:t>-</w:t>
            </w:r>
          </w:p>
        </w:tc>
      </w:tr>
      <w:tr w:rsidR="00296242" w:rsidTr="00296242">
        <w:tc>
          <w:tcPr>
            <w:tcW w:w="2013" w:type="dxa"/>
          </w:tcPr>
          <w:p w:rsidR="00296242" w:rsidRDefault="00FD00DD" w:rsidP="00C5297C">
            <w:r>
              <w:t>Proceeds of sale to be received with 6 months in convertible foreign exchange</w:t>
            </w:r>
          </w:p>
        </w:tc>
        <w:tc>
          <w:tcPr>
            <w:tcW w:w="2209" w:type="dxa"/>
          </w:tcPr>
          <w:p w:rsidR="00FD00DD" w:rsidRDefault="00FD00DD" w:rsidP="00FD00DD">
            <w:pPr>
              <w:jc w:val="center"/>
            </w:pPr>
          </w:p>
          <w:p w:rsidR="00FD00DD" w:rsidRDefault="00FD00DD" w:rsidP="00FD00DD">
            <w:pPr>
              <w:jc w:val="center"/>
            </w:pPr>
          </w:p>
          <w:p w:rsidR="00296242" w:rsidRDefault="00FD00DD" w:rsidP="00FD00DD">
            <w:pPr>
              <w:jc w:val="center"/>
            </w:pPr>
            <w:r>
              <w:t>Within 6 Months</w:t>
            </w:r>
          </w:p>
        </w:tc>
        <w:tc>
          <w:tcPr>
            <w:tcW w:w="2263" w:type="dxa"/>
          </w:tcPr>
          <w:p w:rsidR="00FD00DD" w:rsidRDefault="00FD00DD" w:rsidP="00FD00DD">
            <w:pPr>
              <w:jc w:val="center"/>
            </w:pPr>
          </w:p>
          <w:p w:rsidR="00FD00DD" w:rsidRDefault="00FD00DD" w:rsidP="00FD00DD">
            <w:pPr>
              <w:jc w:val="center"/>
            </w:pPr>
          </w:p>
          <w:p w:rsidR="00296242" w:rsidRDefault="00FD00DD" w:rsidP="00FD00DD">
            <w:pPr>
              <w:jc w:val="center"/>
            </w:pPr>
            <w:r>
              <w:t>Within 6 Months</w:t>
            </w:r>
          </w:p>
        </w:tc>
        <w:tc>
          <w:tcPr>
            <w:tcW w:w="2209" w:type="dxa"/>
          </w:tcPr>
          <w:p w:rsidR="00FD00DD" w:rsidRDefault="00FD00DD" w:rsidP="00FD00DD">
            <w:pPr>
              <w:jc w:val="center"/>
            </w:pPr>
          </w:p>
          <w:p w:rsidR="00FD00DD" w:rsidRDefault="00FD00DD" w:rsidP="00FD00DD">
            <w:pPr>
              <w:jc w:val="center"/>
            </w:pPr>
          </w:p>
          <w:p w:rsidR="00296242" w:rsidRDefault="00FD00DD" w:rsidP="00FD00DD">
            <w:pPr>
              <w:jc w:val="center"/>
            </w:pPr>
            <w:r>
              <w:t>-</w:t>
            </w:r>
          </w:p>
        </w:tc>
        <w:tc>
          <w:tcPr>
            <w:tcW w:w="2286" w:type="dxa"/>
          </w:tcPr>
          <w:p w:rsidR="00FD00DD" w:rsidRDefault="00FD00DD" w:rsidP="00FD00DD">
            <w:pPr>
              <w:jc w:val="center"/>
            </w:pPr>
          </w:p>
          <w:p w:rsidR="00FD00DD" w:rsidRDefault="00FD00DD" w:rsidP="00FD00DD">
            <w:pPr>
              <w:jc w:val="center"/>
            </w:pPr>
          </w:p>
          <w:p w:rsidR="00296242" w:rsidRDefault="00FD00DD" w:rsidP="00FD00DD">
            <w:pPr>
              <w:jc w:val="center"/>
            </w:pPr>
            <w:r>
              <w:t>Within 6 Months</w:t>
            </w:r>
          </w:p>
        </w:tc>
      </w:tr>
      <w:tr w:rsidR="00296242" w:rsidTr="00296242">
        <w:trPr>
          <w:trHeight w:val="287"/>
        </w:trPr>
        <w:tc>
          <w:tcPr>
            <w:tcW w:w="2013" w:type="dxa"/>
          </w:tcPr>
          <w:p w:rsidR="00296242" w:rsidRDefault="00FD00DD" w:rsidP="00C5297C">
            <w:r>
              <w:t>Deduction</w:t>
            </w:r>
          </w:p>
        </w:tc>
        <w:tc>
          <w:tcPr>
            <w:tcW w:w="2209" w:type="dxa"/>
          </w:tcPr>
          <w:p w:rsidR="00296242" w:rsidRDefault="00FD00DD" w:rsidP="00C5297C">
            <w:r>
              <w:t>Year 1-5 100% Export profit</w:t>
            </w:r>
          </w:p>
          <w:p w:rsidR="00FD00DD" w:rsidRDefault="00FD00DD" w:rsidP="00C5297C">
            <w:r>
              <w:lastRenderedPageBreak/>
              <w:t>Year 6-7 50% export profit</w:t>
            </w:r>
          </w:p>
          <w:p w:rsidR="00FD00DD" w:rsidRDefault="00FD00DD" w:rsidP="00C5297C">
            <w:r>
              <w:t>Year 8-10 50% export profit or credit to special reserve</w:t>
            </w:r>
          </w:p>
        </w:tc>
        <w:tc>
          <w:tcPr>
            <w:tcW w:w="2263" w:type="dxa"/>
          </w:tcPr>
          <w:p w:rsidR="00FD00DD" w:rsidRDefault="00FD00DD" w:rsidP="00FD00DD">
            <w:r>
              <w:lastRenderedPageBreak/>
              <w:t>Year 1-5 100% Export profit</w:t>
            </w:r>
          </w:p>
          <w:p w:rsidR="00FD00DD" w:rsidRDefault="00FD00DD" w:rsidP="00FD00DD">
            <w:r>
              <w:lastRenderedPageBreak/>
              <w:t>Year 6-7 50% export profit</w:t>
            </w:r>
          </w:p>
          <w:p w:rsidR="00FD00DD" w:rsidRDefault="00FD00DD" w:rsidP="00FD00DD">
            <w:r>
              <w:t xml:space="preserve">Year 8-10 50% export profit </w:t>
            </w:r>
          </w:p>
          <w:p w:rsidR="00FD00DD" w:rsidRDefault="00FD00DD" w:rsidP="00FD00DD">
            <w:r>
              <w:t xml:space="preserve">Year 11-15 50% export profit </w:t>
            </w:r>
          </w:p>
          <w:p w:rsidR="00296242" w:rsidRDefault="00FD00DD" w:rsidP="00FD00DD">
            <w:r>
              <w:t>or credit to special reserve</w:t>
            </w:r>
          </w:p>
        </w:tc>
        <w:tc>
          <w:tcPr>
            <w:tcW w:w="2209" w:type="dxa"/>
          </w:tcPr>
          <w:p w:rsidR="00FD00DD" w:rsidRDefault="00FD00DD" w:rsidP="00C5297C"/>
          <w:p w:rsidR="00FD00DD" w:rsidRDefault="00FD00DD" w:rsidP="00C5297C"/>
          <w:p w:rsidR="00FD00DD" w:rsidRDefault="00FD00DD" w:rsidP="00C5297C"/>
          <w:p w:rsidR="00FD00DD" w:rsidRDefault="00FD00DD" w:rsidP="00C5297C"/>
          <w:p w:rsidR="00296242" w:rsidRDefault="00FD00DD" w:rsidP="00C5297C">
            <w:r>
              <w:t>100% of Export profit</w:t>
            </w:r>
          </w:p>
        </w:tc>
        <w:tc>
          <w:tcPr>
            <w:tcW w:w="2286" w:type="dxa"/>
          </w:tcPr>
          <w:p w:rsidR="00FD00DD" w:rsidRDefault="00FD00DD" w:rsidP="00C5297C"/>
          <w:p w:rsidR="00FD00DD" w:rsidRDefault="00FD00DD" w:rsidP="00C5297C"/>
          <w:p w:rsidR="00FD00DD" w:rsidRDefault="00FD00DD" w:rsidP="00C5297C"/>
          <w:p w:rsidR="00FD00DD" w:rsidRDefault="00FD00DD" w:rsidP="00C5297C"/>
          <w:p w:rsidR="00296242" w:rsidRDefault="00FD00DD" w:rsidP="00C5297C">
            <w:r>
              <w:t>100% of Export Profit</w:t>
            </w:r>
          </w:p>
        </w:tc>
      </w:tr>
      <w:tr w:rsidR="00296242" w:rsidTr="00296242">
        <w:tc>
          <w:tcPr>
            <w:tcW w:w="2013" w:type="dxa"/>
          </w:tcPr>
          <w:p w:rsidR="00296242" w:rsidRDefault="00FD00DD" w:rsidP="00C5297C">
            <w:r>
              <w:lastRenderedPageBreak/>
              <w:t>Deduction applicable till assessment</w:t>
            </w:r>
          </w:p>
        </w:tc>
        <w:tc>
          <w:tcPr>
            <w:tcW w:w="2209" w:type="dxa"/>
          </w:tcPr>
          <w:p w:rsidR="00FD00DD" w:rsidRDefault="00FD00DD" w:rsidP="00FD00DD">
            <w:pPr>
              <w:jc w:val="center"/>
            </w:pPr>
          </w:p>
          <w:p w:rsidR="00296242" w:rsidRDefault="00FD00DD" w:rsidP="00FD00DD">
            <w:pPr>
              <w:jc w:val="center"/>
            </w:pPr>
            <w:r>
              <w:t>2011-12</w:t>
            </w:r>
          </w:p>
        </w:tc>
        <w:tc>
          <w:tcPr>
            <w:tcW w:w="2263" w:type="dxa"/>
          </w:tcPr>
          <w:p w:rsidR="00FD00DD" w:rsidRDefault="00FD00DD" w:rsidP="00FD00DD">
            <w:pPr>
              <w:jc w:val="center"/>
            </w:pPr>
          </w:p>
          <w:p w:rsidR="00296242" w:rsidRDefault="00FD00DD" w:rsidP="00FD00DD">
            <w:pPr>
              <w:jc w:val="center"/>
            </w:pPr>
            <w:r>
              <w:t>Not specified</w:t>
            </w:r>
          </w:p>
        </w:tc>
        <w:tc>
          <w:tcPr>
            <w:tcW w:w="2209" w:type="dxa"/>
          </w:tcPr>
          <w:p w:rsidR="00FD00DD" w:rsidRDefault="00FD00DD" w:rsidP="00FD00DD">
            <w:pPr>
              <w:jc w:val="center"/>
            </w:pPr>
          </w:p>
          <w:p w:rsidR="00296242" w:rsidRDefault="00FD00DD" w:rsidP="00FD00DD">
            <w:pPr>
              <w:jc w:val="center"/>
            </w:pPr>
            <w:r>
              <w:t>2011-12</w:t>
            </w:r>
          </w:p>
        </w:tc>
        <w:tc>
          <w:tcPr>
            <w:tcW w:w="2286" w:type="dxa"/>
          </w:tcPr>
          <w:p w:rsidR="00FD00DD" w:rsidRDefault="00FD00DD" w:rsidP="00FD00DD">
            <w:pPr>
              <w:jc w:val="center"/>
            </w:pPr>
          </w:p>
          <w:p w:rsidR="00296242" w:rsidRDefault="00FD00DD" w:rsidP="00FD00DD">
            <w:pPr>
              <w:jc w:val="center"/>
            </w:pPr>
            <w:r>
              <w:t>2009-10</w:t>
            </w:r>
          </w:p>
        </w:tc>
      </w:tr>
    </w:tbl>
    <w:p w:rsidR="00C5297C" w:rsidRDefault="00C5297C" w:rsidP="00C5297C"/>
    <w:p w:rsidR="00C5297C" w:rsidRPr="00C5297C" w:rsidRDefault="00C5297C" w:rsidP="00C5297C">
      <w:pPr>
        <w:rPr>
          <w:rFonts w:eastAsiaTheme="majorEastAsia"/>
        </w:rPr>
      </w:pPr>
      <w:r>
        <w:rPr>
          <w:rFonts w:eastAsiaTheme="majorEastAsia"/>
        </w:rPr>
        <w:t xml:space="preserve">      </w:t>
      </w:r>
    </w:p>
    <w:p w:rsidR="00C5297C" w:rsidRDefault="00C5297C" w:rsidP="00C5297C">
      <w:pPr>
        <w:pStyle w:val="ListParagraph"/>
        <w:ind w:left="960"/>
      </w:pPr>
    </w:p>
    <w:p w:rsidR="004E3E38" w:rsidRDefault="004E3E38"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F93E97" w:rsidP="00E13805">
      <w:pPr>
        <w:spacing w:after="80"/>
        <w:ind w:left="1320" w:hanging="720"/>
      </w:pPr>
    </w:p>
    <w:p w:rsidR="00F93E97" w:rsidRDefault="0027424D" w:rsidP="0027424D">
      <w:pPr>
        <w:pStyle w:val="Title"/>
      </w:pPr>
      <w:r>
        <w:t>TDS Rates</w:t>
      </w:r>
    </w:p>
    <w:p w:rsidR="00F93E97" w:rsidRDefault="00F93E97" w:rsidP="00E13805">
      <w:pPr>
        <w:spacing w:after="80"/>
        <w:ind w:left="1320" w:hanging="720"/>
      </w:pPr>
    </w:p>
    <w:p w:rsidR="00F93E97" w:rsidRDefault="00F93E97" w:rsidP="00E13805">
      <w:pPr>
        <w:spacing w:after="80"/>
        <w:ind w:left="1320" w:hanging="720"/>
      </w:pPr>
    </w:p>
    <w:p w:rsidR="00F93E97" w:rsidRPr="0027424D" w:rsidRDefault="00F93E97" w:rsidP="00A8556C">
      <w:pPr>
        <w:pStyle w:val="Title"/>
        <w:rPr>
          <w:rStyle w:val="SubtleReference"/>
        </w:rPr>
      </w:pPr>
      <w:r>
        <w:t xml:space="preserve">            </w:t>
      </w:r>
      <w:r w:rsidRPr="0027424D">
        <w:rPr>
          <w:rStyle w:val="SubtleReference"/>
        </w:rPr>
        <w:t>Individual</w:t>
      </w:r>
    </w:p>
    <w:p w:rsidR="00F93E97" w:rsidRDefault="00F93E97" w:rsidP="00E13805">
      <w:pPr>
        <w:spacing w:after="80"/>
        <w:ind w:left="1320" w:hanging="720"/>
      </w:pPr>
    </w:p>
    <w:tbl>
      <w:tblPr>
        <w:tblStyle w:val="TableGrid"/>
        <w:tblW w:w="12738" w:type="dxa"/>
        <w:tblInd w:w="1320" w:type="dxa"/>
        <w:tblLook w:val="04A0"/>
      </w:tblPr>
      <w:tblGrid>
        <w:gridCol w:w="2494"/>
        <w:gridCol w:w="3764"/>
        <w:gridCol w:w="3960"/>
        <w:gridCol w:w="2520"/>
      </w:tblGrid>
      <w:tr w:rsidR="00F93E97" w:rsidTr="005A5C3E">
        <w:tc>
          <w:tcPr>
            <w:tcW w:w="2494" w:type="dxa"/>
          </w:tcPr>
          <w:p w:rsidR="00F93E97" w:rsidRPr="00A829CF" w:rsidRDefault="00CF4FC6" w:rsidP="00E13805">
            <w:pPr>
              <w:spacing w:after="80"/>
              <w:rPr>
                <w:rStyle w:val="IntenseEmphasis"/>
              </w:rPr>
            </w:pPr>
            <w:r w:rsidRPr="00CF4FC6">
              <w:rPr>
                <w:rStyle w:val="IntenseEmphasis"/>
              </w:rPr>
              <w:pict>
                <v:shapetype id="_x0000_t32" coordsize="21600,21600" o:spt="32" o:oned="t" path="m,l21600,21600e" filled="f">
                  <v:path arrowok="t" fillok="f" o:connecttype="none"/>
                  <o:lock v:ext="edit" shapetype="t"/>
                </v:shapetype>
                <v:shape id="_x0000_s1030" type="#_x0000_t32" style="position:absolute;margin-left:118.5pt;margin-top:14.5pt;width:190.5pt;height:.05pt;z-index:251664384" o:connectortype="straight"/>
              </w:pict>
            </w:r>
            <w:r w:rsidR="00F93E97" w:rsidRPr="00A829CF">
              <w:rPr>
                <w:rStyle w:val="IntenseEmphasis"/>
              </w:rPr>
              <w:t>Section/Nature</w:t>
            </w:r>
          </w:p>
        </w:tc>
        <w:tc>
          <w:tcPr>
            <w:tcW w:w="3764" w:type="dxa"/>
          </w:tcPr>
          <w:p w:rsidR="00F93E97" w:rsidRPr="00A829CF" w:rsidRDefault="00CF4FC6" w:rsidP="00F93E97">
            <w:pPr>
              <w:spacing w:after="80"/>
              <w:jc w:val="center"/>
              <w:rPr>
                <w:rStyle w:val="IntenseEmphasis"/>
              </w:rPr>
            </w:pPr>
            <w:r w:rsidRPr="00CF4FC6">
              <w:rPr>
                <w:rStyle w:val="IntenseEmphasis"/>
              </w:rPr>
              <w:pict>
                <v:shape id="_x0000_s1031" type="#_x0000_t32" style="position:absolute;left:0;text-align:left;margin-left:77.05pt;margin-top:14.5pt;width:.05pt;height:362.3pt;z-index:251665408;mso-position-horizontal-relative:text;mso-position-vertical-relative:text" o:connectortype="straight"/>
              </w:pict>
            </w:r>
            <w:r w:rsidR="00F93E97" w:rsidRPr="00A829CF">
              <w:rPr>
                <w:rStyle w:val="IntenseEmphasis"/>
              </w:rPr>
              <w:t>Assessment year 2009-10</w:t>
            </w:r>
          </w:p>
          <w:p w:rsidR="00E235C0" w:rsidRPr="00A829CF" w:rsidRDefault="00F93E97" w:rsidP="00E235C0">
            <w:pPr>
              <w:spacing w:after="80"/>
              <w:rPr>
                <w:rStyle w:val="IntenseEmphasis"/>
              </w:rPr>
            </w:pPr>
            <w:r w:rsidRPr="00A829CF">
              <w:rPr>
                <w:rStyle w:val="IntenseEmphasis"/>
              </w:rPr>
              <w:t>Less than</w:t>
            </w:r>
            <w:r w:rsidR="00E235C0" w:rsidRPr="00A829CF">
              <w:rPr>
                <w:rStyle w:val="IntenseEmphasis"/>
              </w:rPr>
              <w:t xml:space="preserve">                      Greater than </w:t>
            </w:r>
          </w:p>
          <w:p w:rsidR="00F93E97" w:rsidRPr="00A829CF" w:rsidRDefault="00F93E97" w:rsidP="00E235C0">
            <w:pPr>
              <w:spacing w:after="80"/>
              <w:rPr>
                <w:rStyle w:val="IntenseEmphasis"/>
              </w:rPr>
            </w:pPr>
            <w:r w:rsidRPr="00A829CF">
              <w:rPr>
                <w:rStyle w:val="IntenseEmphasis"/>
              </w:rPr>
              <w:t xml:space="preserve"> </w:t>
            </w:r>
            <w:r w:rsidR="00E235C0" w:rsidRPr="00A829CF">
              <w:rPr>
                <w:rStyle w:val="IntenseEmphasis"/>
              </w:rPr>
              <w:t xml:space="preserve">10 </w:t>
            </w:r>
            <w:proofErr w:type="spellStart"/>
            <w:r w:rsidR="00E235C0" w:rsidRPr="00A829CF">
              <w:rPr>
                <w:rStyle w:val="IntenseEmphasis"/>
              </w:rPr>
              <w:t>Lakhs</w:t>
            </w:r>
            <w:proofErr w:type="spellEnd"/>
            <w:r w:rsidRPr="00A829CF">
              <w:rPr>
                <w:rStyle w:val="IntenseEmphasis"/>
              </w:rPr>
              <w:t xml:space="preserve">   </w:t>
            </w:r>
            <w:r w:rsidR="00E235C0" w:rsidRPr="00A829CF">
              <w:rPr>
                <w:rStyle w:val="IntenseEmphasis"/>
              </w:rPr>
              <w:t xml:space="preserve">                         10 </w:t>
            </w:r>
            <w:proofErr w:type="spellStart"/>
            <w:r w:rsidR="00E235C0" w:rsidRPr="00A829CF">
              <w:rPr>
                <w:rStyle w:val="IntenseEmphasis"/>
              </w:rPr>
              <w:t>Lakhs</w:t>
            </w:r>
            <w:proofErr w:type="spellEnd"/>
            <w:r w:rsidR="00E235C0" w:rsidRPr="00A829CF">
              <w:rPr>
                <w:rStyle w:val="IntenseEmphasis"/>
              </w:rPr>
              <w:t xml:space="preserve">   </w:t>
            </w:r>
          </w:p>
        </w:tc>
        <w:tc>
          <w:tcPr>
            <w:tcW w:w="3960" w:type="dxa"/>
          </w:tcPr>
          <w:p w:rsidR="00F93E97" w:rsidRPr="00A829CF" w:rsidRDefault="00CF4FC6" w:rsidP="00F93E97">
            <w:pPr>
              <w:spacing w:after="80"/>
              <w:jc w:val="center"/>
              <w:rPr>
                <w:rStyle w:val="IntenseEmphasis"/>
              </w:rPr>
            </w:pPr>
            <w:r w:rsidRPr="00CF4FC6">
              <w:rPr>
                <w:rStyle w:val="IntenseEmphasis"/>
              </w:rPr>
              <w:pict>
                <v:shape id="_x0000_s1033" type="#_x0000_t32" style="position:absolute;left:0;text-align:left;margin-left:-3.9pt;margin-top:28.4pt;width:195.75pt;height:.05pt;flip:y;z-index:251667456;mso-position-horizontal-relative:text;mso-position-vertical-relative:text" o:connectortype="straight"/>
              </w:pict>
            </w:r>
            <w:r w:rsidR="00F93E97" w:rsidRPr="00A829CF">
              <w:rPr>
                <w:rStyle w:val="IntenseEmphasis"/>
              </w:rPr>
              <w:t>Assessment y</w:t>
            </w:r>
            <w:r w:rsidR="00A829CF" w:rsidRPr="00A829CF">
              <w:rPr>
                <w:rStyle w:val="IntenseEmphasis"/>
              </w:rPr>
              <w:t>ea</w:t>
            </w:r>
            <w:r w:rsidR="00F93E97" w:rsidRPr="00A829CF">
              <w:rPr>
                <w:rStyle w:val="IntenseEmphasis"/>
              </w:rPr>
              <w:t>r 2010-2011</w:t>
            </w:r>
            <w:r w:rsidR="00A829CF" w:rsidRPr="00A829CF">
              <w:rPr>
                <w:rStyle w:val="IntenseEmphasis"/>
              </w:rPr>
              <w:t>(</w:t>
            </w:r>
            <w:proofErr w:type="spellStart"/>
            <w:r w:rsidR="00A829CF" w:rsidRPr="00A829CF">
              <w:rPr>
                <w:rStyle w:val="IntenseEmphasis"/>
              </w:rPr>
              <w:t>W.e.f</w:t>
            </w:r>
            <w:proofErr w:type="spellEnd"/>
            <w:r w:rsidR="00A829CF" w:rsidRPr="00A829CF">
              <w:rPr>
                <w:rStyle w:val="IntenseEmphasis"/>
              </w:rPr>
              <w:t xml:space="preserve"> 1-10-2009)</w:t>
            </w:r>
          </w:p>
          <w:p w:rsidR="00F93E97" w:rsidRPr="00A829CF" w:rsidRDefault="00F93E97" w:rsidP="00E235C0">
            <w:pPr>
              <w:spacing w:after="80"/>
              <w:rPr>
                <w:rStyle w:val="IntenseEmphasis"/>
              </w:rPr>
            </w:pPr>
          </w:p>
        </w:tc>
        <w:tc>
          <w:tcPr>
            <w:tcW w:w="2520" w:type="dxa"/>
          </w:tcPr>
          <w:p w:rsidR="00F93E97" w:rsidRPr="00A829CF" w:rsidRDefault="00F93E97" w:rsidP="00E13805">
            <w:pPr>
              <w:spacing w:after="80"/>
              <w:rPr>
                <w:rStyle w:val="IntenseEmphasis"/>
              </w:rPr>
            </w:pPr>
            <w:r w:rsidRPr="00A829CF">
              <w:rPr>
                <w:rStyle w:val="IntenseEmphasis"/>
              </w:rPr>
              <w:t>Exemption Limit</w:t>
            </w:r>
          </w:p>
        </w:tc>
      </w:tr>
      <w:tr w:rsidR="00F93E97" w:rsidTr="005A5C3E">
        <w:tc>
          <w:tcPr>
            <w:tcW w:w="2494" w:type="dxa"/>
          </w:tcPr>
          <w:p w:rsidR="00F93E97" w:rsidRDefault="0034589E" w:rsidP="00E13805">
            <w:pPr>
              <w:spacing w:after="80"/>
            </w:pPr>
            <w:r>
              <w:t>192-Salary</w:t>
            </w:r>
          </w:p>
        </w:tc>
        <w:tc>
          <w:tcPr>
            <w:tcW w:w="3764" w:type="dxa"/>
          </w:tcPr>
          <w:p w:rsidR="0034589E" w:rsidRDefault="0034589E" w:rsidP="0034589E">
            <w:pPr>
              <w:spacing w:after="80"/>
            </w:pPr>
            <w:r>
              <w:t>As applicable to     As applicable to</w:t>
            </w:r>
          </w:p>
          <w:p w:rsidR="0034589E" w:rsidRDefault="0034589E" w:rsidP="0034589E">
            <w:pPr>
              <w:spacing w:after="80"/>
            </w:pPr>
            <w:r>
              <w:t xml:space="preserve"> Individual                  Individual</w:t>
            </w:r>
          </w:p>
          <w:p w:rsidR="00F93E97" w:rsidRDefault="0034589E" w:rsidP="0034589E">
            <w:pPr>
              <w:spacing w:after="80"/>
            </w:pPr>
            <w:r>
              <w:t xml:space="preserve"> </w:t>
            </w:r>
          </w:p>
        </w:tc>
        <w:tc>
          <w:tcPr>
            <w:tcW w:w="3960" w:type="dxa"/>
          </w:tcPr>
          <w:p w:rsidR="0034589E" w:rsidRDefault="0034589E" w:rsidP="00A829CF">
            <w:pPr>
              <w:spacing w:after="80"/>
              <w:jc w:val="center"/>
            </w:pPr>
            <w:r>
              <w:t xml:space="preserve">As </w:t>
            </w:r>
            <w:r w:rsidR="00A829CF">
              <w:t xml:space="preserve"> </w:t>
            </w:r>
            <w:r>
              <w:t>applicable to                                 Individual</w:t>
            </w:r>
          </w:p>
          <w:p w:rsidR="00F93E97" w:rsidRDefault="00F93E97" w:rsidP="00A829CF">
            <w:pPr>
              <w:spacing w:after="80"/>
              <w:jc w:val="center"/>
            </w:pPr>
          </w:p>
        </w:tc>
        <w:tc>
          <w:tcPr>
            <w:tcW w:w="2520" w:type="dxa"/>
          </w:tcPr>
          <w:p w:rsidR="00F93E97" w:rsidRDefault="0034589E" w:rsidP="00E13805">
            <w:pPr>
              <w:spacing w:after="80"/>
            </w:pPr>
            <w:r>
              <w:t xml:space="preserve">Basic Exemption </w:t>
            </w:r>
          </w:p>
        </w:tc>
      </w:tr>
      <w:tr w:rsidR="00F93E97" w:rsidTr="005A5C3E">
        <w:tc>
          <w:tcPr>
            <w:tcW w:w="2494" w:type="dxa"/>
          </w:tcPr>
          <w:p w:rsidR="00F93E97" w:rsidRDefault="00E235C0" w:rsidP="00E13805">
            <w:pPr>
              <w:spacing w:after="80"/>
            </w:pPr>
            <w:r>
              <w:t>193-Interest on Securities</w:t>
            </w:r>
          </w:p>
        </w:tc>
        <w:tc>
          <w:tcPr>
            <w:tcW w:w="3764" w:type="dxa"/>
          </w:tcPr>
          <w:p w:rsidR="00F93E97" w:rsidRDefault="00E235C0" w:rsidP="00E235C0">
            <w:pPr>
              <w:spacing w:after="80"/>
              <w:jc w:val="center"/>
            </w:pPr>
            <w:r>
              <w:t>10.3%                      11.3%</w:t>
            </w:r>
          </w:p>
        </w:tc>
        <w:tc>
          <w:tcPr>
            <w:tcW w:w="3960" w:type="dxa"/>
          </w:tcPr>
          <w:p w:rsidR="00F93E97" w:rsidRDefault="00A829CF" w:rsidP="00A829CF">
            <w:pPr>
              <w:spacing w:after="80"/>
              <w:jc w:val="center"/>
            </w:pPr>
            <w:r>
              <w:t>10%</w:t>
            </w:r>
          </w:p>
        </w:tc>
        <w:tc>
          <w:tcPr>
            <w:tcW w:w="2520" w:type="dxa"/>
          </w:tcPr>
          <w:p w:rsidR="00F93E97" w:rsidRDefault="005A5C3E" w:rsidP="00E13805">
            <w:pPr>
              <w:spacing w:after="80"/>
            </w:pPr>
            <w:r>
              <w:t>Exempted for certain listed securities  u/s 193.Listed Debentures Rs.2,500/-</w:t>
            </w:r>
          </w:p>
        </w:tc>
      </w:tr>
      <w:tr w:rsidR="00F93E97" w:rsidTr="005A5C3E">
        <w:tc>
          <w:tcPr>
            <w:tcW w:w="2494" w:type="dxa"/>
          </w:tcPr>
          <w:p w:rsidR="00F93E97" w:rsidRDefault="00E235C0" w:rsidP="00E13805">
            <w:pPr>
              <w:spacing w:after="80"/>
            </w:pPr>
            <w:r>
              <w:t>194A- Interest  other than interest on Securities</w:t>
            </w:r>
          </w:p>
        </w:tc>
        <w:tc>
          <w:tcPr>
            <w:tcW w:w="3764" w:type="dxa"/>
          </w:tcPr>
          <w:p w:rsidR="00F93E97" w:rsidRDefault="00E235C0" w:rsidP="00E235C0">
            <w:pPr>
              <w:spacing w:after="80"/>
              <w:jc w:val="center"/>
            </w:pPr>
            <w:r>
              <w:t>10.3%                      11.3%</w:t>
            </w:r>
          </w:p>
        </w:tc>
        <w:tc>
          <w:tcPr>
            <w:tcW w:w="3960" w:type="dxa"/>
          </w:tcPr>
          <w:p w:rsidR="00F93E97" w:rsidRDefault="00A829CF" w:rsidP="00A829CF">
            <w:pPr>
              <w:spacing w:after="80"/>
              <w:jc w:val="center"/>
            </w:pPr>
            <w:r>
              <w:t>10%</w:t>
            </w:r>
          </w:p>
        </w:tc>
        <w:tc>
          <w:tcPr>
            <w:tcW w:w="2520" w:type="dxa"/>
          </w:tcPr>
          <w:p w:rsidR="00F93E97" w:rsidRDefault="005A5C3E" w:rsidP="00E13805">
            <w:pPr>
              <w:spacing w:after="80"/>
            </w:pPr>
            <w:r>
              <w:t>Rs.10,000/- if payment made by Banking co., co-operative society, post office .Rs.5,000/- made by any other person</w:t>
            </w:r>
          </w:p>
        </w:tc>
      </w:tr>
      <w:tr w:rsidR="00F93E97" w:rsidTr="005A5C3E">
        <w:trPr>
          <w:trHeight w:val="710"/>
        </w:trPr>
        <w:tc>
          <w:tcPr>
            <w:tcW w:w="2494" w:type="dxa"/>
          </w:tcPr>
          <w:p w:rsidR="00F93E97" w:rsidRDefault="00E235C0" w:rsidP="00E13805">
            <w:pPr>
              <w:spacing w:after="80"/>
            </w:pPr>
            <w:r>
              <w:t>194B-</w:t>
            </w:r>
            <w:r w:rsidR="005A5C3E">
              <w:t>Winning from lottery/cross word puzzle</w:t>
            </w:r>
          </w:p>
        </w:tc>
        <w:tc>
          <w:tcPr>
            <w:tcW w:w="3764" w:type="dxa"/>
          </w:tcPr>
          <w:p w:rsidR="00F93E97" w:rsidRDefault="005A5C3E" w:rsidP="005A5C3E">
            <w:pPr>
              <w:spacing w:after="80"/>
              <w:jc w:val="center"/>
            </w:pPr>
            <w:r>
              <w:t>30.9%                            33.99%</w:t>
            </w:r>
          </w:p>
        </w:tc>
        <w:tc>
          <w:tcPr>
            <w:tcW w:w="3960" w:type="dxa"/>
          </w:tcPr>
          <w:p w:rsidR="00F93E97" w:rsidRDefault="00A829CF" w:rsidP="00A829CF">
            <w:pPr>
              <w:spacing w:after="80"/>
              <w:jc w:val="center"/>
            </w:pPr>
            <w:r>
              <w:t>30%</w:t>
            </w:r>
          </w:p>
        </w:tc>
        <w:tc>
          <w:tcPr>
            <w:tcW w:w="2520" w:type="dxa"/>
          </w:tcPr>
          <w:p w:rsidR="00F93E97" w:rsidRDefault="005A5C3E" w:rsidP="00E13805">
            <w:pPr>
              <w:spacing w:after="80"/>
            </w:pPr>
            <w:r>
              <w:t>Rs.5,000/-</w:t>
            </w:r>
          </w:p>
        </w:tc>
      </w:tr>
      <w:tr w:rsidR="00F93E97" w:rsidTr="005A5C3E">
        <w:tc>
          <w:tcPr>
            <w:tcW w:w="2494" w:type="dxa"/>
          </w:tcPr>
          <w:p w:rsidR="00F93E97" w:rsidRDefault="005A5C3E" w:rsidP="005A5C3E">
            <w:pPr>
              <w:spacing w:after="80"/>
            </w:pPr>
            <w:r>
              <w:t>194BB-Winning from Horse  race</w:t>
            </w:r>
          </w:p>
        </w:tc>
        <w:tc>
          <w:tcPr>
            <w:tcW w:w="3764" w:type="dxa"/>
          </w:tcPr>
          <w:p w:rsidR="00F93E97" w:rsidRDefault="005A5C3E" w:rsidP="005A5C3E">
            <w:pPr>
              <w:spacing w:after="80"/>
              <w:jc w:val="center"/>
            </w:pPr>
            <w:r>
              <w:t>30.9%                            33.99%</w:t>
            </w:r>
          </w:p>
        </w:tc>
        <w:tc>
          <w:tcPr>
            <w:tcW w:w="3960" w:type="dxa"/>
          </w:tcPr>
          <w:p w:rsidR="00F93E97" w:rsidRDefault="00A829CF" w:rsidP="00A829CF">
            <w:pPr>
              <w:spacing w:after="80"/>
              <w:jc w:val="center"/>
            </w:pPr>
            <w:r>
              <w:t>30%</w:t>
            </w:r>
          </w:p>
        </w:tc>
        <w:tc>
          <w:tcPr>
            <w:tcW w:w="2520" w:type="dxa"/>
          </w:tcPr>
          <w:p w:rsidR="00F93E97" w:rsidRDefault="005A5C3E" w:rsidP="00E13805">
            <w:pPr>
              <w:spacing w:after="80"/>
            </w:pPr>
            <w:r>
              <w:t>Rs.2,500/-</w:t>
            </w:r>
          </w:p>
        </w:tc>
      </w:tr>
      <w:tr w:rsidR="00F93E97" w:rsidTr="005A5C3E">
        <w:tc>
          <w:tcPr>
            <w:tcW w:w="2494" w:type="dxa"/>
          </w:tcPr>
          <w:p w:rsidR="00F93E97" w:rsidRDefault="005A5C3E" w:rsidP="00E13805">
            <w:pPr>
              <w:spacing w:after="80"/>
            </w:pPr>
            <w:r>
              <w:t>194C-Contractor</w:t>
            </w:r>
          </w:p>
        </w:tc>
        <w:tc>
          <w:tcPr>
            <w:tcW w:w="3764" w:type="dxa"/>
          </w:tcPr>
          <w:p w:rsidR="00F93E97" w:rsidRDefault="005A5C3E" w:rsidP="005A5C3E">
            <w:pPr>
              <w:spacing w:after="80"/>
              <w:jc w:val="center"/>
            </w:pPr>
            <w:r>
              <w:t>2.06%                            2.266%%</w:t>
            </w:r>
          </w:p>
        </w:tc>
        <w:tc>
          <w:tcPr>
            <w:tcW w:w="3960" w:type="dxa"/>
          </w:tcPr>
          <w:p w:rsidR="00F93E97" w:rsidRDefault="00A829CF" w:rsidP="00A829CF">
            <w:pPr>
              <w:spacing w:after="80"/>
              <w:jc w:val="center"/>
            </w:pPr>
            <w:r>
              <w:t>1%</w:t>
            </w:r>
          </w:p>
        </w:tc>
        <w:tc>
          <w:tcPr>
            <w:tcW w:w="2520" w:type="dxa"/>
          </w:tcPr>
          <w:p w:rsidR="00F93E97" w:rsidRDefault="005A5C3E" w:rsidP="005A5C3E">
            <w:pPr>
              <w:spacing w:after="80"/>
            </w:pPr>
            <w:r>
              <w:t>Payment in excess of Rs. 20,000/- per contract or Rs. 50,000/- per annum.</w:t>
            </w:r>
          </w:p>
        </w:tc>
      </w:tr>
      <w:tr w:rsidR="00F93E97" w:rsidTr="005A5C3E">
        <w:tc>
          <w:tcPr>
            <w:tcW w:w="2494" w:type="dxa"/>
          </w:tcPr>
          <w:p w:rsidR="00F93E97" w:rsidRDefault="005A5C3E" w:rsidP="00E13805">
            <w:pPr>
              <w:spacing w:after="80"/>
            </w:pPr>
            <w:r>
              <w:lastRenderedPageBreak/>
              <w:t>194C-Sub contractor/Advertising contract</w:t>
            </w:r>
          </w:p>
        </w:tc>
        <w:tc>
          <w:tcPr>
            <w:tcW w:w="3764" w:type="dxa"/>
          </w:tcPr>
          <w:p w:rsidR="00F93E97" w:rsidRDefault="005A5C3E" w:rsidP="00701B7A">
            <w:pPr>
              <w:spacing w:after="80"/>
              <w:jc w:val="center"/>
            </w:pPr>
            <w:r>
              <w:t>1.03%                                 1.133%</w:t>
            </w:r>
          </w:p>
        </w:tc>
        <w:tc>
          <w:tcPr>
            <w:tcW w:w="3960" w:type="dxa"/>
          </w:tcPr>
          <w:p w:rsidR="00F93E97" w:rsidRDefault="00A829CF" w:rsidP="00A829CF">
            <w:pPr>
              <w:spacing w:after="80"/>
              <w:jc w:val="center"/>
            </w:pPr>
            <w:r>
              <w:t>1%</w:t>
            </w:r>
          </w:p>
        </w:tc>
        <w:tc>
          <w:tcPr>
            <w:tcW w:w="2520" w:type="dxa"/>
          </w:tcPr>
          <w:p w:rsidR="00F93E97" w:rsidRDefault="005A5C3E" w:rsidP="00E13805">
            <w:pPr>
              <w:spacing w:after="80"/>
            </w:pPr>
            <w:r>
              <w:t>------do-------</w:t>
            </w:r>
          </w:p>
        </w:tc>
      </w:tr>
      <w:tr w:rsidR="00F93E97" w:rsidTr="005A5C3E">
        <w:tc>
          <w:tcPr>
            <w:tcW w:w="2494" w:type="dxa"/>
          </w:tcPr>
          <w:p w:rsidR="00701B7A" w:rsidRDefault="005A5C3E" w:rsidP="00E13805">
            <w:pPr>
              <w:spacing w:after="80"/>
            </w:pPr>
            <w:r>
              <w:t>194</w:t>
            </w:r>
            <w:r w:rsidR="00701B7A">
              <w:t xml:space="preserve">D-Insurance </w:t>
            </w:r>
          </w:p>
          <w:p w:rsidR="00F93E97" w:rsidRDefault="00CF4FC6" w:rsidP="00E13805">
            <w:pPr>
              <w:spacing w:after="80"/>
            </w:pPr>
            <w:r>
              <w:rPr>
                <w:noProof/>
              </w:rPr>
              <w:pict>
                <v:shape id="_x0000_s1034" type="#_x0000_t32" style="position:absolute;margin-left:202.5pt;margin-top:.25pt;width:0;height:330pt;z-index:251668480" o:connectortype="straight"/>
              </w:pict>
            </w:r>
            <w:r w:rsidR="00701B7A">
              <w:t>Commission</w:t>
            </w:r>
          </w:p>
        </w:tc>
        <w:tc>
          <w:tcPr>
            <w:tcW w:w="3764" w:type="dxa"/>
          </w:tcPr>
          <w:p w:rsidR="00F93E97" w:rsidRDefault="00701B7A" w:rsidP="00701B7A">
            <w:pPr>
              <w:spacing w:after="80"/>
              <w:jc w:val="center"/>
            </w:pPr>
            <w:r>
              <w:t>10.3%                                11.33%</w:t>
            </w:r>
          </w:p>
        </w:tc>
        <w:tc>
          <w:tcPr>
            <w:tcW w:w="3960" w:type="dxa"/>
          </w:tcPr>
          <w:p w:rsidR="00F93E97" w:rsidRDefault="00A829CF" w:rsidP="00A829CF">
            <w:pPr>
              <w:spacing w:after="80"/>
              <w:jc w:val="center"/>
            </w:pPr>
            <w:r>
              <w:t>10%</w:t>
            </w:r>
          </w:p>
        </w:tc>
        <w:tc>
          <w:tcPr>
            <w:tcW w:w="2520" w:type="dxa"/>
          </w:tcPr>
          <w:p w:rsidR="00F93E97" w:rsidRDefault="00701B7A" w:rsidP="00E13805">
            <w:pPr>
              <w:spacing w:after="80"/>
            </w:pPr>
            <w:r>
              <w:t>Rs.5,000/-</w:t>
            </w:r>
          </w:p>
        </w:tc>
      </w:tr>
      <w:tr w:rsidR="00F93E97" w:rsidTr="005A5C3E">
        <w:tc>
          <w:tcPr>
            <w:tcW w:w="2494" w:type="dxa"/>
          </w:tcPr>
          <w:p w:rsidR="00F93E97" w:rsidRDefault="00701B7A" w:rsidP="00E13805">
            <w:pPr>
              <w:spacing w:after="80"/>
            </w:pPr>
            <w:r>
              <w:t>194EE-National Savings Scheme</w:t>
            </w:r>
          </w:p>
        </w:tc>
        <w:tc>
          <w:tcPr>
            <w:tcW w:w="3764" w:type="dxa"/>
          </w:tcPr>
          <w:p w:rsidR="00F93E97" w:rsidRDefault="00701B7A" w:rsidP="00625FD6">
            <w:pPr>
              <w:spacing w:after="80"/>
              <w:jc w:val="center"/>
            </w:pPr>
            <w:r>
              <w:t>20.6%                          22.66%</w:t>
            </w:r>
          </w:p>
        </w:tc>
        <w:tc>
          <w:tcPr>
            <w:tcW w:w="3960" w:type="dxa"/>
          </w:tcPr>
          <w:p w:rsidR="00F93E97" w:rsidRDefault="00A829CF" w:rsidP="00A829CF">
            <w:pPr>
              <w:spacing w:after="80"/>
              <w:jc w:val="center"/>
            </w:pPr>
            <w:r>
              <w:t>20%</w:t>
            </w:r>
          </w:p>
        </w:tc>
        <w:tc>
          <w:tcPr>
            <w:tcW w:w="2520" w:type="dxa"/>
          </w:tcPr>
          <w:p w:rsidR="00F93E97" w:rsidRDefault="00701B7A" w:rsidP="00E13805">
            <w:pPr>
              <w:spacing w:after="80"/>
            </w:pPr>
            <w:r>
              <w:t xml:space="preserve">Rs.2,500/-or payment is made to heirs of the deceased </w:t>
            </w:r>
            <w:proofErr w:type="spellStart"/>
            <w:r>
              <w:t>assessee</w:t>
            </w:r>
            <w:proofErr w:type="spellEnd"/>
          </w:p>
        </w:tc>
      </w:tr>
      <w:tr w:rsidR="00701B7A" w:rsidTr="005A5C3E">
        <w:tc>
          <w:tcPr>
            <w:tcW w:w="2494" w:type="dxa"/>
          </w:tcPr>
          <w:p w:rsidR="00701B7A" w:rsidRDefault="00701B7A" w:rsidP="00E13805">
            <w:pPr>
              <w:spacing w:after="80"/>
            </w:pPr>
            <w:r>
              <w:t>194F-Equity linked savings scheme</w:t>
            </w:r>
          </w:p>
        </w:tc>
        <w:tc>
          <w:tcPr>
            <w:tcW w:w="3764" w:type="dxa"/>
          </w:tcPr>
          <w:p w:rsidR="00701B7A" w:rsidRDefault="00701B7A" w:rsidP="00625FD6">
            <w:pPr>
              <w:spacing w:after="80"/>
              <w:jc w:val="center"/>
            </w:pPr>
            <w:r>
              <w:t>20.6%                          22.66%</w:t>
            </w:r>
          </w:p>
        </w:tc>
        <w:tc>
          <w:tcPr>
            <w:tcW w:w="3960" w:type="dxa"/>
          </w:tcPr>
          <w:p w:rsidR="00701B7A" w:rsidRDefault="00A829CF" w:rsidP="00A829CF">
            <w:pPr>
              <w:spacing w:after="80"/>
              <w:jc w:val="center"/>
            </w:pPr>
            <w:r>
              <w:t>20%</w:t>
            </w:r>
          </w:p>
        </w:tc>
        <w:tc>
          <w:tcPr>
            <w:tcW w:w="2520" w:type="dxa"/>
          </w:tcPr>
          <w:p w:rsidR="00701B7A" w:rsidRDefault="00701B7A" w:rsidP="00E13805">
            <w:pPr>
              <w:spacing w:after="80"/>
            </w:pPr>
            <w:r>
              <w:t>-</w:t>
            </w:r>
          </w:p>
        </w:tc>
      </w:tr>
      <w:tr w:rsidR="00701B7A" w:rsidTr="005A5C3E">
        <w:tc>
          <w:tcPr>
            <w:tcW w:w="2494" w:type="dxa"/>
          </w:tcPr>
          <w:p w:rsidR="00701B7A" w:rsidRDefault="00701B7A" w:rsidP="00E13805">
            <w:pPr>
              <w:spacing w:after="80"/>
            </w:pPr>
            <w:r>
              <w:t>194G-Commission on sale of Lottery tickets</w:t>
            </w:r>
          </w:p>
        </w:tc>
        <w:tc>
          <w:tcPr>
            <w:tcW w:w="3764" w:type="dxa"/>
          </w:tcPr>
          <w:p w:rsidR="00701B7A" w:rsidRDefault="00701B7A" w:rsidP="00625FD6">
            <w:pPr>
              <w:spacing w:after="80"/>
              <w:jc w:val="center"/>
            </w:pPr>
            <w:r>
              <w:t>10.3%                          11.33%</w:t>
            </w:r>
          </w:p>
        </w:tc>
        <w:tc>
          <w:tcPr>
            <w:tcW w:w="3960" w:type="dxa"/>
          </w:tcPr>
          <w:p w:rsidR="00701B7A" w:rsidRDefault="00A829CF" w:rsidP="00A829CF">
            <w:pPr>
              <w:spacing w:after="80"/>
              <w:jc w:val="center"/>
            </w:pPr>
            <w:r>
              <w:t>10%</w:t>
            </w:r>
          </w:p>
        </w:tc>
        <w:tc>
          <w:tcPr>
            <w:tcW w:w="2520" w:type="dxa"/>
          </w:tcPr>
          <w:p w:rsidR="00701B7A" w:rsidRDefault="00701B7A" w:rsidP="00E13805">
            <w:pPr>
              <w:spacing w:after="80"/>
            </w:pPr>
            <w:r>
              <w:t xml:space="preserve">Rs.1,000/- </w:t>
            </w:r>
            <w:proofErr w:type="spellStart"/>
            <w:r>
              <w:t>p.a</w:t>
            </w:r>
            <w:proofErr w:type="spellEnd"/>
          </w:p>
        </w:tc>
      </w:tr>
      <w:tr w:rsidR="00701B7A" w:rsidTr="005A5C3E">
        <w:tc>
          <w:tcPr>
            <w:tcW w:w="2494" w:type="dxa"/>
          </w:tcPr>
          <w:p w:rsidR="00701B7A" w:rsidRDefault="00701B7A" w:rsidP="00E13805">
            <w:pPr>
              <w:spacing w:after="80"/>
            </w:pPr>
            <w:r>
              <w:t>194H-Commisssion or Brokerage</w:t>
            </w:r>
          </w:p>
        </w:tc>
        <w:tc>
          <w:tcPr>
            <w:tcW w:w="3764" w:type="dxa"/>
          </w:tcPr>
          <w:p w:rsidR="00701B7A" w:rsidRDefault="00701B7A" w:rsidP="00625FD6">
            <w:pPr>
              <w:spacing w:after="80"/>
              <w:jc w:val="center"/>
            </w:pPr>
            <w:r>
              <w:t>10.3%                          11.33%</w:t>
            </w:r>
          </w:p>
        </w:tc>
        <w:tc>
          <w:tcPr>
            <w:tcW w:w="3960" w:type="dxa"/>
          </w:tcPr>
          <w:p w:rsidR="00701B7A" w:rsidRDefault="00A829CF" w:rsidP="00A829CF">
            <w:pPr>
              <w:spacing w:after="80"/>
              <w:jc w:val="center"/>
            </w:pPr>
            <w:r>
              <w:t>10%</w:t>
            </w:r>
          </w:p>
        </w:tc>
        <w:tc>
          <w:tcPr>
            <w:tcW w:w="2520" w:type="dxa"/>
          </w:tcPr>
          <w:p w:rsidR="00701B7A" w:rsidRDefault="00701B7A" w:rsidP="00E13805">
            <w:pPr>
              <w:spacing w:after="80"/>
            </w:pPr>
            <w:r>
              <w:t>Rs.2,500/-</w:t>
            </w:r>
          </w:p>
        </w:tc>
      </w:tr>
      <w:tr w:rsidR="00701B7A" w:rsidTr="00625FD6">
        <w:trPr>
          <w:trHeight w:val="1628"/>
        </w:trPr>
        <w:tc>
          <w:tcPr>
            <w:tcW w:w="2494" w:type="dxa"/>
          </w:tcPr>
          <w:p w:rsidR="00701B7A" w:rsidRDefault="00CF4FC6" w:rsidP="00E13805">
            <w:pPr>
              <w:spacing w:after="80"/>
            </w:pPr>
            <w:r>
              <w:rPr>
                <w:noProof/>
              </w:rPr>
              <w:pict>
                <v:shape id="_x0000_s1037" type="#_x0000_t32" style="position:absolute;margin-left:-5.25pt;margin-top:11.45pt;width:123pt;height:1.5pt;flip:y;z-index:251671552;mso-position-horizontal-relative:text;mso-position-vertical-relative:text" o:connectortype="straight"/>
              </w:pict>
            </w:r>
            <w:r w:rsidR="00701B7A">
              <w:t>194I-Rent</w:t>
            </w:r>
          </w:p>
          <w:p w:rsidR="00625FD6" w:rsidRDefault="00625FD6" w:rsidP="00E13805">
            <w:pPr>
              <w:spacing w:after="80"/>
            </w:pPr>
            <w:r>
              <w:t>a. Land, building &amp; Furniture</w:t>
            </w:r>
          </w:p>
          <w:p w:rsidR="00625FD6" w:rsidRDefault="00CF4FC6" w:rsidP="00E13805">
            <w:pPr>
              <w:spacing w:after="80"/>
            </w:pPr>
            <w:r>
              <w:rPr>
                <w:noProof/>
              </w:rPr>
              <w:pict>
                <v:shape id="_x0000_s1036" type="#_x0000_t32" style="position:absolute;margin-left:-5.25pt;margin-top:-.9pt;width:510pt;height:0;z-index:251670528" o:connectortype="straight"/>
              </w:pict>
            </w:r>
            <w:r w:rsidR="00625FD6">
              <w:t xml:space="preserve">b. Plant &amp; machinery                          </w:t>
            </w:r>
          </w:p>
          <w:p w:rsidR="00625FD6" w:rsidRDefault="00625FD6" w:rsidP="00E13805">
            <w:pPr>
              <w:spacing w:after="80"/>
            </w:pPr>
          </w:p>
        </w:tc>
        <w:tc>
          <w:tcPr>
            <w:tcW w:w="3764" w:type="dxa"/>
          </w:tcPr>
          <w:p w:rsidR="00701B7A" w:rsidRDefault="00701B7A" w:rsidP="00A829CF">
            <w:pPr>
              <w:spacing w:after="80"/>
              <w:jc w:val="center"/>
            </w:pPr>
          </w:p>
          <w:p w:rsidR="00625FD6" w:rsidRDefault="00625FD6" w:rsidP="00A829CF">
            <w:pPr>
              <w:spacing w:after="80"/>
              <w:jc w:val="center"/>
            </w:pPr>
            <w:r>
              <w:t>15.45%                       16.995%</w:t>
            </w:r>
          </w:p>
          <w:p w:rsidR="00625FD6" w:rsidRDefault="00625FD6" w:rsidP="00A829CF">
            <w:pPr>
              <w:spacing w:after="80"/>
              <w:jc w:val="center"/>
            </w:pPr>
          </w:p>
          <w:p w:rsidR="00625FD6" w:rsidRDefault="00A829CF" w:rsidP="00A829CF">
            <w:pPr>
              <w:spacing w:after="80"/>
              <w:jc w:val="center"/>
            </w:pPr>
            <w:r>
              <w:t xml:space="preserve">10.3%                  </w:t>
            </w:r>
            <w:r w:rsidR="00625FD6">
              <w:t xml:space="preserve">   11.33%</w:t>
            </w:r>
          </w:p>
        </w:tc>
        <w:tc>
          <w:tcPr>
            <w:tcW w:w="3960" w:type="dxa"/>
          </w:tcPr>
          <w:p w:rsidR="00A829CF" w:rsidRDefault="00A829CF" w:rsidP="00A829CF">
            <w:pPr>
              <w:spacing w:after="80"/>
              <w:jc w:val="center"/>
            </w:pPr>
          </w:p>
          <w:p w:rsidR="00A829CF" w:rsidRDefault="00A829CF" w:rsidP="00A829CF">
            <w:pPr>
              <w:spacing w:after="80"/>
              <w:jc w:val="center"/>
            </w:pPr>
            <w:r>
              <w:t>10%</w:t>
            </w:r>
          </w:p>
          <w:p w:rsidR="00A829CF" w:rsidRDefault="00A829CF" w:rsidP="00A829CF">
            <w:pPr>
              <w:spacing w:after="80"/>
              <w:jc w:val="center"/>
            </w:pPr>
          </w:p>
          <w:p w:rsidR="00701B7A" w:rsidRDefault="00A829CF" w:rsidP="00A829CF">
            <w:pPr>
              <w:spacing w:after="80"/>
              <w:jc w:val="center"/>
            </w:pPr>
            <w:r>
              <w:t xml:space="preserve">2%                                                                            </w:t>
            </w:r>
          </w:p>
        </w:tc>
        <w:tc>
          <w:tcPr>
            <w:tcW w:w="2520" w:type="dxa"/>
          </w:tcPr>
          <w:p w:rsidR="00625FD6" w:rsidRDefault="00625FD6" w:rsidP="00625FD6">
            <w:pPr>
              <w:spacing w:after="80"/>
            </w:pPr>
          </w:p>
          <w:p w:rsidR="00625FD6" w:rsidRDefault="00625FD6" w:rsidP="00625FD6">
            <w:pPr>
              <w:spacing w:after="80"/>
            </w:pPr>
          </w:p>
          <w:p w:rsidR="00701B7A" w:rsidRDefault="00625FD6" w:rsidP="00625FD6">
            <w:pPr>
              <w:spacing w:after="80"/>
            </w:pPr>
            <w:r>
              <w:t>Rs.1,20,000 in a financial year</w:t>
            </w:r>
          </w:p>
        </w:tc>
      </w:tr>
      <w:tr w:rsidR="00625FD6" w:rsidTr="005A5C3E">
        <w:tc>
          <w:tcPr>
            <w:tcW w:w="2494" w:type="dxa"/>
          </w:tcPr>
          <w:p w:rsidR="00625FD6" w:rsidRDefault="00625FD6" w:rsidP="00E13805">
            <w:pPr>
              <w:spacing w:after="80"/>
            </w:pPr>
            <w:r>
              <w:t>194J-Professional or technical; fees</w:t>
            </w:r>
          </w:p>
        </w:tc>
        <w:tc>
          <w:tcPr>
            <w:tcW w:w="3764" w:type="dxa"/>
          </w:tcPr>
          <w:p w:rsidR="00625FD6" w:rsidRDefault="00A829CF" w:rsidP="00A829CF">
            <w:pPr>
              <w:spacing w:after="80"/>
              <w:jc w:val="center"/>
            </w:pPr>
            <w:r>
              <w:t xml:space="preserve">10.3%                     </w:t>
            </w:r>
            <w:r w:rsidR="00625FD6">
              <w:t>11.33%</w:t>
            </w:r>
          </w:p>
        </w:tc>
        <w:tc>
          <w:tcPr>
            <w:tcW w:w="3960" w:type="dxa"/>
          </w:tcPr>
          <w:p w:rsidR="00625FD6" w:rsidRDefault="00A829CF" w:rsidP="00A829CF">
            <w:pPr>
              <w:spacing w:after="80"/>
              <w:jc w:val="center"/>
            </w:pPr>
            <w:r>
              <w:t>10%</w:t>
            </w:r>
          </w:p>
        </w:tc>
        <w:tc>
          <w:tcPr>
            <w:tcW w:w="2520" w:type="dxa"/>
          </w:tcPr>
          <w:p w:rsidR="00625FD6" w:rsidRDefault="00625FD6" w:rsidP="00E13805">
            <w:pPr>
              <w:spacing w:after="80"/>
            </w:pPr>
            <w:r>
              <w:t>Rs.20,000/- in financial year</w:t>
            </w:r>
          </w:p>
        </w:tc>
      </w:tr>
      <w:tr w:rsidR="00625FD6" w:rsidTr="005A5C3E">
        <w:tc>
          <w:tcPr>
            <w:tcW w:w="2494" w:type="dxa"/>
          </w:tcPr>
          <w:p w:rsidR="00625FD6" w:rsidRDefault="00625FD6" w:rsidP="00E13805">
            <w:pPr>
              <w:spacing w:after="80"/>
            </w:pPr>
            <w:r>
              <w:t>194LA-Compensation /Enhances compensation on compulsory acquisition</w:t>
            </w:r>
          </w:p>
        </w:tc>
        <w:tc>
          <w:tcPr>
            <w:tcW w:w="3764" w:type="dxa"/>
          </w:tcPr>
          <w:p w:rsidR="00625FD6" w:rsidRDefault="00625FD6" w:rsidP="00A829CF">
            <w:pPr>
              <w:spacing w:after="80"/>
              <w:jc w:val="center"/>
            </w:pPr>
            <w:r>
              <w:t>10.3%</w:t>
            </w:r>
            <w:r w:rsidR="00A829CF">
              <w:t xml:space="preserve">                      </w:t>
            </w:r>
            <w:r>
              <w:t>11.33%</w:t>
            </w:r>
          </w:p>
        </w:tc>
        <w:tc>
          <w:tcPr>
            <w:tcW w:w="3960" w:type="dxa"/>
          </w:tcPr>
          <w:p w:rsidR="00625FD6" w:rsidRDefault="00A829CF" w:rsidP="00A829CF">
            <w:pPr>
              <w:spacing w:after="80"/>
              <w:jc w:val="center"/>
            </w:pPr>
            <w:r>
              <w:t>10%</w:t>
            </w:r>
          </w:p>
        </w:tc>
        <w:tc>
          <w:tcPr>
            <w:tcW w:w="2520" w:type="dxa"/>
          </w:tcPr>
          <w:p w:rsidR="00625FD6" w:rsidRDefault="00A829CF" w:rsidP="00E13805">
            <w:pPr>
              <w:spacing w:after="80"/>
            </w:pPr>
            <w:r>
              <w:t>Rs.1,00,000/- in the financial year</w:t>
            </w:r>
          </w:p>
        </w:tc>
      </w:tr>
    </w:tbl>
    <w:p w:rsidR="00F93E97" w:rsidRDefault="00F93E97"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Default="00026D9A" w:rsidP="00E13805">
      <w:pPr>
        <w:spacing w:after="80"/>
        <w:ind w:left="1320" w:hanging="720"/>
      </w:pPr>
    </w:p>
    <w:p w:rsidR="00026D9A" w:rsidRPr="0027424D" w:rsidRDefault="00026D9A" w:rsidP="00A8556C">
      <w:pPr>
        <w:pStyle w:val="Title"/>
        <w:rPr>
          <w:rStyle w:val="SubtleReference"/>
        </w:rPr>
      </w:pPr>
      <w:r w:rsidRPr="0027424D">
        <w:rPr>
          <w:rStyle w:val="SubtleReference"/>
        </w:rPr>
        <w:t>Company/Firms</w:t>
      </w:r>
    </w:p>
    <w:tbl>
      <w:tblPr>
        <w:tblStyle w:val="TableGrid"/>
        <w:tblW w:w="12738" w:type="dxa"/>
        <w:tblInd w:w="1320" w:type="dxa"/>
        <w:tblLook w:val="04A0"/>
      </w:tblPr>
      <w:tblGrid>
        <w:gridCol w:w="2494"/>
        <w:gridCol w:w="3764"/>
        <w:gridCol w:w="3960"/>
        <w:gridCol w:w="2520"/>
      </w:tblGrid>
      <w:tr w:rsidR="00026D9A" w:rsidTr="00B0572F">
        <w:tc>
          <w:tcPr>
            <w:tcW w:w="2494" w:type="dxa"/>
          </w:tcPr>
          <w:p w:rsidR="00026D9A" w:rsidRPr="00A829CF" w:rsidRDefault="00CF4FC6" w:rsidP="00B0572F">
            <w:pPr>
              <w:spacing w:after="80"/>
              <w:rPr>
                <w:rStyle w:val="IntenseEmphasis"/>
              </w:rPr>
            </w:pPr>
            <w:r w:rsidRPr="00CF4FC6">
              <w:rPr>
                <w:rStyle w:val="IntenseEmphasis"/>
              </w:rPr>
              <w:pict>
                <v:shape id="_x0000_s1038" type="#_x0000_t32" style="position:absolute;margin-left:118.5pt;margin-top:14.5pt;width:190.5pt;height:.05pt;z-index:251673600" o:connectortype="straight"/>
              </w:pict>
            </w:r>
            <w:r w:rsidR="00026D9A" w:rsidRPr="00A829CF">
              <w:rPr>
                <w:rStyle w:val="IntenseEmphasis"/>
              </w:rPr>
              <w:t>Section/Nature</w:t>
            </w:r>
          </w:p>
        </w:tc>
        <w:tc>
          <w:tcPr>
            <w:tcW w:w="3764" w:type="dxa"/>
          </w:tcPr>
          <w:p w:rsidR="00026D9A" w:rsidRPr="00A829CF" w:rsidRDefault="00CF4FC6" w:rsidP="00B0572F">
            <w:pPr>
              <w:spacing w:after="80"/>
              <w:jc w:val="center"/>
              <w:rPr>
                <w:rStyle w:val="IntenseEmphasis"/>
              </w:rPr>
            </w:pPr>
            <w:r>
              <w:rPr>
                <w:b/>
                <w:bCs/>
                <w:i/>
                <w:iCs/>
                <w:noProof/>
                <w:color w:val="4F81BD" w:themeColor="accent1"/>
              </w:rPr>
              <w:pict>
                <v:shape id="_x0000_s1045" type="#_x0000_t32" style="position:absolute;left:0;text-align:left;margin-left:77.05pt;margin-top:14.5pt;width:.05pt;height:505.55pt;z-index:251679744;mso-position-horizontal-relative:text;mso-position-vertical-relative:text" o:connectortype="straight"/>
              </w:pict>
            </w:r>
            <w:r w:rsidRPr="00CF4FC6">
              <w:rPr>
                <w:rStyle w:val="IntenseEmphasis"/>
              </w:rPr>
              <w:pict>
                <v:shape id="_x0000_s1039" type="#_x0000_t32" style="position:absolute;left:0;text-align:left;margin-left:77.05pt;margin-top:14.5pt;width:.05pt;height:394.85pt;z-index:251674624;mso-position-horizontal-relative:text;mso-position-vertical-relative:text" o:connectortype="straight"/>
              </w:pict>
            </w:r>
            <w:r w:rsidR="00026D9A" w:rsidRPr="00A829CF">
              <w:rPr>
                <w:rStyle w:val="IntenseEmphasis"/>
              </w:rPr>
              <w:t>Assessment year 2009-10</w:t>
            </w:r>
          </w:p>
          <w:p w:rsidR="00026D9A" w:rsidRPr="00A829CF" w:rsidRDefault="00026D9A" w:rsidP="00B0572F">
            <w:pPr>
              <w:spacing w:after="80"/>
              <w:rPr>
                <w:rStyle w:val="IntenseEmphasis"/>
              </w:rPr>
            </w:pPr>
            <w:r w:rsidRPr="00A829CF">
              <w:rPr>
                <w:rStyle w:val="IntenseEmphasis"/>
              </w:rPr>
              <w:t xml:space="preserve">Less than                      Greater than </w:t>
            </w:r>
          </w:p>
          <w:p w:rsidR="00026D9A" w:rsidRPr="00A829CF" w:rsidRDefault="00026D9A" w:rsidP="00A057D0">
            <w:pPr>
              <w:spacing w:after="80"/>
              <w:rPr>
                <w:rStyle w:val="IntenseEmphasis"/>
              </w:rPr>
            </w:pPr>
            <w:r w:rsidRPr="00A829CF">
              <w:rPr>
                <w:rStyle w:val="IntenseEmphasis"/>
              </w:rPr>
              <w:t xml:space="preserve"> 1 </w:t>
            </w:r>
            <w:proofErr w:type="spellStart"/>
            <w:r>
              <w:rPr>
                <w:rStyle w:val="IntenseEmphasis"/>
              </w:rPr>
              <w:t>crore</w:t>
            </w:r>
            <w:proofErr w:type="spellEnd"/>
            <w:r w:rsidRPr="00A829CF">
              <w:rPr>
                <w:rStyle w:val="IntenseEmphasis"/>
              </w:rPr>
              <w:t xml:space="preserve">                          </w:t>
            </w:r>
            <w:r>
              <w:rPr>
                <w:rStyle w:val="IntenseEmphasis"/>
              </w:rPr>
              <w:t xml:space="preserve">1 </w:t>
            </w:r>
            <w:proofErr w:type="spellStart"/>
            <w:r>
              <w:rPr>
                <w:rStyle w:val="IntenseEmphasis"/>
              </w:rPr>
              <w:t>crore</w:t>
            </w:r>
            <w:proofErr w:type="spellEnd"/>
            <w:r w:rsidRPr="00A829CF">
              <w:rPr>
                <w:rStyle w:val="IntenseEmphasis"/>
              </w:rPr>
              <w:t xml:space="preserve">  </w:t>
            </w:r>
          </w:p>
        </w:tc>
        <w:tc>
          <w:tcPr>
            <w:tcW w:w="3960" w:type="dxa"/>
          </w:tcPr>
          <w:p w:rsidR="00026D9A" w:rsidRPr="00A829CF" w:rsidRDefault="00CF4FC6" w:rsidP="00B0572F">
            <w:pPr>
              <w:spacing w:after="80"/>
              <w:jc w:val="center"/>
              <w:rPr>
                <w:rStyle w:val="IntenseEmphasis"/>
              </w:rPr>
            </w:pPr>
            <w:r w:rsidRPr="00CF4FC6">
              <w:rPr>
                <w:rStyle w:val="IntenseEmphasis"/>
              </w:rPr>
              <w:pict>
                <v:shape id="_x0000_s1040" type="#_x0000_t32" style="position:absolute;left:0;text-align:left;margin-left:-3.9pt;margin-top:28.4pt;width:195.75pt;height:.05pt;flip:y;z-index:251675648;mso-position-horizontal-relative:text;mso-position-vertical-relative:text" o:connectortype="straight"/>
              </w:pict>
            </w:r>
            <w:r w:rsidR="00026D9A" w:rsidRPr="00A829CF">
              <w:rPr>
                <w:rStyle w:val="IntenseEmphasis"/>
              </w:rPr>
              <w:t>Assessment year 2010-2011(</w:t>
            </w:r>
            <w:proofErr w:type="spellStart"/>
            <w:r w:rsidR="00026D9A" w:rsidRPr="00A829CF">
              <w:rPr>
                <w:rStyle w:val="IntenseEmphasis"/>
              </w:rPr>
              <w:t>W.e.f</w:t>
            </w:r>
            <w:proofErr w:type="spellEnd"/>
            <w:r w:rsidR="00026D9A" w:rsidRPr="00A829CF">
              <w:rPr>
                <w:rStyle w:val="IntenseEmphasis"/>
              </w:rPr>
              <w:t xml:space="preserve"> 1-10-2009)</w:t>
            </w:r>
          </w:p>
          <w:p w:rsidR="00026D9A" w:rsidRPr="00A829CF" w:rsidRDefault="00026D9A" w:rsidP="00B0572F">
            <w:pPr>
              <w:spacing w:after="80"/>
              <w:rPr>
                <w:rStyle w:val="IntenseEmphasis"/>
              </w:rPr>
            </w:pPr>
          </w:p>
        </w:tc>
        <w:tc>
          <w:tcPr>
            <w:tcW w:w="2520" w:type="dxa"/>
          </w:tcPr>
          <w:p w:rsidR="00026D9A" w:rsidRPr="00A829CF" w:rsidRDefault="00026D9A" w:rsidP="00B0572F">
            <w:pPr>
              <w:spacing w:after="80"/>
              <w:rPr>
                <w:rStyle w:val="IntenseEmphasis"/>
              </w:rPr>
            </w:pPr>
            <w:r w:rsidRPr="00A829CF">
              <w:rPr>
                <w:rStyle w:val="IntenseEmphasis"/>
              </w:rPr>
              <w:t>Exemption Limit</w:t>
            </w:r>
          </w:p>
        </w:tc>
      </w:tr>
      <w:tr w:rsidR="00026D9A" w:rsidTr="00B0572F">
        <w:tc>
          <w:tcPr>
            <w:tcW w:w="2494" w:type="dxa"/>
          </w:tcPr>
          <w:p w:rsidR="00026D9A" w:rsidRDefault="00026D9A" w:rsidP="00B0572F">
            <w:pPr>
              <w:spacing w:after="80"/>
            </w:pPr>
            <w:r>
              <w:t>192-Salary</w:t>
            </w:r>
          </w:p>
        </w:tc>
        <w:tc>
          <w:tcPr>
            <w:tcW w:w="3764" w:type="dxa"/>
          </w:tcPr>
          <w:p w:rsidR="00026D9A" w:rsidRDefault="00026D9A" w:rsidP="00B0572F">
            <w:pPr>
              <w:spacing w:after="80"/>
            </w:pPr>
            <w:r>
              <w:t>As applicable to     As applicable to</w:t>
            </w:r>
          </w:p>
          <w:p w:rsidR="00026D9A" w:rsidRDefault="00026D9A" w:rsidP="00B0572F">
            <w:pPr>
              <w:spacing w:after="80"/>
            </w:pPr>
            <w:r>
              <w:t xml:space="preserve"> Individual                  </w:t>
            </w:r>
            <w:proofErr w:type="spellStart"/>
            <w:r>
              <w:t>Individual</w:t>
            </w:r>
            <w:proofErr w:type="spellEnd"/>
          </w:p>
          <w:p w:rsidR="00026D9A" w:rsidRDefault="00026D9A" w:rsidP="00B0572F">
            <w:pPr>
              <w:spacing w:after="80"/>
            </w:pPr>
            <w:r>
              <w:t xml:space="preserve"> </w:t>
            </w:r>
          </w:p>
        </w:tc>
        <w:tc>
          <w:tcPr>
            <w:tcW w:w="3960" w:type="dxa"/>
          </w:tcPr>
          <w:p w:rsidR="00026D9A" w:rsidRDefault="00026D9A" w:rsidP="00B0572F">
            <w:pPr>
              <w:spacing w:after="80"/>
              <w:jc w:val="center"/>
            </w:pPr>
            <w:r>
              <w:t>As  applicable to                                 Individual</w:t>
            </w:r>
          </w:p>
          <w:p w:rsidR="00026D9A" w:rsidRDefault="00026D9A" w:rsidP="00B0572F">
            <w:pPr>
              <w:spacing w:after="80"/>
              <w:jc w:val="center"/>
            </w:pPr>
          </w:p>
        </w:tc>
        <w:tc>
          <w:tcPr>
            <w:tcW w:w="2520" w:type="dxa"/>
          </w:tcPr>
          <w:p w:rsidR="00026D9A" w:rsidRDefault="00026D9A" w:rsidP="00B0572F">
            <w:pPr>
              <w:spacing w:after="80"/>
            </w:pPr>
            <w:r>
              <w:t xml:space="preserve">Basic Exemption </w:t>
            </w:r>
          </w:p>
        </w:tc>
      </w:tr>
      <w:tr w:rsidR="00026D9A" w:rsidTr="00B0572F">
        <w:tc>
          <w:tcPr>
            <w:tcW w:w="2494" w:type="dxa"/>
          </w:tcPr>
          <w:p w:rsidR="00026D9A" w:rsidRDefault="00026D9A" w:rsidP="00B0572F">
            <w:pPr>
              <w:spacing w:after="80"/>
            </w:pPr>
            <w:r>
              <w:t>193-Interest on Securities</w:t>
            </w:r>
          </w:p>
        </w:tc>
        <w:tc>
          <w:tcPr>
            <w:tcW w:w="3764" w:type="dxa"/>
          </w:tcPr>
          <w:p w:rsidR="00026D9A" w:rsidRDefault="00026D9A" w:rsidP="00026D9A">
            <w:pPr>
              <w:spacing w:after="80"/>
              <w:jc w:val="center"/>
            </w:pPr>
            <w:r>
              <w:t>20.6%                     22.66%</w:t>
            </w:r>
          </w:p>
        </w:tc>
        <w:tc>
          <w:tcPr>
            <w:tcW w:w="3960" w:type="dxa"/>
          </w:tcPr>
          <w:p w:rsidR="00026D9A" w:rsidRDefault="00026D9A" w:rsidP="00B0572F">
            <w:pPr>
              <w:spacing w:after="80"/>
              <w:jc w:val="center"/>
            </w:pPr>
            <w:r>
              <w:t>20%</w:t>
            </w:r>
          </w:p>
        </w:tc>
        <w:tc>
          <w:tcPr>
            <w:tcW w:w="2520" w:type="dxa"/>
          </w:tcPr>
          <w:p w:rsidR="00026D9A" w:rsidRDefault="00026D9A" w:rsidP="00B0572F">
            <w:pPr>
              <w:spacing w:after="80"/>
            </w:pPr>
            <w:r>
              <w:t>Exempted for certain listed securities  u/s 193.Listed Debentures Rs.2,500/-</w:t>
            </w:r>
          </w:p>
        </w:tc>
      </w:tr>
      <w:tr w:rsidR="00026D9A" w:rsidTr="00B0572F">
        <w:tc>
          <w:tcPr>
            <w:tcW w:w="2494" w:type="dxa"/>
          </w:tcPr>
          <w:p w:rsidR="00026D9A" w:rsidRDefault="00026D9A" w:rsidP="00B0572F">
            <w:pPr>
              <w:spacing w:after="80"/>
            </w:pPr>
            <w:r>
              <w:t>194A- Interest  other than interest on Securities</w:t>
            </w:r>
          </w:p>
        </w:tc>
        <w:tc>
          <w:tcPr>
            <w:tcW w:w="3764" w:type="dxa"/>
          </w:tcPr>
          <w:p w:rsidR="00026D9A" w:rsidRDefault="00026D9A" w:rsidP="00B0572F">
            <w:pPr>
              <w:spacing w:after="80"/>
              <w:jc w:val="center"/>
            </w:pPr>
            <w:r>
              <w:t>20.6%                     22.66%</w:t>
            </w:r>
          </w:p>
        </w:tc>
        <w:tc>
          <w:tcPr>
            <w:tcW w:w="3960" w:type="dxa"/>
          </w:tcPr>
          <w:p w:rsidR="00026D9A" w:rsidRDefault="00026D9A" w:rsidP="00B0572F">
            <w:pPr>
              <w:spacing w:after="80"/>
              <w:jc w:val="center"/>
            </w:pPr>
            <w:r>
              <w:t>20%</w:t>
            </w:r>
          </w:p>
        </w:tc>
        <w:tc>
          <w:tcPr>
            <w:tcW w:w="2520" w:type="dxa"/>
          </w:tcPr>
          <w:p w:rsidR="00026D9A" w:rsidRDefault="00026D9A" w:rsidP="00B0572F">
            <w:pPr>
              <w:spacing w:after="80"/>
            </w:pPr>
            <w:r>
              <w:t>Rs.10,000/- if payment made by Banking co., co-operative society, post office .Rs.5,000/- made by any other person</w:t>
            </w:r>
          </w:p>
        </w:tc>
      </w:tr>
      <w:tr w:rsidR="00026D9A" w:rsidTr="00B0572F">
        <w:trPr>
          <w:trHeight w:val="710"/>
        </w:trPr>
        <w:tc>
          <w:tcPr>
            <w:tcW w:w="2494" w:type="dxa"/>
          </w:tcPr>
          <w:p w:rsidR="00026D9A" w:rsidRDefault="00026D9A" w:rsidP="00B0572F">
            <w:pPr>
              <w:spacing w:after="80"/>
            </w:pPr>
            <w:r>
              <w:t>194B-Winning from lottery/cross word puzzle</w:t>
            </w:r>
          </w:p>
        </w:tc>
        <w:tc>
          <w:tcPr>
            <w:tcW w:w="3764" w:type="dxa"/>
          </w:tcPr>
          <w:p w:rsidR="00026D9A" w:rsidRDefault="00026D9A" w:rsidP="00B0572F">
            <w:pPr>
              <w:spacing w:after="80"/>
              <w:jc w:val="center"/>
            </w:pPr>
            <w:r>
              <w:t>30.9%                            33.99%</w:t>
            </w:r>
          </w:p>
        </w:tc>
        <w:tc>
          <w:tcPr>
            <w:tcW w:w="3960" w:type="dxa"/>
          </w:tcPr>
          <w:p w:rsidR="00026D9A" w:rsidRDefault="00026D9A" w:rsidP="00B0572F">
            <w:pPr>
              <w:spacing w:after="80"/>
              <w:jc w:val="center"/>
            </w:pPr>
            <w:r>
              <w:t>30%</w:t>
            </w:r>
          </w:p>
        </w:tc>
        <w:tc>
          <w:tcPr>
            <w:tcW w:w="2520" w:type="dxa"/>
          </w:tcPr>
          <w:p w:rsidR="00026D9A" w:rsidRDefault="00026D9A" w:rsidP="00B0572F">
            <w:pPr>
              <w:spacing w:after="80"/>
            </w:pPr>
            <w:r>
              <w:t>Rs.5,000/-</w:t>
            </w:r>
          </w:p>
        </w:tc>
      </w:tr>
      <w:tr w:rsidR="00026D9A" w:rsidTr="00B0572F">
        <w:tc>
          <w:tcPr>
            <w:tcW w:w="2494" w:type="dxa"/>
          </w:tcPr>
          <w:p w:rsidR="00026D9A" w:rsidRDefault="00026D9A" w:rsidP="00B0572F">
            <w:pPr>
              <w:spacing w:after="80"/>
            </w:pPr>
            <w:r>
              <w:t>194BB-Winning from Horse  race</w:t>
            </w:r>
          </w:p>
        </w:tc>
        <w:tc>
          <w:tcPr>
            <w:tcW w:w="3764" w:type="dxa"/>
          </w:tcPr>
          <w:p w:rsidR="00026D9A" w:rsidRDefault="00026D9A" w:rsidP="00B0572F">
            <w:pPr>
              <w:spacing w:after="80"/>
              <w:jc w:val="center"/>
            </w:pPr>
            <w:r>
              <w:t>30.9%                            33.99%</w:t>
            </w:r>
          </w:p>
        </w:tc>
        <w:tc>
          <w:tcPr>
            <w:tcW w:w="3960" w:type="dxa"/>
          </w:tcPr>
          <w:p w:rsidR="00026D9A" w:rsidRDefault="00026D9A" w:rsidP="00B0572F">
            <w:pPr>
              <w:spacing w:after="80"/>
              <w:jc w:val="center"/>
            </w:pPr>
            <w:r>
              <w:t>30%</w:t>
            </w:r>
          </w:p>
        </w:tc>
        <w:tc>
          <w:tcPr>
            <w:tcW w:w="2520" w:type="dxa"/>
          </w:tcPr>
          <w:p w:rsidR="00026D9A" w:rsidRDefault="00026D9A" w:rsidP="00B0572F">
            <w:pPr>
              <w:spacing w:after="80"/>
            </w:pPr>
            <w:r>
              <w:t>Rs.2,500/-</w:t>
            </w:r>
          </w:p>
        </w:tc>
      </w:tr>
      <w:tr w:rsidR="00026D9A" w:rsidTr="00B0572F">
        <w:tc>
          <w:tcPr>
            <w:tcW w:w="2494" w:type="dxa"/>
          </w:tcPr>
          <w:p w:rsidR="00026D9A" w:rsidRDefault="00026D9A" w:rsidP="00B0572F">
            <w:pPr>
              <w:spacing w:after="80"/>
            </w:pPr>
            <w:r>
              <w:t>194C-Contractor/Cub contractor/Advertising contract</w:t>
            </w:r>
          </w:p>
        </w:tc>
        <w:tc>
          <w:tcPr>
            <w:tcW w:w="3764" w:type="dxa"/>
          </w:tcPr>
          <w:p w:rsidR="00026D9A" w:rsidRDefault="00026D9A" w:rsidP="00B0572F">
            <w:pPr>
              <w:spacing w:after="80"/>
              <w:jc w:val="center"/>
            </w:pPr>
            <w:r>
              <w:t>2.06%                            2.266%%</w:t>
            </w:r>
          </w:p>
        </w:tc>
        <w:tc>
          <w:tcPr>
            <w:tcW w:w="3960" w:type="dxa"/>
          </w:tcPr>
          <w:p w:rsidR="00026D9A" w:rsidRDefault="00026D9A" w:rsidP="00B0572F">
            <w:pPr>
              <w:spacing w:after="80"/>
              <w:jc w:val="center"/>
            </w:pPr>
            <w:r>
              <w:t>2%</w:t>
            </w:r>
          </w:p>
        </w:tc>
        <w:tc>
          <w:tcPr>
            <w:tcW w:w="2520" w:type="dxa"/>
          </w:tcPr>
          <w:p w:rsidR="00026D9A" w:rsidRDefault="00026D9A" w:rsidP="00B0572F">
            <w:pPr>
              <w:spacing w:after="80"/>
            </w:pPr>
            <w:r>
              <w:t>Payment in excess of Rs. 20,000/- per contract or Rs. 50,000/- per annum.</w:t>
            </w:r>
          </w:p>
        </w:tc>
      </w:tr>
      <w:tr w:rsidR="00026D9A" w:rsidTr="00B0572F">
        <w:tc>
          <w:tcPr>
            <w:tcW w:w="2494" w:type="dxa"/>
          </w:tcPr>
          <w:p w:rsidR="00026D9A" w:rsidRDefault="00026D9A" w:rsidP="00B0572F">
            <w:pPr>
              <w:spacing w:after="80"/>
            </w:pPr>
            <w:r>
              <w:t xml:space="preserve">194D-Insurance </w:t>
            </w:r>
          </w:p>
          <w:p w:rsidR="00026D9A" w:rsidRDefault="00026D9A" w:rsidP="00B0572F">
            <w:pPr>
              <w:spacing w:after="80"/>
            </w:pPr>
            <w:r>
              <w:t>Commission</w:t>
            </w:r>
          </w:p>
        </w:tc>
        <w:tc>
          <w:tcPr>
            <w:tcW w:w="3764" w:type="dxa"/>
          </w:tcPr>
          <w:p w:rsidR="00026D9A" w:rsidRDefault="00026D9A" w:rsidP="00B0572F">
            <w:pPr>
              <w:spacing w:after="80"/>
              <w:jc w:val="center"/>
            </w:pPr>
            <w:r>
              <w:t>20.6%                     22.66%</w:t>
            </w:r>
          </w:p>
        </w:tc>
        <w:tc>
          <w:tcPr>
            <w:tcW w:w="3960" w:type="dxa"/>
          </w:tcPr>
          <w:p w:rsidR="00026D9A" w:rsidRDefault="00026D9A" w:rsidP="00026D9A">
            <w:pPr>
              <w:spacing w:after="80"/>
              <w:jc w:val="center"/>
            </w:pPr>
            <w:r>
              <w:t>20%</w:t>
            </w:r>
          </w:p>
        </w:tc>
        <w:tc>
          <w:tcPr>
            <w:tcW w:w="2520" w:type="dxa"/>
          </w:tcPr>
          <w:p w:rsidR="00026D9A" w:rsidRDefault="00026D9A" w:rsidP="00B0572F">
            <w:pPr>
              <w:spacing w:after="80"/>
            </w:pPr>
            <w:r>
              <w:t>Rs.5,000/-</w:t>
            </w:r>
          </w:p>
        </w:tc>
      </w:tr>
      <w:tr w:rsidR="00026D9A" w:rsidTr="00B0572F">
        <w:tc>
          <w:tcPr>
            <w:tcW w:w="2494" w:type="dxa"/>
          </w:tcPr>
          <w:p w:rsidR="00026D9A" w:rsidRDefault="00026D9A" w:rsidP="00B0572F">
            <w:pPr>
              <w:spacing w:after="80"/>
            </w:pPr>
            <w:r>
              <w:t xml:space="preserve">194EE-National Savings </w:t>
            </w:r>
            <w:r>
              <w:lastRenderedPageBreak/>
              <w:t>Scheme</w:t>
            </w:r>
          </w:p>
        </w:tc>
        <w:tc>
          <w:tcPr>
            <w:tcW w:w="3764" w:type="dxa"/>
          </w:tcPr>
          <w:p w:rsidR="00026D9A" w:rsidRDefault="00026D9A" w:rsidP="00B0572F">
            <w:pPr>
              <w:spacing w:after="80"/>
              <w:jc w:val="center"/>
            </w:pPr>
            <w:r>
              <w:lastRenderedPageBreak/>
              <w:t>20.6%                          22.66%</w:t>
            </w:r>
          </w:p>
        </w:tc>
        <w:tc>
          <w:tcPr>
            <w:tcW w:w="3960" w:type="dxa"/>
          </w:tcPr>
          <w:p w:rsidR="00026D9A" w:rsidRDefault="00026D9A" w:rsidP="00B0572F">
            <w:pPr>
              <w:spacing w:after="80"/>
              <w:jc w:val="center"/>
            </w:pPr>
            <w:r>
              <w:t>20%</w:t>
            </w:r>
          </w:p>
        </w:tc>
        <w:tc>
          <w:tcPr>
            <w:tcW w:w="2520" w:type="dxa"/>
          </w:tcPr>
          <w:p w:rsidR="00026D9A" w:rsidRDefault="00026D9A" w:rsidP="00B0572F">
            <w:pPr>
              <w:spacing w:after="80"/>
            </w:pPr>
            <w:r>
              <w:t xml:space="preserve">Rs.2,500/-or payment is made to heirs of the </w:t>
            </w:r>
            <w:r>
              <w:lastRenderedPageBreak/>
              <w:t xml:space="preserve">deceased </w:t>
            </w:r>
            <w:proofErr w:type="spellStart"/>
            <w:r>
              <w:t>assessee</w:t>
            </w:r>
            <w:proofErr w:type="spellEnd"/>
          </w:p>
        </w:tc>
      </w:tr>
      <w:tr w:rsidR="00026D9A" w:rsidTr="00B0572F">
        <w:tc>
          <w:tcPr>
            <w:tcW w:w="2494" w:type="dxa"/>
          </w:tcPr>
          <w:p w:rsidR="00026D9A" w:rsidRDefault="00026D9A" w:rsidP="00B0572F">
            <w:pPr>
              <w:spacing w:after="80"/>
            </w:pPr>
            <w:r>
              <w:lastRenderedPageBreak/>
              <w:t xml:space="preserve">194F-Equity linked </w:t>
            </w:r>
            <w:r w:rsidR="00CF4FC6">
              <w:rPr>
                <w:noProof/>
              </w:rPr>
              <w:pict>
                <v:shape id="_x0000_s1047" type="#_x0000_t32" style="position:absolute;margin-left:210.75pt;margin-top:1.75pt;width:0;height:251.65pt;z-index:251681792;mso-position-horizontal-relative:text;mso-position-vertical-relative:text" o:connectortype="straight"/>
              </w:pict>
            </w:r>
            <w:r>
              <w:t>savings scheme</w:t>
            </w:r>
          </w:p>
        </w:tc>
        <w:tc>
          <w:tcPr>
            <w:tcW w:w="3764" w:type="dxa"/>
          </w:tcPr>
          <w:p w:rsidR="00026D9A" w:rsidRDefault="00026D9A" w:rsidP="00B0572F">
            <w:pPr>
              <w:spacing w:after="80"/>
              <w:jc w:val="center"/>
            </w:pPr>
            <w:r>
              <w:t>20.6%                          22.66%</w:t>
            </w:r>
          </w:p>
        </w:tc>
        <w:tc>
          <w:tcPr>
            <w:tcW w:w="3960" w:type="dxa"/>
          </w:tcPr>
          <w:p w:rsidR="00026D9A" w:rsidRDefault="00026D9A" w:rsidP="00B0572F">
            <w:pPr>
              <w:spacing w:after="80"/>
              <w:jc w:val="center"/>
            </w:pPr>
            <w:r>
              <w:t>20%</w:t>
            </w:r>
          </w:p>
        </w:tc>
        <w:tc>
          <w:tcPr>
            <w:tcW w:w="2520" w:type="dxa"/>
          </w:tcPr>
          <w:p w:rsidR="00026D9A" w:rsidRDefault="00026D9A" w:rsidP="00B0572F">
            <w:pPr>
              <w:spacing w:after="80"/>
            </w:pPr>
            <w:r>
              <w:t>-</w:t>
            </w:r>
          </w:p>
        </w:tc>
      </w:tr>
      <w:tr w:rsidR="00026D9A" w:rsidTr="00B0572F">
        <w:tc>
          <w:tcPr>
            <w:tcW w:w="2494" w:type="dxa"/>
          </w:tcPr>
          <w:p w:rsidR="00026D9A" w:rsidRDefault="00026D9A" w:rsidP="00B0572F">
            <w:pPr>
              <w:spacing w:after="80"/>
            </w:pPr>
            <w:r>
              <w:t>194G-Commission on sale of Lottery tickets</w:t>
            </w:r>
          </w:p>
        </w:tc>
        <w:tc>
          <w:tcPr>
            <w:tcW w:w="3764" w:type="dxa"/>
          </w:tcPr>
          <w:p w:rsidR="00026D9A" w:rsidRDefault="00026D9A" w:rsidP="00B0572F">
            <w:pPr>
              <w:spacing w:after="80"/>
              <w:jc w:val="center"/>
            </w:pPr>
            <w:r>
              <w:t>10.3%                          11.33%</w:t>
            </w:r>
          </w:p>
        </w:tc>
        <w:tc>
          <w:tcPr>
            <w:tcW w:w="3960" w:type="dxa"/>
          </w:tcPr>
          <w:p w:rsidR="00026D9A" w:rsidRDefault="00026D9A" w:rsidP="00B0572F">
            <w:pPr>
              <w:spacing w:after="80"/>
              <w:jc w:val="center"/>
            </w:pPr>
            <w:r>
              <w:t>10%</w:t>
            </w:r>
          </w:p>
        </w:tc>
        <w:tc>
          <w:tcPr>
            <w:tcW w:w="2520" w:type="dxa"/>
          </w:tcPr>
          <w:p w:rsidR="00026D9A" w:rsidRDefault="00026D9A" w:rsidP="00B0572F">
            <w:pPr>
              <w:spacing w:after="80"/>
            </w:pPr>
            <w:r>
              <w:t xml:space="preserve">Rs.1,000/- </w:t>
            </w:r>
            <w:proofErr w:type="spellStart"/>
            <w:r>
              <w:t>p.a</w:t>
            </w:r>
            <w:proofErr w:type="spellEnd"/>
          </w:p>
        </w:tc>
      </w:tr>
      <w:tr w:rsidR="00026D9A" w:rsidTr="00B0572F">
        <w:tc>
          <w:tcPr>
            <w:tcW w:w="2494" w:type="dxa"/>
          </w:tcPr>
          <w:p w:rsidR="00026D9A" w:rsidRDefault="00026D9A" w:rsidP="00B0572F">
            <w:pPr>
              <w:spacing w:after="80"/>
            </w:pPr>
            <w:r>
              <w:t xml:space="preserve">194H-Commisssion or </w:t>
            </w:r>
            <w:r w:rsidR="00CF4FC6">
              <w:rPr>
                <w:noProof/>
              </w:rPr>
              <w:pict>
                <v:shape id="_x0000_s1046" type="#_x0000_t32" style="position:absolute;margin-left:206.25pt;margin-top:-510.35pt;width:0;height:192pt;z-index:251680768;mso-position-horizontal-relative:text;mso-position-vertical-relative:text" o:connectortype="straight"/>
              </w:pict>
            </w:r>
            <w:r>
              <w:t>Brokerage</w:t>
            </w:r>
          </w:p>
        </w:tc>
        <w:tc>
          <w:tcPr>
            <w:tcW w:w="3764" w:type="dxa"/>
          </w:tcPr>
          <w:p w:rsidR="00026D9A" w:rsidRDefault="00026D9A" w:rsidP="00B0572F">
            <w:pPr>
              <w:spacing w:after="80"/>
              <w:jc w:val="center"/>
            </w:pPr>
            <w:r>
              <w:t>10.3%                          11.33%</w:t>
            </w:r>
          </w:p>
        </w:tc>
        <w:tc>
          <w:tcPr>
            <w:tcW w:w="3960" w:type="dxa"/>
          </w:tcPr>
          <w:p w:rsidR="00026D9A" w:rsidRDefault="00026D9A" w:rsidP="00B0572F">
            <w:pPr>
              <w:spacing w:after="80"/>
              <w:jc w:val="center"/>
            </w:pPr>
            <w:r>
              <w:t>10%</w:t>
            </w:r>
          </w:p>
        </w:tc>
        <w:tc>
          <w:tcPr>
            <w:tcW w:w="2520" w:type="dxa"/>
          </w:tcPr>
          <w:p w:rsidR="00026D9A" w:rsidRDefault="00026D9A" w:rsidP="00B0572F">
            <w:pPr>
              <w:spacing w:after="80"/>
            </w:pPr>
            <w:r>
              <w:t>Rs.2,500/-</w:t>
            </w:r>
          </w:p>
        </w:tc>
      </w:tr>
      <w:tr w:rsidR="00026D9A" w:rsidTr="00B0572F">
        <w:trPr>
          <w:trHeight w:val="1628"/>
        </w:trPr>
        <w:tc>
          <w:tcPr>
            <w:tcW w:w="2494" w:type="dxa"/>
          </w:tcPr>
          <w:p w:rsidR="00026D9A" w:rsidRDefault="00CF4FC6" w:rsidP="00B0572F">
            <w:pPr>
              <w:spacing w:after="80"/>
            </w:pPr>
            <w:r>
              <w:rPr>
                <w:noProof/>
              </w:rPr>
              <w:pict>
                <v:shape id="_x0000_s1043" type="#_x0000_t32" style="position:absolute;margin-left:-5.25pt;margin-top:11.45pt;width:123pt;height:1.5pt;flip:y;z-index:251678720;mso-position-horizontal-relative:text;mso-position-vertical-relative:text" o:connectortype="straight"/>
              </w:pict>
            </w:r>
            <w:r w:rsidR="00026D9A">
              <w:t>194I-Rent</w:t>
            </w:r>
          </w:p>
          <w:p w:rsidR="00026D9A" w:rsidRDefault="00026D9A" w:rsidP="00B0572F">
            <w:pPr>
              <w:spacing w:after="80"/>
            </w:pPr>
            <w:r>
              <w:t>a. Land, building &amp; Furniture</w:t>
            </w:r>
          </w:p>
          <w:p w:rsidR="00026D9A" w:rsidRDefault="00CF4FC6" w:rsidP="00B0572F">
            <w:pPr>
              <w:spacing w:after="80"/>
            </w:pPr>
            <w:r>
              <w:rPr>
                <w:noProof/>
              </w:rPr>
              <w:pict>
                <v:shape id="_x0000_s1042" type="#_x0000_t32" style="position:absolute;margin-left:-5.25pt;margin-top:-.9pt;width:510pt;height:0;z-index:251677696" o:connectortype="straight"/>
              </w:pict>
            </w:r>
            <w:r w:rsidR="00026D9A">
              <w:t xml:space="preserve">b. Plant &amp; machinery                          </w:t>
            </w:r>
          </w:p>
          <w:p w:rsidR="00026D9A" w:rsidRDefault="00026D9A" w:rsidP="00B0572F">
            <w:pPr>
              <w:spacing w:after="80"/>
            </w:pPr>
          </w:p>
        </w:tc>
        <w:tc>
          <w:tcPr>
            <w:tcW w:w="3764" w:type="dxa"/>
          </w:tcPr>
          <w:p w:rsidR="00026D9A" w:rsidRDefault="00026D9A" w:rsidP="00B0572F">
            <w:pPr>
              <w:spacing w:after="80"/>
              <w:jc w:val="center"/>
            </w:pPr>
          </w:p>
          <w:p w:rsidR="00026D9A" w:rsidRDefault="00026D9A" w:rsidP="00B0572F">
            <w:pPr>
              <w:spacing w:after="80"/>
              <w:jc w:val="center"/>
            </w:pPr>
            <w:r>
              <w:t>20.6%                       22.66%</w:t>
            </w:r>
          </w:p>
          <w:p w:rsidR="00026D9A" w:rsidRDefault="00026D9A" w:rsidP="00B0572F">
            <w:pPr>
              <w:spacing w:after="80"/>
              <w:jc w:val="center"/>
            </w:pPr>
          </w:p>
          <w:p w:rsidR="00026D9A" w:rsidRDefault="00026D9A" w:rsidP="00B0572F">
            <w:pPr>
              <w:spacing w:after="80"/>
              <w:jc w:val="center"/>
            </w:pPr>
            <w:r>
              <w:t>10.3%                     11.33%</w:t>
            </w:r>
          </w:p>
        </w:tc>
        <w:tc>
          <w:tcPr>
            <w:tcW w:w="3960" w:type="dxa"/>
          </w:tcPr>
          <w:p w:rsidR="00026D9A" w:rsidRDefault="00026D9A" w:rsidP="00B0572F">
            <w:pPr>
              <w:spacing w:after="80"/>
              <w:jc w:val="center"/>
            </w:pPr>
          </w:p>
          <w:p w:rsidR="00026D9A" w:rsidRDefault="00026D9A" w:rsidP="00B0572F">
            <w:pPr>
              <w:spacing w:after="80"/>
              <w:jc w:val="center"/>
            </w:pPr>
            <w:r>
              <w:t>10%</w:t>
            </w:r>
          </w:p>
          <w:p w:rsidR="00026D9A" w:rsidRDefault="00026D9A" w:rsidP="00B0572F">
            <w:pPr>
              <w:spacing w:after="80"/>
              <w:jc w:val="center"/>
            </w:pPr>
          </w:p>
          <w:p w:rsidR="00026D9A" w:rsidRDefault="00026D9A" w:rsidP="00B0572F">
            <w:pPr>
              <w:spacing w:after="80"/>
              <w:jc w:val="center"/>
            </w:pPr>
            <w:r>
              <w:t xml:space="preserve">2%                                                                            </w:t>
            </w:r>
          </w:p>
        </w:tc>
        <w:tc>
          <w:tcPr>
            <w:tcW w:w="2520" w:type="dxa"/>
          </w:tcPr>
          <w:p w:rsidR="00026D9A" w:rsidRDefault="00026D9A" w:rsidP="00B0572F">
            <w:pPr>
              <w:spacing w:after="80"/>
            </w:pPr>
          </w:p>
          <w:p w:rsidR="00026D9A" w:rsidRDefault="00026D9A" w:rsidP="00B0572F">
            <w:pPr>
              <w:spacing w:after="80"/>
            </w:pPr>
          </w:p>
          <w:p w:rsidR="00026D9A" w:rsidRDefault="00026D9A" w:rsidP="00B0572F">
            <w:pPr>
              <w:spacing w:after="80"/>
            </w:pPr>
            <w:r>
              <w:t>Rs.1,20,000 in a financial year</w:t>
            </w:r>
          </w:p>
        </w:tc>
      </w:tr>
      <w:tr w:rsidR="00026D9A" w:rsidTr="00B0572F">
        <w:tc>
          <w:tcPr>
            <w:tcW w:w="2494" w:type="dxa"/>
          </w:tcPr>
          <w:p w:rsidR="00026D9A" w:rsidRDefault="00026D9A" w:rsidP="00B0572F">
            <w:pPr>
              <w:spacing w:after="80"/>
            </w:pPr>
            <w:r>
              <w:t>194J-Professional or technical; fees</w:t>
            </w:r>
          </w:p>
        </w:tc>
        <w:tc>
          <w:tcPr>
            <w:tcW w:w="3764" w:type="dxa"/>
          </w:tcPr>
          <w:p w:rsidR="00026D9A" w:rsidRDefault="00026D9A" w:rsidP="00B0572F">
            <w:pPr>
              <w:spacing w:after="80"/>
              <w:jc w:val="center"/>
            </w:pPr>
            <w:r>
              <w:t>10.3%                     11.33%</w:t>
            </w:r>
          </w:p>
        </w:tc>
        <w:tc>
          <w:tcPr>
            <w:tcW w:w="3960" w:type="dxa"/>
          </w:tcPr>
          <w:p w:rsidR="00026D9A" w:rsidRDefault="00026D9A" w:rsidP="00B0572F">
            <w:pPr>
              <w:spacing w:after="80"/>
              <w:jc w:val="center"/>
            </w:pPr>
            <w:r>
              <w:t>10%</w:t>
            </w:r>
          </w:p>
        </w:tc>
        <w:tc>
          <w:tcPr>
            <w:tcW w:w="2520" w:type="dxa"/>
          </w:tcPr>
          <w:p w:rsidR="00026D9A" w:rsidRDefault="00026D9A" w:rsidP="00B0572F">
            <w:pPr>
              <w:spacing w:after="80"/>
            </w:pPr>
            <w:r>
              <w:t>Rs.20,000/- in financial year</w:t>
            </w:r>
          </w:p>
        </w:tc>
      </w:tr>
      <w:tr w:rsidR="00026D9A" w:rsidTr="00B0572F">
        <w:tc>
          <w:tcPr>
            <w:tcW w:w="2494" w:type="dxa"/>
          </w:tcPr>
          <w:p w:rsidR="00026D9A" w:rsidRDefault="00026D9A" w:rsidP="00B0572F">
            <w:pPr>
              <w:spacing w:after="80"/>
            </w:pPr>
            <w:r>
              <w:t>194LA-Compensation /Enhances compensation on compulsory acquisition</w:t>
            </w:r>
          </w:p>
        </w:tc>
        <w:tc>
          <w:tcPr>
            <w:tcW w:w="3764" w:type="dxa"/>
          </w:tcPr>
          <w:p w:rsidR="00026D9A" w:rsidRDefault="00026D9A" w:rsidP="00B0572F">
            <w:pPr>
              <w:spacing w:after="80"/>
              <w:jc w:val="center"/>
            </w:pPr>
            <w:r>
              <w:t>10.3%                      11.33%</w:t>
            </w:r>
          </w:p>
        </w:tc>
        <w:tc>
          <w:tcPr>
            <w:tcW w:w="3960" w:type="dxa"/>
          </w:tcPr>
          <w:p w:rsidR="00026D9A" w:rsidRDefault="00026D9A" w:rsidP="00B0572F">
            <w:pPr>
              <w:spacing w:after="80"/>
              <w:jc w:val="center"/>
            </w:pPr>
            <w:r>
              <w:t>10%</w:t>
            </w:r>
          </w:p>
        </w:tc>
        <w:tc>
          <w:tcPr>
            <w:tcW w:w="2520" w:type="dxa"/>
          </w:tcPr>
          <w:p w:rsidR="00026D9A" w:rsidRDefault="00026D9A" w:rsidP="00B0572F">
            <w:pPr>
              <w:spacing w:after="80"/>
            </w:pPr>
            <w:r>
              <w:t>Rs.1,00,000/- in the financial year</w:t>
            </w:r>
          </w:p>
        </w:tc>
      </w:tr>
    </w:tbl>
    <w:p w:rsidR="00A057D0" w:rsidRDefault="00A057D0" w:rsidP="00A057D0">
      <w:pPr>
        <w:pStyle w:val="Title"/>
      </w:pPr>
      <w:r>
        <w:t>Note:</w:t>
      </w:r>
    </w:p>
    <w:p w:rsidR="00A057D0" w:rsidRDefault="00A057D0" w:rsidP="00A057D0">
      <w:r w:rsidRPr="0027424D">
        <w:rPr>
          <w:rStyle w:val="Heading2Char"/>
        </w:rPr>
        <w:t xml:space="preserve">A </w:t>
      </w:r>
      <w:r>
        <w:t xml:space="preserve">.For the assessment year 2010-11 the rate of TDS will be 20% in all cases if PAN no. is not quoted by the </w:t>
      </w:r>
      <w:proofErr w:type="spellStart"/>
      <w:proofErr w:type="gramStart"/>
      <w:r>
        <w:t>deductee</w:t>
      </w:r>
      <w:proofErr w:type="spellEnd"/>
      <w:r>
        <w:t xml:space="preserve">  </w:t>
      </w:r>
      <w:proofErr w:type="spellStart"/>
      <w:r>
        <w:t>w.e.f</w:t>
      </w:r>
      <w:proofErr w:type="spellEnd"/>
      <w:proofErr w:type="gramEnd"/>
      <w:r>
        <w:t xml:space="preserve">  01-04-2010</w:t>
      </w:r>
    </w:p>
    <w:p w:rsidR="0027424D" w:rsidRDefault="00A057D0" w:rsidP="00A057D0">
      <w:r w:rsidRPr="0027424D">
        <w:rPr>
          <w:rStyle w:val="Heading2Char"/>
        </w:rPr>
        <w:t>B</w:t>
      </w:r>
      <w:r>
        <w:t xml:space="preserve">. The nil </w:t>
      </w:r>
      <w:proofErr w:type="gramStart"/>
      <w:r w:rsidR="0027424D">
        <w:t>rate</w:t>
      </w:r>
      <w:proofErr w:type="gramEnd"/>
      <w:r>
        <w:t xml:space="preserve"> will be applicable if the transporter quotes his PAN .If PAN is not quoted the rate will be 1% for an individual, HUF transporter and 2% for other transporters up to 31-03-2010</w:t>
      </w:r>
    </w:p>
    <w:p w:rsidR="0027424D" w:rsidRDefault="00A057D0" w:rsidP="00A057D0">
      <w:r w:rsidRPr="0027424D">
        <w:rPr>
          <w:rStyle w:val="Heading2Char"/>
        </w:rPr>
        <w:t>C</w:t>
      </w:r>
      <w:r>
        <w:t xml:space="preserve">. AY 2009-10-In case of Individual, HUF if the payment exceeds 10 </w:t>
      </w:r>
      <w:proofErr w:type="spellStart"/>
      <w:r>
        <w:t>lakhs</w:t>
      </w:r>
      <w:proofErr w:type="spellEnd"/>
      <w:r>
        <w:t xml:space="preserve"> –surcharge @10%+EC@2%+SHEC @1% is applicable (if not exceeds EC and SHEC is applicable)</w:t>
      </w:r>
    </w:p>
    <w:p w:rsidR="00A057D0" w:rsidRDefault="00A057D0" w:rsidP="00A057D0">
      <w:r>
        <w:t xml:space="preserve">    In case of company, firms if the payment exceeds 1 </w:t>
      </w:r>
      <w:proofErr w:type="spellStart"/>
      <w:r>
        <w:t>crore</w:t>
      </w:r>
      <w:proofErr w:type="spellEnd"/>
      <w:r>
        <w:t>–surcharge @10%+EC@2%+SHEC @1% is applicable (if not exceeds EC and SHEC is applicable)</w:t>
      </w:r>
    </w:p>
    <w:p w:rsidR="00A057D0" w:rsidRDefault="00A057D0" w:rsidP="00A057D0">
      <w:r w:rsidRPr="0027424D">
        <w:rPr>
          <w:rStyle w:val="Heading2Char"/>
        </w:rPr>
        <w:t>D</w:t>
      </w:r>
      <w:r>
        <w:t xml:space="preserve">. AY 2010-2011-Surcharge and education </w:t>
      </w:r>
      <w:proofErr w:type="spellStart"/>
      <w:r>
        <w:t>cess</w:t>
      </w:r>
      <w:proofErr w:type="spellEnd"/>
      <w:r>
        <w:t xml:space="preserve"> on tax Deducted on Non-salary payments made to resident taxpayers is proposed to be removed</w:t>
      </w:r>
    </w:p>
    <w:p w:rsidR="00E1569A" w:rsidRDefault="00E1569A" w:rsidP="00A057D0">
      <w:r>
        <w:t xml:space="preserve">EC-Education </w:t>
      </w:r>
      <w:proofErr w:type="spellStart"/>
      <w:r>
        <w:t>Cess</w:t>
      </w:r>
      <w:proofErr w:type="spellEnd"/>
      <w:r>
        <w:t xml:space="preserve">    SHEC –Secondary higher education </w:t>
      </w:r>
      <w:proofErr w:type="spellStart"/>
      <w:r>
        <w:t>cess</w:t>
      </w:r>
      <w:proofErr w:type="spellEnd"/>
    </w:p>
    <w:p w:rsidR="00E1569A" w:rsidRDefault="00B55F0D" w:rsidP="00B55F0D">
      <w:pPr>
        <w:pStyle w:val="Heading1"/>
        <w:rPr>
          <w:u w:val="single"/>
        </w:rPr>
      </w:pPr>
      <w:r>
        <w:rPr>
          <w:u w:val="single"/>
        </w:rPr>
        <w:lastRenderedPageBreak/>
        <w:t>Other Points</w:t>
      </w:r>
      <w:r w:rsidR="005D46E2" w:rsidRPr="00B55F0D">
        <w:rPr>
          <w:u w:val="single"/>
        </w:rPr>
        <w:t>:</w:t>
      </w:r>
    </w:p>
    <w:p w:rsidR="00B55F0D" w:rsidRPr="00B55F0D" w:rsidRDefault="00B55F0D" w:rsidP="00B55F0D"/>
    <w:p w:rsidR="005D46E2" w:rsidRDefault="005D46E2" w:rsidP="005D46E2">
      <w:pPr>
        <w:pStyle w:val="ListParagraph"/>
        <w:numPr>
          <w:ilvl w:val="0"/>
          <w:numId w:val="10"/>
        </w:numPr>
      </w:pPr>
      <w:r>
        <w:t>TDS shall be deducted at the time of payment or at the time of credit whichever falls earlier</w:t>
      </w:r>
    </w:p>
    <w:p w:rsidR="005D46E2" w:rsidRDefault="005D46E2" w:rsidP="005D46E2">
      <w:pPr>
        <w:pStyle w:val="ListParagraph"/>
        <w:numPr>
          <w:ilvl w:val="0"/>
          <w:numId w:val="10"/>
        </w:numPr>
      </w:pPr>
      <w:r w:rsidRPr="005D46E2">
        <w:rPr>
          <w:b/>
          <w:u w:val="single"/>
        </w:rPr>
        <w:t xml:space="preserve">Time of remittance to the </w:t>
      </w:r>
      <w:r>
        <w:rPr>
          <w:b/>
          <w:u w:val="single"/>
        </w:rPr>
        <w:t>G</w:t>
      </w:r>
      <w:r w:rsidRPr="005D46E2">
        <w:rPr>
          <w:b/>
          <w:u w:val="single"/>
        </w:rPr>
        <w:t>overnment</w:t>
      </w:r>
      <w:r>
        <w:t>:</w:t>
      </w:r>
    </w:p>
    <w:p w:rsidR="005D46E2" w:rsidRDefault="005D46E2" w:rsidP="005D46E2">
      <w:pPr>
        <w:pStyle w:val="ListParagraph"/>
        <w:numPr>
          <w:ilvl w:val="0"/>
          <w:numId w:val="11"/>
        </w:numPr>
      </w:pPr>
      <w:r>
        <w:t>In case of deduction by or on behalf of the Government ,TDS shall be remitted on the same day</w:t>
      </w:r>
    </w:p>
    <w:p w:rsidR="005D46E2" w:rsidRDefault="005D46E2" w:rsidP="005D46E2">
      <w:pPr>
        <w:pStyle w:val="ListParagraph"/>
        <w:numPr>
          <w:ilvl w:val="0"/>
          <w:numId w:val="11"/>
        </w:numPr>
      </w:pPr>
      <w:r>
        <w:t>TDS made every month shall be deposited within one week from the last of the month in which deduction is made</w:t>
      </w:r>
    </w:p>
    <w:p w:rsidR="009713EF" w:rsidRDefault="009713EF" w:rsidP="009713EF">
      <w:pPr>
        <w:pStyle w:val="ListParagraph"/>
        <w:numPr>
          <w:ilvl w:val="0"/>
          <w:numId w:val="11"/>
        </w:numPr>
      </w:pPr>
      <w:r>
        <w:t>TDS made on the last day of the accounting year ,shall be deposited within 2 months from the end of the relevant accounting year</w:t>
      </w:r>
    </w:p>
    <w:p w:rsidR="009713EF" w:rsidRDefault="009713EF" w:rsidP="009713EF">
      <w:pPr>
        <w:pStyle w:val="ListParagraph"/>
        <w:numPr>
          <w:ilvl w:val="0"/>
          <w:numId w:val="10"/>
        </w:numPr>
        <w:rPr>
          <w:b/>
          <w:u w:val="single"/>
        </w:rPr>
      </w:pPr>
      <w:r w:rsidRPr="009713EF">
        <w:rPr>
          <w:b/>
          <w:u w:val="single"/>
        </w:rPr>
        <w:t xml:space="preserve">TDS certificates FORMS: </w:t>
      </w:r>
    </w:p>
    <w:p w:rsidR="009713EF" w:rsidRPr="009713EF" w:rsidRDefault="009713EF" w:rsidP="009713EF">
      <w:pPr>
        <w:pStyle w:val="ListParagraph"/>
        <w:numPr>
          <w:ilvl w:val="0"/>
          <w:numId w:val="12"/>
        </w:numPr>
      </w:pPr>
      <w:r w:rsidRPr="009713EF">
        <w:t>Salary-FORM 16</w:t>
      </w:r>
    </w:p>
    <w:p w:rsidR="009713EF" w:rsidRDefault="009713EF" w:rsidP="009713EF">
      <w:pPr>
        <w:pStyle w:val="ListParagraph"/>
        <w:numPr>
          <w:ilvl w:val="0"/>
          <w:numId w:val="12"/>
        </w:numPr>
      </w:pPr>
      <w:r w:rsidRPr="009713EF">
        <w:t>Employees gross salary less than 1,50,000</w:t>
      </w:r>
      <w:r>
        <w:t xml:space="preserve"> and do not any income under the head profit and gains of business or profession or capital gains-FORM 16AA</w:t>
      </w:r>
    </w:p>
    <w:p w:rsidR="009713EF" w:rsidRDefault="009713EF" w:rsidP="009713EF">
      <w:pPr>
        <w:pStyle w:val="ListParagraph"/>
        <w:numPr>
          <w:ilvl w:val="0"/>
          <w:numId w:val="12"/>
        </w:numPr>
      </w:pPr>
      <w:r>
        <w:t>For Non-salary-FORM 16A</w:t>
      </w:r>
    </w:p>
    <w:p w:rsidR="009713EF" w:rsidRDefault="009713EF" w:rsidP="009713EF">
      <w:pPr>
        <w:pStyle w:val="ListParagraph"/>
        <w:numPr>
          <w:ilvl w:val="0"/>
          <w:numId w:val="10"/>
        </w:numPr>
      </w:pPr>
      <w:r w:rsidRPr="009713EF">
        <w:rPr>
          <w:b/>
          <w:u w:val="single"/>
        </w:rPr>
        <w:t>Issue of TDS Certificate</w:t>
      </w:r>
      <w:r>
        <w:t>:</w:t>
      </w:r>
    </w:p>
    <w:p w:rsidR="009713EF" w:rsidRDefault="009713EF" w:rsidP="009713EF">
      <w:pPr>
        <w:pStyle w:val="ListParagraph"/>
        <w:numPr>
          <w:ilvl w:val="0"/>
          <w:numId w:val="13"/>
        </w:numPr>
      </w:pPr>
      <w:r w:rsidRPr="009713EF">
        <w:t>Section 192-</w:t>
      </w:r>
      <w:r>
        <w:t>With one month from end of relevant financial year</w:t>
      </w:r>
    </w:p>
    <w:p w:rsidR="009713EF" w:rsidRDefault="009713EF" w:rsidP="009713EF">
      <w:pPr>
        <w:pStyle w:val="ListParagraph"/>
        <w:numPr>
          <w:ilvl w:val="0"/>
          <w:numId w:val="13"/>
        </w:numPr>
      </w:pPr>
      <w:r>
        <w:t>For non-salary-If TDS is deducted Every month then within 1 month for the end of the month in which tax was deducted</w:t>
      </w:r>
    </w:p>
    <w:p w:rsidR="00B55F0D" w:rsidRPr="00A324BD" w:rsidRDefault="009713EF" w:rsidP="009713EF">
      <w:pPr>
        <w:pStyle w:val="ListParagraph"/>
        <w:ind w:left="2700"/>
      </w:pPr>
      <w:r>
        <w:t xml:space="preserve">                           -If TDS deducted on the last day of the accounting year then within one week from the end of the two months (before 7</w:t>
      </w:r>
      <w:r w:rsidRPr="009713EF">
        <w:rPr>
          <w:vertAlign w:val="superscript"/>
        </w:rPr>
        <w:t>th</w:t>
      </w:r>
      <w:r>
        <w:t xml:space="preserve"> June of relevant assessment </w:t>
      </w:r>
      <w:r w:rsidRPr="00A324BD">
        <w:t>year)</w:t>
      </w:r>
    </w:p>
    <w:p w:rsidR="00A324BD" w:rsidRPr="00A324BD" w:rsidRDefault="00A324BD" w:rsidP="009713EF">
      <w:pPr>
        <w:pStyle w:val="ListParagraph"/>
        <w:ind w:left="2700"/>
      </w:pPr>
    </w:p>
    <w:p w:rsidR="00B55F0D" w:rsidRPr="00A324BD" w:rsidRDefault="00A324BD" w:rsidP="00A324BD">
      <w:pPr>
        <w:pStyle w:val="ListParagraph"/>
        <w:numPr>
          <w:ilvl w:val="0"/>
          <w:numId w:val="10"/>
        </w:numPr>
        <w:rPr>
          <w:b/>
          <w:u w:val="single"/>
        </w:rPr>
      </w:pPr>
      <w:r w:rsidRPr="00A324BD">
        <w:rPr>
          <w:b/>
        </w:rPr>
        <w:t xml:space="preserve">    </w:t>
      </w:r>
      <w:r w:rsidR="00B55F0D" w:rsidRPr="00A324BD">
        <w:rPr>
          <w:b/>
          <w:u w:val="single"/>
        </w:rPr>
        <w:t>Quarterly return and Due date</w:t>
      </w:r>
    </w:p>
    <w:tbl>
      <w:tblPr>
        <w:tblStyle w:val="TableGrid"/>
        <w:tblW w:w="0" w:type="auto"/>
        <w:tblInd w:w="1008" w:type="dxa"/>
        <w:tblLayout w:type="fixed"/>
        <w:tblLook w:val="04A0"/>
      </w:tblPr>
      <w:tblGrid>
        <w:gridCol w:w="1530"/>
        <w:gridCol w:w="1080"/>
        <w:gridCol w:w="3510"/>
      </w:tblGrid>
      <w:tr w:rsidR="00B55F0D" w:rsidTr="00B55F0D">
        <w:tc>
          <w:tcPr>
            <w:tcW w:w="1530" w:type="dxa"/>
          </w:tcPr>
          <w:p w:rsidR="00B55F0D" w:rsidRDefault="00B55F0D" w:rsidP="00B55F0D">
            <w:pPr>
              <w:jc w:val="center"/>
            </w:pPr>
            <w:r>
              <w:t>Section</w:t>
            </w:r>
          </w:p>
        </w:tc>
        <w:tc>
          <w:tcPr>
            <w:tcW w:w="1080" w:type="dxa"/>
          </w:tcPr>
          <w:p w:rsidR="00B55F0D" w:rsidRDefault="00B55F0D" w:rsidP="00B55F0D">
            <w:pPr>
              <w:jc w:val="center"/>
            </w:pPr>
            <w:r>
              <w:t>From no.</w:t>
            </w:r>
          </w:p>
        </w:tc>
        <w:tc>
          <w:tcPr>
            <w:tcW w:w="3510" w:type="dxa"/>
          </w:tcPr>
          <w:p w:rsidR="00B55F0D" w:rsidRDefault="00B55F0D" w:rsidP="00B55F0D">
            <w:pPr>
              <w:jc w:val="center"/>
            </w:pPr>
            <w:r>
              <w:t>Due date</w:t>
            </w:r>
          </w:p>
        </w:tc>
      </w:tr>
      <w:tr w:rsidR="00B55F0D" w:rsidTr="00B55F0D">
        <w:tc>
          <w:tcPr>
            <w:tcW w:w="1530" w:type="dxa"/>
          </w:tcPr>
          <w:p w:rsidR="00B55F0D" w:rsidRDefault="00B55F0D" w:rsidP="00B55F0D">
            <w:r>
              <w:t>194</w:t>
            </w:r>
          </w:p>
        </w:tc>
        <w:tc>
          <w:tcPr>
            <w:tcW w:w="1080" w:type="dxa"/>
          </w:tcPr>
          <w:p w:rsidR="00B55F0D" w:rsidRDefault="00B55F0D" w:rsidP="00B55F0D">
            <w:r>
              <w:t>24Q</w:t>
            </w:r>
          </w:p>
        </w:tc>
        <w:tc>
          <w:tcPr>
            <w:tcW w:w="3510" w:type="dxa"/>
          </w:tcPr>
          <w:p w:rsidR="00B55F0D" w:rsidRDefault="00B55F0D" w:rsidP="00B55F0D">
            <w:r>
              <w:t>I quarter -15</w:t>
            </w:r>
            <w:r w:rsidRPr="00B55F0D">
              <w:rPr>
                <w:vertAlign w:val="superscript"/>
              </w:rPr>
              <w:t>th</w:t>
            </w:r>
            <w:r>
              <w:t xml:space="preserve"> July</w:t>
            </w:r>
          </w:p>
          <w:p w:rsidR="00B55F0D" w:rsidRDefault="00B55F0D" w:rsidP="00B55F0D">
            <w:r>
              <w:t>II quarter – 15</w:t>
            </w:r>
            <w:r w:rsidRPr="00B55F0D">
              <w:rPr>
                <w:vertAlign w:val="superscript"/>
              </w:rPr>
              <w:t>th</w:t>
            </w:r>
            <w:r>
              <w:t xml:space="preserve"> October</w:t>
            </w:r>
          </w:p>
          <w:p w:rsidR="00B55F0D" w:rsidRDefault="00B55F0D" w:rsidP="00B55F0D">
            <w:r>
              <w:t>III  quarter  - 15</w:t>
            </w:r>
            <w:r w:rsidRPr="00B55F0D">
              <w:rPr>
                <w:vertAlign w:val="superscript"/>
              </w:rPr>
              <w:t>th</w:t>
            </w:r>
            <w:r>
              <w:t xml:space="preserve"> January</w:t>
            </w:r>
          </w:p>
          <w:p w:rsidR="00B55F0D" w:rsidRDefault="00B55F0D" w:rsidP="00B55F0D">
            <w:r>
              <w:t>IV quarter – on or before 15</w:t>
            </w:r>
            <w:r w:rsidRPr="00B55F0D">
              <w:rPr>
                <w:vertAlign w:val="superscript"/>
              </w:rPr>
              <w:t>th</w:t>
            </w:r>
            <w:r>
              <w:t xml:space="preserve"> June</w:t>
            </w:r>
            <w:r w:rsidR="001A2FAA">
              <w:t xml:space="preserve"> of the financial year</w:t>
            </w:r>
          </w:p>
        </w:tc>
      </w:tr>
      <w:tr w:rsidR="00B55F0D" w:rsidTr="00B55F0D">
        <w:tc>
          <w:tcPr>
            <w:tcW w:w="1530" w:type="dxa"/>
          </w:tcPr>
          <w:p w:rsidR="00B55F0D" w:rsidRDefault="00B55F0D" w:rsidP="00B55F0D">
            <w:r>
              <w:t>193 to 194J</w:t>
            </w:r>
          </w:p>
        </w:tc>
        <w:tc>
          <w:tcPr>
            <w:tcW w:w="1080" w:type="dxa"/>
          </w:tcPr>
          <w:p w:rsidR="00B55F0D" w:rsidRDefault="00B55F0D" w:rsidP="00B55F0D">
            <w:r>
              <w:t>26Q</w:t>
            </w:r>
          </w:p>
        </w:tc>
        <w:tc>
          <w:tcPr>
            <w:tcW w:w="3510" w:type="dxa"/>
          </w:tcPr>
          <w:p w:rsidR="00B55F0D" w:rsidRDefault="00B55F0D" w:rsidP="00B55F0D">
            <w:r>
              <w:t>------do-------</w:t>
            </w:r>
          </w:p>
        </w:tc>
      </w:tr>
    </w:tbl>
    <w:p w:rsidR="00A023DA" w:rsidRDefault="00A023DA" w:rsidP="00B55F0D">
      <w:r>
        <w:t>Section 194E, 195,196B to 196D-From no.27Q and due date is 14 days from the end of the quarter</w:t>
      </w:r>
    </w:p>
    <w:p w:rsidR="00A023DA" w:rsidRDefault="00A324BD" w:rsidP="00A324BD">
      <w:pPr>
        <w:pStyle w:val="ListParagraph"/>
        <w:numPr>
          <w:ilvl w:val="0"/>
          <w:numId w:val="10"/>
        </w:numPr>
      </w:pPr>
      <w:r w:rsidRPr="00A324BD">
        <w:rPr>
          <w:b/>
          <w:u w:val="single"/>
        </w:rPr>
        <w:t>Section 206C Tax Collection at source</w:t>
      </w:r>
      <w:r>
        <w:t>.</w:t>
      </w:r>
    </w:p>
    <w:p w:rsidR="0019026D" w:rsidRDefault="0019026D" w:rsidP="00B55F0D">
      <w:r>
        <w:t xml:space="preserve">        Seller of a particular commodity shall collect tax from the buyer   for the following nature of goods.</w:t>
      </w:r>
    </w:p>
    <w:p w:rsidR="00DE6234" w:rsidRDefault="0019026D" w:rsidP="0019026D">
      <w:pPr>
        <w:spacing w:after="60"/>
        <w:ind w:left="960" w:hanging="960"/>
        <w:jc w:val="both"/>
      </w:pPr>
      <w:r>
        <w:t xml:space="preserve">                    Buyer means a person who obtains in any sale, by way of auction, tender or any other mode, goods of the nature specified </w:t>
      </w:r>
    </w:p>
    <w:p w:rsidR="00DE6234" w:rsidRDefault="00DE6234" w:rsidP="0019026D">
      <w:pPr>
        <w:spacing w:after="60"/>
        <w:ind w:left="960" w:hanging="960"/>
        <w:jc w:val="both"/>
      </w:pPr>
      <w:r>
        <w:t xml:space="preserve">                   </w:t>
      </w:r>
      <w:r w:rsidR="0019026D">
        <w:t xml:space="preserve"> </w:t>
      </w:r>
      <w:proofErr w:type="gramStart"/>
      <w:r w:rsidR="0019026D">
        <w:t>or</w:t>
      </w:r>
      <w:proofErr w:type="gramEnd"/>
      <w:r w:rsidR="0019026D">
        <w:t xml:space="preserve"> the right to receive any such goods but does not include</w:t>
      </w:r>
    </w:p>
    <w:p w:rsidR="0019026D" w:rsidRDefault="0019026D" w:rsidP="0019026D">
      <w:pPr>
        <w:spacing w:after="60"/>
        <w:ind w:left="1320" w:hanging="720"/>
        <w:jc w:val="both"/>
      </w:pPr>
      <w:r>
        <w:lastRenderedPageBreak/>
        <w:t>(</w:t>
      </w:r>
      <w:proofErr w:type="spellStart"/>
      <w:r>
        <w:rPr>
          <w:i/>
          <w:iCs/>
        </w:rPr>
        <w:t>i</w:t>
      </w:r>
      <w:proofErr w:type="spellEnd"/>
      <w:r>
        <w:t xml:space="preserve">) </w:t>
      </w:r>
      <w:proofErr w:type="gramStart"/>
      <w:r>
        <w:t>a</w:t>
      </w:r>
      <w:proofErr w:type="gramEnd"/>
      <w:r>
        <w:t xml:space="preserve"> public sector company, the Central Government, a State Government, and an embassy, a high commission, legation, commission, consulate and the trade representation, of a foreign State and a club</w:t>
      </w:r>
    </w:p>
    <w:p w:rsidR="0019026D" w:rsidRDefault="0019026D" w:rsidP="0019026D">
      <w:pPr>
        <w:spacing w:after="80"/>
        <w:ind w:left="1320" w:hanging="720"/>
        <w:jc w:val="both"/>
      </w:pPr>
      <w:r>
        <w:t>(</w:t>
      </w:r>
      <w:r>
        <w:rPr>
          <w:i/>
          <w:iCs/>
        </w:rPr>
        <w:t>ii</w:t>
      </w:r>
      <w:r>
        <w:t xml:space="preserve">) </w:t>
      </w:r>
      <w:proofErr w:type="gramStart"/>
      <w:r>
        <w:t>a</w:t>
      </w:r>
      <w:proofErr w:type="gramEnd"/>
      <w:r>
        <w:t xml:space="preserve"> buyer in the retail sale of such goods purchased by him for personal consumption</w:t>
      </w:r>
    </w:p>
    <w:p w:rsidR="0019026D" w:rsidRDefault="0019026D" w:rsidP="0019026D">
      <w:pPr>
        <w:spacing w:after="80"/>
        <w:ind w:left="960" w:hanging="960"/>
        <w:jc w:val="both"/>
      </w:pPr>
      <w:r>
        <w:t xml:space="preserve">        (</w:t>
      </w:r>
      <w:r>
        <w:rPr>
          <w:i/>
          <w:iCs/>
        </w:rPr>
        <w:t>b</w:t>
      </w:r>
      <w:r>
        <w:t>) scrap means waste and scrap from the manufacture or mechanical working of materials which is definitely not usable as such because of breakage, cutting up, wear and other reasons;</w:t>
      </w:r>
    </w:p>
    <w:p w:rsidR="0019026D" w:rsidRDefault="0019026D" w:rsidP="0019026D">
      <w:pPr>
        <w:spacing w:after="80"/>
        <w:ind w:left="960" w:hanging="960"/>
        <w:jc w:val="both"/>
      </w:pPr>
      <w:r>
        <w:t xml:space="preserve">        (</w:t>
      </w:r>
      <w:r>
        <w:rPr>
          <w:i/>
          <w:iCs/>
        </w:rPr>
        <w:t>c</w:t>
      </w:r>
      <w:r>
        <w:t xml:space="preserve">) seller means the Central Government, a State Government or any local authority or corporation or authority established by or under a Central, State or Provincial Act, or any company or firm or co-operative society and also includes an individual or a Hindu undivided family whose total sales, gross receipts or turnover from the business or profession carried on by him exceed the monetary limits specified under  section 44AB During the financial year immediately preceding the financial year in which the goods of the nature specified </w:t>
      </w:r>
    </w:p>
    <w:p w:rsidR="00DE6234" w:rsidRPr="00DE6234" w:rsidRDefault="00DE6234" w:rsidP="0019026D">
      <w:pPr>
        <w:spacing w:after="80"/>
        <w:ind w:left="960" w:hanging="960"/>
        <w:jc w:val="both"/>
        <w:rPr>
          <w:b/>
          <w:u w:val="single"/>
        </w:rPr>
      </w:pPr>
      <w:r w:rsidRPr="00DE6234">
        <w:rPr>
          <w:b/>
          <w:u w:val="single"/>
        </w:rPr>
        <w:t>Specified Goods</w:t>
      </w:r>
      <w:r>
        <w:rPr>
          <w:b/>
          <w:u w:val="single"/>
        </w:rPr>
        <w:tab/>
      </w:r>
      <w:r>
        <w:rPr>
          <w:b/>
          <w:u w:val="single"/>
        </w:rPr>
        <w:tab/>
      </w:r>
      <w:r>
        <w:rPr>
          <w:b/>
          <w:u w:val="single"/>
        </w:rPr>
        <w:tab/>
      </w:r>
      <w:r>
        <w:rPr>
          <w:b/>
          <w:u w:val="single"/>
        </w:rPr>
        <w:tab/>
      </w:r>
      <w:r>
        <w:rPr>
          <w:b/>
          <w:u w:val="single"/>
        </w:rPr>
        <w:tab/>
      </w:r>
      <w:r>
        <w:rPr>
          <w:b/>
          <w:u w:val="single"/>
        </w:rPr>
        <w:tab/>
        <w:t>Rate of tax to be collected</w:t>
      </w:r>
      <w:r>
        <w:rPr>
          <w:b/>
          <w:u w:val="single"/>
        </w:rPr>
        <w:tab/>
      </w:r>
      <w:r>
        <w:rPr>
          <w:b/>
          <w:u w:val="single"/>
        </w:rPr>
        <w:tab/>
      </w:r>
      <w:r>
        <w:rPr>
          <w:b/>
          <w:u w:val="single"/>
        </w:rPr>
        <w:tab/>
      </w:r>
    </w:p>
    <w:p w:rsidR="00DE6234" w:rsidRDefault="00DE6234" w:rsidP="0019026D">
      <w:pPr>
        <w:spacing w:after="80"/>
        <w:ind w:left="960" w:hanging="960"/>
        <w:jc w:val="both"/>
      </w:pPr>
      <w:r>
        <w:t>Alcoholic Liquor for human consumption</w:t>
      </w:r>
      <w:r>
        <w:tab/>
      </w:r>
      <w:r>
        <w:tab/>
      </w:r>
      <w:r>
        <w:tab/>
      </w:r>
      <w:r>
        <w:tab/>
        <w:t>1%</w:t>
      </w:r>
    </w:p>
    <w:p w:rsidR="00DE6234" w:rsidRDefault="0019026D" w:rsidP="00B55F0D">
      <w:r>
        <w:t xml:space="preserve"> </w:t>
      </w:r>
      <w:proofErr w:type="spellStart"/>
      <w:r w:rsidR="00DE6234">
        <w:t>Tendu</w:t>
      </w:r>
      <w:proofErr w:type="spellEnd"/>
      <w:r w:rsidR="00DE6234">
        <w:t xml:space="preserve"> leaves</w:t>
      </w:r>
      <w:r w:rsidR="00DE6234">
        <w:tab/>
      </w:r>
      <w:r w:rsidR="00DE6234">
        <w:tab/>
      </w:r>
      <w:r w:rsidR="00DE6234">
        <w:tab/>
      </w:r>
      <w:r w:rsidR="00DE6234">
        <w:tab/>
      </w:r>
      <w:r w:rsidR="00DE6234">
        <w:tab/>
      </w:r>
      <w:r w:rsidR="00DE6234">
        <w:tab/>
      </w:r>
      <w:r w:rsidR="00DE6234">
        <w:tab/>
      </w:r>
      <w:r w:rsidR="00DE6234">
        <w:tab/>
        <w:t>5%</w:t>
      </w:r>
    </w:p>
    <w:p w:rsidR="00DE6234" w:rsidRDefault="00DE6234" w:rsidP="00B55F0D">
      <w:r>
        <w:t>Timber obtained under a forest lease</w:t>
      </w:r>
      <w:r>
        <w:tab/>
      </w:r>
      <w:r>
        <w:tab/>
      </w:r>
      <w:r>
        <w:tab/>
      </w:r>
      <w:r>
        <w:tab/>
      </w:r>
      <w:r>
        <w:tab/>
        <w:t>2.5%</w:t>
      </w:r>
    </w:p>
    <w:p w:rsidR="00DE6234" w:rsidRDefault="00DE6234" w:rsidP="00B55F0D">
      <w:r>
        <w:t>Timber obtained by any mode other than under a forest lease</w:t>
      </w:r>
      <w:r>
        <w:tab/>
      </w:r>
      <w:r>
        <w:tab/>
        <w:t>2.5%</w:t>
      </w:r>
    </w:p>
    <w:p w:rsidR="00DE6234" w:rsidRDefault="00DE6234" w:rsidP="00B55F0D">
      <w:r>
        <w:t xml:space="preserve">Any other forest produce not being timber or </w:t>
      </w:r>
      <w:proofErr w:type="spellStart"/>
      <w:r>
        <w:t>tendu</w:t>
      </w:r>
      <w:proofErr w:type="spellEnd"/>
      <w:r>
        <w:t xml:space="preserve"> leaves</w:t>
      </w:r>
      <w:r>
        <w:tab/>
      </w:r>
      <w:r>
        <w:tab/>
        <w:t>2.5%</w:t>
      </w:r>
    </w:p>
    <w:p w:rsidR="00DE6234" w:rsidRDefault="00DE6234" w:rsidP="00B55F0D">
      <w:r>
        <w:t>Scrap</w:t>
      </w:r>
      <w:r>
        <w:tab/>
      </w:r>
      <w:r>
        <w:tab/>
      </w:r>
      <w:r>
        <w:tab/>
      </w:r>
      <w:r>
        <w:tab/>
      </w:r>
      <w:r>
        <w:tab/>
      </w:r>
      <w:r>
        <w:tab/>
      </w:r>
      <w:r>
        <w:tab/>
      </w:r>
      <w:r>
        <w:tab/>
      </w:r>
      <w:r>
        <w:tab/>
        <w:t>1%</w:t>
      </w:r>
    </w:p>
    <w:p w:rsidR="00DE6234" w:rsidRDefault="00DE6234" w:rsidP="00B55F0D">
      <w:r>
        <w:t>Parking lot</w:t>
      </w:r>
      <w:r>
        <w:tab/>
      </w:r>
      <w:r>
        <w:tab/>
      </w:r>
      <w:r>
        <w:tab/>
      </w:r>
      <w:r>
        <w:tab/>
      </w:r>
      <w:r>
        <w:tab/>
      </w:r>
      <w:r>
        <w:tab/>
      </w:r>
      <w:r>
        <w:tab/>
      </w:r>
      <w:r>
        <w:tab/>
        <w:t>2%</w:t>
      </w:r>
    </w:p>
    <w:p w:rsidR="00DE6234" w:rsidRDefault="00DE6234" w:rsidP="00B55F0D">
      <w:r>
        <w:t>Toll plaza</w:t>
      </w:r>
      <w:r>
        <w:tab/>
      </w:r>
      <w:r>
        <w:tab/>
      </w:r>
      <w:r>
        <w:tab/>
      </w:r>
      <w:r>
        <w:tab/>
      </w:r>
      <w:r>
        <w:tab/>
      </w:r>
      <w:r>
        <w:tab/>
      </w:r>
      <w:r>
        <w:tab/>
      </w:r>
      <w:r>
        <w:tab/>
        <w:t>2%</w:t>
      </w:r>
    </w:p>
    <w:p w:rsidR="00DE6234" w:rsidRDefault="00DE6234" w:rsidP="00B55F0D">
      <w:r>
        <w:t>Mining and quarrying</w:t>
      </w:r>
      <w:r>
        <w:tab/>
      </w:r>
      <w:r>
        <w:tab/>
      </w:r>
      <w:r>
        <w:tab/>
      </w:r>
      <w:r>
        <w:tab/>
      </w:r>
      <w:r>
        <w:tab/>
      </w:r>
      <w:r>
        <w:tab/>
      </w:r>
      <w:r>
        <w:tab/>
        <w:t>2%</w:t>
      </w:r>
    </w:p>
    <w:p w:rsidR="00C279CB" w:rsidRDefault="0019026D" w:rsidP="001A2FAA">
      <w:r w:rsidRPr="001A2FAA">
        <w:rPr>
          <w:b/>
          <w:u w:val="single"/>
        </w:rPr>
        <w:t xml:space="preserve">    </w:t>
      </w:r>
      <w:r w:rsidR="001A2FAA" w:rsidRPr="001A2FAA">
        <w:rPr>
          <w:b/>
          <w:u w:val="single"/>
        </w:rPr>
        <w:t>Note</w:t>
      </w:r>
      <w:r w:rsidR="001A2FAA">
        <w:t>:</w:t>
      </w:r>
    </w:p>
    <w:p w:rsidR="001A2FAA" w:rsidRDefault="00BE004A" w:rsidP="001A2FAA">
      <w:r>
        <w:t>1.</w:t>
      </w:r>
      <w:r w:rsidR="001A2FAA">
        <w:t xml:space="preserve"> Section 206C-Quarterly return is filed in FORM no.27EQ and the due dates are as </w:t>
      </w:r>
      <w:proofErr w:type="spellStart"/>
      <w:r w:rsidR="001A2FAA">
        <w:t>followes</w:t>
      </w:r>
      <w:proofErr w:type="spellEnd"/>
    </w:p>
    <w:p w:rsidR="001A2FAA" w:rsidRDefault="001A2FAA" w:rsidP="001A2FAA">
      <w:r>
        <w:t xml:space="preserve">       I quarter -15</w:t>
      </w:r>
      <w:r w:rsidRPr="001A2FAA">
        <w:rPr>
          <w:vertAlign w:val="superscript"/>
        </w:rPr>
        <w:t>th</w:t>
      </w:r>
      <w:r>
        <w:t xml:space="preserve"> July</w:t>
      </w:r>
    </w:p>
    <w:p w:rsidR="001A2FAA" w:rsidRDefault="001A2FAA" w:rsidP="001A2FAA">
      <w:r>
        <w:t xml:space="preserve">       II Quarter -15</w:t>
      </w:r>
      <w:r w:rsidRPr="001A2FAA">
        <w:rPr>
          <w:vertAlign w:val="superscript"/>
        </w:rPr>
        <w:t>th</w:t>
      </w:r>
      <w:r>
        <w:t xml:space="preserve"> October</w:t>
      </w:r>
    </w:p>
    <w:p w:rsidR="001A2FAA" w:rsidRDefault="001A2FAA" w:rsidP="001A2FAA">
      <w:r>
        <w:t xml:space="preserve">     III Quarter – 15</w:t>
      </w:r>
      <w:r w:rsidRPr="001A2FAA">
        <w:rPr>
          <w:vertAlign w:val="superscript"/>
        </w:rPr>
        <w:t>th</w:t>
      </w:r>
      <w:r>
        <w:t xml:space="preserve"> January</w:t>
      </w:r>
    </w:p>
    <w:p w:rsidR="009713EF" w:rsidRPr="009713EF" w:rsidRDefault="001A2FAA" w:rsidP="001A2FAA">
      <w:r>
        <w:t xml:space="preserve">     Last quarter – on or before 30</w:t>
      </w:r>
      <w:r w:rsidRPr="001A2FAA">
        <w:rPr>
          <w:vertAlign w:val="superscript"/>
        </w:rPr>
        <w:t>th</w:t>
      </w:r>
      <w:r>
        <w:t xml:space="preserve"> April of Financial year</w:t>
      </w:r>
      <w:r w:rsidR="009713EF">
        <w:t xml:space="preserve">               </w:t>
      </w:r>
    </w:p>
    <w:p w:rsidR="00BE004A" w:rsidRDefault="00BE004A" w:rsidP="00BE004A">
      <w:r>
        <w:lastRenderedPageBreak/>
        <w:t>2.</w:t>
      </w:r>
      <w:r w:rsidR="00C279CB">
        <w:t xml:space="preserve"> </w:t>
      </w:r>
      <w:r>
        <w:t xml:space="preserve">AY 2009-10-In case of Individual, HUF if the payment exceeds 10 </w:t>
      </w:r>
      <w:proofErr w:type="spellStart"/>
      <w:r>
        <w:t>lakhs</w:t>
      </w:r>
      <w:proofErr w:type="spellEnd"/>
      <w:r>
        <w:t xml:space="preserve"> –surcharge @10%+EC@2%+SHEC @1% is applicable </w:t>
      </w:r>
    </w:p>
    <w:p w:rsidR="005D46E2" w:rsidRPr="009713EF" w:rsidRDefault="00BE004A" w:rsidP="00BE004A">
      <w:r>
        <w:t xml:space="preserve">   In case of company, firms if the payment exceeds 1 </w:t>
      </w:r>
      <w:proofErr w:type="spellStart"/>
      <w:r>
        <w:t>crore</w:t>
      </w:r>
      <w:proofErr w:type="spellEnd"/>
      <w:r>
        <w:t xml:space="preserve">–surcharge @10%+EC@2%+SHEC @1% is applicable </w:t>
      </w:r>
    </w:p>
    <w:p w:rsidR="00A057D0" w:rsidRDefault="00A057D0" w:rsidP="00A057D0"/>
    <w:p w:rsidR="00A057D0" w:rsidRDefault="00A057D0" w:rsidP="00A057D0"/>
    <w:p w:rsidR="00A057D0" w:rsidRPr="00A057D0" w:rsidRDefault="00A057D0" w:rsidP="00A057D0"/>
    <w:sectPr w:rsidR="00A057D0" w:rsidRPr="00A057D0" w:rsidSect="005A5C3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7ED"/>
    <w:multiLevelType w:val="hybridMultilevel"/>
    <w:tmpl w:val="CB0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01FC9"/>
    <w:multiLevelType w:val="hybridMultilevel"/>
    <w:tmpl w:val="DCA66038"/>
    <w:lvl w:ilvl="0" w:tplc="EF22842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22555CDE"/>
    <w:multiLevelType w:val="hybridMultilevel"/>
    <w:tmpl w:val="A95E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D6538"/>
    <w:multiLevelType w:val="hybridMultilevel"/>
    <w:tmpl w:val="B52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A0CD0"/>
    <w:multiLevelType w:val="hybridMultilevel"/>
    <w:tmpl w:val="1B5C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B6A31"/>
    <w:multiLevelType w:val="hybridMultilevel"/>
    <w:tmpl w:val="67A0DA02"/>
    <w:lvl w:ilvl="0" w:tplc="FE908254">
      <w:start w:val="1"/>
      <w:numFmt w:val="lowerLetter"/>
      <w:lvlText w:val="%1."/>
      <w:lvlJc w:val="left"/>
      <w:pPr>
        <w:ind w:left="2655" w:hanging="360"/>
      </w:pPr>
      <w:rPr>
        <w:rFonts w:hint="default"/>
        <w:b/>
        <w:u w:val="single"/>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6">
    <w:nsid w:val="35E605D1"/>
    <w:multiLevelType w:val="hybridMultilevel"/>
    <w:tmpl w:val="AC584BCE"/>
    <w:lvl w:ilvl="0" w:tplc="AE3A5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9A5C2B"/>
    <w:multiLevelType w:val="hybridMultilevel"/>
    <w:tmpl w:val="31141602"/>
    <w:lvl w:ilvl="0" w:tplc="48929802">
      <w:start w:val="1"/>
      <w:numFmt w:val="lowerLetter"/>
      <w:lvlText w:val="%1."/>
      <w:lvlJc w:val="left"/>
      <w:pPr>
        <w:ind w:left="2700" w:hanging="360"/>
      </w:pPr>
      <w:rPr>
        <w:rFonts w:hint="default"/>
        <w:b/>
        <w:u w:val="single"/>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5FC71289"/>
    <w:multiLevelType w:val="hybridMultilevel"/>
    <w:tmpl w:val="84960F00"/>
    <w:lvl w:ilvl="0" w:tplc="2ECA53F0">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nsid w:val="6A657300"/>
    <w:multiLevelType w:val="hybridMultilevel"/>
    <w:tmpl w:val="97C877CE"/>
    <w:lvl w:ilvl="0" w:tplc="41FE343E">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6D076C82"/>
    <w:multiLevelType w:val="hybridMultilevel"/>
    <w:tmpl w:val="24C4F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ED0FBA"/>
    <w:multiLevelType w:val="hybridMultilevel"/>
    <w:tmpl w:val="D076BC5C"/>
    <w:lvl w:ilvl="0" w:tplc="D7EAEEEE">
      <w:start w:val="7"/>
      <w:numFmt w:val="decimal"/>
      <w:lvlText w:val="%1."/>
      <w:lvlJc w:val="left"/>
      <w:pPr>
        <w:ind w:left="720" w:hanging="360"/>
      </w:pPr>
      <w:rPr>
        <w:rFonts w:asciiTheme="majorHAnsi" w:eastAsiaTheme="majorEastAsia" w:hAnsiTheme="majorHAnsi" w:cstheme="majorBidi" w:hint="default"/>
        <w:b/>
        <w:color w:val="365F91" w:themeColor="accent1" w:themeShade="BF"/>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BE7364"/>
    <w:multiLevelType w:val="hybridMultilevel"/>
    <w:tmpl w:val="FE06C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9"/>
  </w:num>
  <w:num w:numId="5">
    <w:abstractNumId w:val="0"/>
  </w:num>
  <w:num w:numId="6">
    <w:abstractNumId w:val="3"/>
  </w:num>
  <w:num w:numId="7">
    <w:abstractNumId w:val="12"/>
  </w:num>
  <w:num w:numId="8">
    <w:abstractNumId w:val="11"/>
  </w:num>
  <w:num w:numId="9">
    <w:abstractNumId w:val="10"/>
  </w:num>
  <w:num w:numId="10">
    <w:abstractNumId w:val="2"/>
  </w:num>
  <w:num w:numId="11">
    <w:abstractNumId w:val="5"/>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C4B03"/>
    <w:rsid w:val="000151C1"/>
    <w:rsid w:val="00026D9A"/>
    <w:rsid w:val="0010008C"/>
    <w:rsid w:val="00117F7D"/>
    <w:rsid w:val="001606C6"/>
    <w:rsid w:val="0019026D"/>
    <w:rsid w:val="001A2FAA"/>
    <w:rsid w:val="001B799C"/>
    <w:rsid w:val="001C0E0F"/>
    <w:rsid w:val="001D057E"/>
    <w:rsid w:val="001F2F9F"/>
    <w:rsid w:val="0027424D"/>
    <w:rsid w:val="00295554"/>
    <w:rsid w:val="00296242"/>
    <w:rsid w:val="002A5D51"/>
    <w:rsid w:val="0034589E"/>
    <w:rsid w:val="003569CA"/>
    <w:rsid w:val="0039596C"/>
    <w:rsid w:val="004E3E38"/>
    <w:rsid w:val="005138AD"/>
    <w:rsid w:val="00572226"/>
    <w:rsid w:val="005777D8"/>
    <w:rsid w:val="00597D6E"/>
    <w:rsid w:val="005A5C3E"/>
    <w:rsid w:val="005D46E2"/>
    <w:rsid w:val="00625FD6"/>
    <w:rsid w:val="0064705E"/>
    <w:rsid w:val="006F3B11"/>
    <w:rsid w:val="00701B7A"/>
    <w:rsid w:val="007B0C26"/>
    <w:rsid w:val="00802BFB"/>
    <w:rsid w:val="008B18B1"/>
    <w:rsid w:val="008E1A05"/>
    <w:rsid w:val="00954C03"/>
    <w:rsid w:val="009713EF"/>
    <w:rsid w:val="009F22A6"/>
    <w:rsid w:val="00A023DA"/>
    <w:rsid w:val="00A057D0"/>
    <w:rsid w:val="00A324BD"/>
    <w:rsid w:val="00A829CF"/>
    <w:rsid w:val="00A8556C"/>
    <w:rsid w:val="00AA6642"/>
    <w:rsid w:val="00AE2BD3"/>
    <w:rsid w:val="00B55F0D"/>
    <w:rsid w:val="00B97A7F"/>
    <w:rsid w:val="00BE004A"/>
    <w:rsid w:val="00C279CB"/>
    <w:rsid w:val="00C5297C"/>
    <w:rsid w:val="00CF4FC6"/>
    <w:rsid w:val="00D11E7E"/>
    <w:rsid w:val="00D3680C"/>
    <w:rsid w:val="00DE6234"/>
    <w:rsid w:val="00E13805"/>
    <w:rsid w:val="00E1569A"/>
    <w:rsid w:val="00E235C0"/>
    <w:rsid w:val="00EC4B03"/>
    <w:rsid w:val="00F93E97"/>
    <w:rsid w:val="00FC210F"/>
    <w:rsid w:val="00FD00DD"/>
    <w:rsid w:val="00FD7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5" type="connector" idref="#_x0000_s1037"/>
        <o:r id="V:Rule16" type="connector" idref="#_x0000_s1038"/>
        <o:r id="V:Rule17" type="connector" idref="#_x0000_s1043"/>
        <o:r id="V:Rule18" type="connector" idref="#_x0000_s1040"/>
        <o:r id="V:Rule19" type="connector" idref="#_x0000_s1033"/>
        <o:r id="V:Rule20" type="connector" idref="#_x0000_s1039"/>
        <o:r id="V:Rule21" type="connector" idref="#_x0000_s1034"/>
        <o:r id="V:Rule22" type="connector" idref="#_x0000_s1036"/>
        <o:r id="V:Rule23" type="connector" idref="#_x0000_s1030"/>
        <o:r id="V:Rule24" type="connector" idref="#_x0000_s1046"/>
        <o:r id="V:Rule25" type="connector" idref="#_x0000_s1045"/>
        <o:r id="V:Rule26" type="connector" idref="#_x0000_s1031"/>
        <o:r id="V:Rule27" type="connector" idref="#_x0000_s1042"/>
        <o:r id="V:Rule2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0F"/>
  </w:style>
  <w:style w:type="paragraph" w:styleId="Heading1">
    <w:name w:val="heading 1"/>
    <w:basedOn w:val="Normal"/>
    <w:next w:val="Normal"/>
    <w:link w:val="Heading1Char"/>
    <w:uiPriority w:val="9"/>
    <w:qFormat/>
    <w:rsid w:val="00117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9CA"/>
    <w:rPr>
      <w:color w:val="0000FF" w:themeColor="hyperlink"/>
      <w:u w:val="single"/>
    </w:rPr>
  </w:style>
  <w:style w:type="paragraph" w:styleId="NoSpacing">
    <w:name w:val="No Spacing"/>
    <w:uiPriority w:val="1"/>
    <w:qFormat/>
    <w:rsid w:val="00117F7D"/>
    <w:pPr>
      <w:spacing w:after="0" w:line="240" w:lineRule="auto"/>
    </w:pPr>
  </w:style>
  <w:style w:type="character" w:customStyle="1" w:styleId="Heading1Char">
    <w:name w:val="Heading 1 Char"/>
    <w:basedOn w:val="DefaultParagraphFont"/>
    <w:link w:val="Heading1"/>
    <w:uiPriority w:val="9"/>
    <w:rsid w:val="00117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7F7D"/>
    <w:pPr>
      <w:ind w:left="720"/>
      <w:contextualSpacing/>
    </w:pPr>
  </w:style>
  <w:style w:type="paragraph" w:styleId="Title">
    <w:name w:val="Title"/>
    <w:basedOn w:val="Normal"/>
    <w:next w:val="Normal"/>
    <w:link w:val="TitleChar"/>
    <w:uiPriority w:val="10"/>
    <w:qFormat/>
    <w:rsid w:val="001F2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F9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777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A829CF"/>
    <w:rPr>
      <w:b/>
      <w:bCs/>
      <w:i/>
      <w:iCs/>
      <w:color w:val="4F81BD" w:themeColor="accent1"/>
    </w:rPr>
  </w:style>
  <w:style w:type="character" w:styleId="SubtleReference">
    <w:name w:val="Subtle Reference"/>
    <w:basedOn w:val="DefaultParagraphFont"/>
    <w:uiPriority w:val="31"/>
    <w:qFormat/>
    <w:rsid w:val="0027424D"/>
    <w:rPr>
      <w:smallCaps/>
      <w:color w:val="C0504D" w:themeColor="accent2"/>
      <w:u w:val="single"/>
    </w:rPr>
  </w:style>
  <w:style w:type="character" w:customStyle="1" w:styleId="Heading2Char">
    <w:name w:val="Heading 2 Char"/>
    <w:basedOn w:val="DefaultParagraphFont"/>
    <w:link w:val="Heading2"/>
    <w:uiPriority w:val="9"/>
    <w:rsid w:val="0027424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7570414">
      <w:bodyDiv w:val="1"/>
      <w:marLeft w:val="0"/>
      <w:marRight w:val="0"/>
      <w:marTop w:val="0"/>
      <w:marBottom w:val="0"/>
      <w:divBdr>
        <w:top w:val="none" w:sz="0" w:space="0" w:color="auto"/>
        <w:left w:val="none" w:sz="0" w:space="0" w:color="auto"/>
        <w:bottom w:val="none" w:sz="0" w:space="0" w:color="auto"/>
        <w:right w:val="none" w:sz="0" w:space="0" w:color="auto"/>
      </w:divBdr>
    </w:div>
    <w:div w:id="636954985">
      <w:bodyDiv w:val="1"/>
      <w:marLeft w:val="0"/>
      <w:marRight w:val="0"/>
      <w:marTop w:val="0"/>
      <w:marBottom w:val="0"/>
      <w:divBdr>
        <w:top w:val="none" w:sz="0" w:space="0" w:color="auto"/>
        <w:left w:val="none" w:sz="0" w:space="0" w:color="auto"/>
        <w:bottom w:val="none" w:sz="0" w:space="0" w:color="auto"/>
        <w:right w:val="none" w:sz="0" w:space="0" w:color="auto"/>
      </w:divBdr>
    </w:div>
    <w:div w:id="1005473068">
      <w:bodyDiv w:val="1"/>
      <w:marLeft w:val="0"/>
      <w:marRight w:val="0"/>
      <w:marTop w:val="0"/>
      <w:marBottom w:val="0"/>
      <w:divBdr>
        <w:top w:val="none" w:sz="0" w:space="0" w:color="auto"/>
        <w:left w:val="none" w:sz="0" w:space="0" w:color="auto"/>
        <w:bottom w:val="none" w:sz="0" w:space="0" w:color="auto"/>
        <w:right w:val="none" w:sz="0" w:space="0" w:color="auto"/>
      </w:divBdr>
    </w:div>
    <w:div w:id="1421179407">
      <w:bodyDiv w:val="1"/>
      <w:marLeft w:val="0"/>
      <w:marRight w:val="0"/>
      <w:marTop w:val="0"/>
      <w:marBottom w:val="0"/>
      <w:divBdr>
        <w:top w:val="none" w:sz="0" w:space="0" w:color="auto"/>
        <w:left w:val="none" w:sz="0" w:space="0" w:color="auto"/>
        <w:bottom w:val="none" w:sz="0" w:space="0" w:color="auto"/>
        <w:right w:val="none" w:sz="0" w:space="0" w:color="auto"/>
      </w:divBdr>
    </w:div>
    <w:div w:id="16553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w.incometaxindia.gov.in/DitTaxmann/IncomeTaxActs/2009ITAct/ftn10section1.htm" TargetMode="External"/><Relationship Id="rId5" Type="http://schemas.openxmlformats.org/officeDocument/2006/relationships/hyperlink" Target="http://www.docstoc.com/docs/15138542/Direct-ta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12</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dc:creator>
  <cp:keywords/>
  <dc:description/>
  <cp:lastModifiedBy>sap</cp:lastModifiedBy>
  <cp:revision>38</cp:revision>
  <dcterms:created xsi:type="dcterms:W3CDTF">2009-12-29T06:54:00Z</dcterms:created>
  <dcterms:modified xsi:type="dcterms:W3CDTF">2010-01-08T10:52:00Z</dcterms:modified>
</cp:coreProperties>
</file>