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0D7377" w:sz="6" w:space="8"/>
        </w:pBdr>
        <w:spacing w:after="80"/>
      </w:pPr>
      <w:r>
        <w:rPr>
          <w:rFonts w:ascii="Georgia" w:cs="Georgia" w:eastAsia="Georgia" w:hAnsi="Georgia"/>
          <w:b/>
          <w:bCs/>
          <w:color w:val="1B2A4A"/>
          <w:sz w:val="52"/>
          <w:szCs w:val="52"/>
        </w:rPr>
        <w:t xml:space="preserve">METRIC STORE</w:t>
      </w:r>
    </w:p>
    <w:p>
      <w:pPr>
        <w:spacing w:after="40"/>
      </w:pPr>
      <w:r>
        <w:rPr>
          <w:rFonts w:ascii="Georgia" w:cs="Georgia" w:eastAsia="Georgia" w:hAnsi="Georgia"/>
          <w:color w:val="0D7377"/>
          <w:sz w:val="44"/>
          <w:szCs w:val="44"/>
        </w:rPr>
        <w:t xml:space="preserve">STRATEGIC FRAMEWORK</w:t>
      </w:r>
    </w:p>
    <w:p>
      <w:pPr>
        <w:spacing w:after="200"/>
      </w:pPr>
    </w:p>
    <w:p>
      <w:pPr>
        <w:spacing w:after="120"/>
      </w:pPr>
      <w:r>
        <w:rPr>
          <w:rFonts w:ascii="Arial" w:cs="Arial" w:eastAsia="Arial" w:hAnsi="Arial"/>
          <w:color w:val="666666"/>
          <w:sz w:val="24"/>
          <w:szCs w:val="24"/>
        </w:rPr>
        <w:t xml:space="preserve">Unified Metric Platform for Retail &amp; Commercial Banking</w:t>
      </w:r>
    </w:p>
    <w:p>
      <w:pPr>
        <w:spacing w:after="80"/>
      </w:pPr>
      <w:r>
        <w:rPr>
          <w:rFonts w:ascii="Arial" w:cs="Arial" w:eastAsia="Arial" w:hAnsi="Arial"/>
          <w:i/>
          <w:iCs/>
          <w:color w:val="666666"/>
          <w:sz w:val="22"/>
          <w:szCs w:val="22"/>
        </w:rPr>
        <w:t xml:space="preserve">Centralized Definition · Governed Approval · GraphQL Access</w:t>
      </w:r>
    </w:p>
    <w:p>
      <w:pPr>
        <w:spacing w:after="800"/>
      </w:pPr>
    </w:p>
    <w:p>
      <w:r>
        <w:rPr>
          <w:rFonts w:ascii="Arial" w:cs="Arial" w:eastAsia="Arial" w:hAnsi="Arial"/>
          <w:b/>
          <w:bCs/>
          <w:color w:val="C49A2E"/>
          <w:sz w:val="22"/>
          <w:szCs w:val="22"/>
        </w:rPr>
        <w:t xml:space="preserve">CONFIDENTIAL</w:t>
      </w:r>
    </w:p>
    <w:p>
      <w:pPr>
        <w:spacing w:after="40"/>
      </w:pPr>
      <w:r>
        <w:rPr>
          <w:rFonts w:ascii="Arial" w:cs="Arial" w:eastAsia="Arial" w:hAnsi="Arial"/>
          <w:color w:val="666666"/>
          <w:sz w:val="20"/>
          <w:szCs w:val="20"/>
        </w:rPr>
        <w:t xml:space="preserve">March 2026 | v1.0</w:t>
      </w:r>
    </w:p>
    <w:p>
      <w:pPr>
        <w:sectPr>
          <w:pgSz w:w="12240" w:h="15840" w:orient="portrait"/>
          <w:pgMar w:top="1440" w:right="1440" w:bottom="1440" w:left="1440" w:header="708" w:footer="708" w:gutter="0"/>
          <w:pgNumType/>
          <w:docGrid w:linePitch="360"/>
        </w:sectPr>
      </w:pPr>
    </w:p>
    <w:p>
      <w:pPr>
        <w:spacing w:after="300"/>
      </w:pPr>
      <w:r>
        <w:rPr>
          <w:rFonts w:ascii="Georgia" w:cs="Georgia" w:eastAsia="Georgia" w:hAnsi="Georgia"/>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200"/>
      </w:pPr>
      <w:r>
        <w:rPr>
          <w:rFonts w:ascii="Georgia" w:cs="Georgia" w:eastAsia="Georgia" w:hAnsi="Georgia"/>
          <w:b/>
          <w:bCs/>
          <w:color w:val="1B2A4A"/>
          <w:sz w:val="32"/>
          <w:szCs w:val="32"/>
        </w:rPr>
        <w:t xml:space="preserve">1. Executive Summary</w:t>
      </w:r>
    </w:p>
    <w:p>
      <w:pPr>
        <w:pBdr>
          <w:bottom w:val="single" w:color="0D7377" w:sz="4" w:space="1"/>
        </w:pBdr>
        <w:spacing w:after="200"/>
      </w:pPr>
    </w:p>
    <w:p>
      <w:pPr>
        <w:spacing w:after="160" w:line="276"/>
      </w:pPr>
      <w:r>
        <w:rPr>
          <w:rFonts w:ascii="Arial" w:cs="Arial" w:eastAsia="Arial" w:hAnsi="Arial"/>
          <w:color w:val="2C2C2C"/>
          <w:sz w:val="21"/>
          <w:szCs w:val="21"/>
        </w:rPr>
        <w:t xml:space="preserve">This document presents a strategic framework for implementing a bank-wide Metric Store: a unified platform where business-critical metrics are defined once, governed through structured approval workflows, and consumed through a single GraphQL API layer. The initiative addresses a pervasive challenge across retail and commercial banking—metric fragmentation—where the same business metric exists in multiple conflicting versions across Excel workbooks, SQL scripts, BI dashboards, and regulatory reports.</w:t>
      </w:r>
    </w:p>
    <w:p>
      <w:pPr>
        <w:spacing w:after="160" w:line="276"/>
      </w:pPr>
      <w:r>
        <w:rPr>
          <w:rFonts w:ascii="Arial" w:cs="Arial" w:eastAsia="Arial" w:hAnsi="Arial"/>
          <w:color w:val="2C2C2C"/>
          <w:sz w:val="21"/>
          <w:szCs w:val="21"/>
        </w:rPr>
        <w:t xml:space="preserve">The Metric Store draws inspiration from Uber’s uMetric platform, adapted for the unique demands of financial services: regulatory compliance, audit trail requirements, multi-entity governance, and the critical need for consistency between internal reporting, external disclosures, and supervisory filings.</w:t>
      </w:r>
    </w:p>
    <w:p>
      <w:pPr>
        <w:pStyle w:val="Heading2"/>
        <w:spacing w:before="300" w:after="160"/>
      </w:pPr>
      <w:r>
        <w:rPr>
          <w:rFonts w:ascii="Georgia" w:cs="Georgia" w:eastAsia="Georgia" w:hAnsi="Georgia"/>
          <w:b/>
          <w:bCs/>
          <w:color w:val="0D7377"/>
          <w:sz w:val="26"/>
          <w:szCs w:val="26"/>
        </w:rPr>
        <w:t xml:space="preserve">1.1 The Cost of Metric Fragmentation</w:t>
      </w:r>
    </w:p>
    <w:p>
      <w:pPr>
        <w:spacing w:after="160" w:line="276"/>
      </w:pPr>
      <w:r>
        <w:rPr>
          <w:rFonts w:ascii="Arial" w:cs="Arial" w:eastAsia="Arial" w:hAnsi="Arial"/>
          <w:color w:val="2C2C2C"/>
          <w:sz w:val="21"/>
          <w:szCs w:val="21"/>
        </w:rPr>
        <w:t xml:space="preserve">In a typical retail/commercial bank, the same metric—such as “Net Interest Margin” or “30+ Day Delinquency Rate”—may be computed differently by the Finance team, the Risk team, the line of business, and the data warehouse team. This creates:</w:t>
      </w:r>
    </w:p>
    <w:p>
      <w:pPr>
        <w:pStyle w:val="ListParagraph"/>
        <w:numPr>
          <w:ilvl w:val="0"/>
          <w:numId w:val="2"/>
        </w:numPr>
        <w:spacing w:after="80" w:line="276"/>
      </w:pPr>
      <w:r>
        <w:rPr>
          <w:rFonts w:ascii="Arial" w:cs="Arial" w:eastAsia="Arial" w:hAnsi="Arial"/>
          <w:b/>
          <w:bCs/>
          <w:color w:val="2C2C2C"/>
          <w:sz w:val="21"/>
          <w:szCs w:val="21"/>
        </w:rPr>
        <w:t xml:space="preserve">Regulatory risk: </w:t>
      </w:r>
      <w:r>
        <w:rPr>
          <w:rFonts w:ascii="Arial" w:cs="Arial" w:eastAsia="Arial" w:hAnsi="Arial"/>
          <w:color w:val="2C2C2C"/>
          <w:sz w:val="21"/>
          <w:szCs w:val="21"/>
        </w:rPr>
        <w:t xml:space="preserve">Inconsistent figures across Call Reports, Basel III disclosures, and internal board reporting can trigger MRA/MRIAs from examiners.</w:t>
      </w:r>
    </w:p>
    <w:p>
      <w:pPr>
        <w:pStyle w:val="ListParagraph"/>
        <w:numPr>
          <w:ilvl w:val="0"/>
          <w:numId w:val="2"/>
        </w:numPr>
        <w:spacing w:after="80" w:line="276"/>
      </w:pPr>
      <w:r>
        <w:rPr>
          <w:rFonts w:ascii="Arial" w:cs="Arial" w:eastAsia="Arial" w:hAnsi="Arial"/>
          <w:b/>
          <w:bCs/>
          <w:color w:val="2C2C2C"/>
          <w:sz w:val="21"/>
          <w:szCs w:val="21"/>
        </w:rPr>
        <w:t xml:space="preserve">Operational waste: </w:t>
      </w:r>
      <w:r>
        <w:rPr>
          <w:rFonts w:ascii="Arial" w:cs="Arial" w:eastAsia="Arial" w:hAnsi="Arial"/>
          <w:color w:val="2C2C2C"/>
          <w:sz w:val="21"/>
          <w:szCs w:val="21"/>
        </w:rPr>
        <w:t xml:space="preserve">Data teams spend 40–60% of their time reconciling metric discrepancies rather than generating insights.</w:t>
      </w:r>
    </w:p>
    <w:p>
      <w:pPr>
        <w:pStyle w:val="ListParagraph"/>
        <w:numPr>
          <w:ilvl w:val="0"/>
          <w:numId w:val="2"/>
        </w:numPr>
        <w:spacing w:after="80" w:line="276"/>
      </w:pPr>
      <w:r>
        <w:rPr>
          <w:rFonts w:ascii="Arial" w:cs="Arial" w:eastAsia="Arial" w:hAnsi="Arial"/>
          <w:b/>
          <w:bCs/>
          <w:color w:val="2C2C2C"/>
          <w:sz w:val="21"/>
          <w:szCs w:val="21"/>
        </w:rPr>
        <w:t xml:space="preserve">Decision latency: </w:t>
      </w:r>
      <w:r>
        <w:rPr>
          <w:rFonts w:ascii="Arial" w:cs="Arial" w:eastAsia="Arial" w:hAnsi="Arial"/>
          <w:color w:val="2C2C2C"/>
          <w:sz w:val="21"/>
          <w:szCs w:val="21"/>
        </w:rPr>
        <w:t xml:space="preserve">Leadership cannot trust dashboards, defaulting to manual Excel reconciliation for critical decisions.</w:t>
      </w:r>
    </w:p>
    <w:p>
      <w:pPr>
        <w:pStyle w:val="ListParagraph"/>
        <w:numPr>
          <w:ilvl w:val="0"/>
          <w:numId w:val="2"/>
        </w:numPr>
        <w:spacing w:after="80" w:line="276"/>
      </w:pPr>
      <w:r>
        <w:rPr>
          <w:rFonts w:ascii="Arial" w:cs="Arial" w:eastAsia="Arial" w:hAnsi="Arial"/>
          <w:b/>
          <w:bCs/>
          <w:color w:val="2C2C2C"/>
          <w:sz w:val="21"/>
          <w:szCs w:val="21"/>
        </w:rPr>
        <w:t xml:space="preserve">Audit exposure: </w:t>
      </w:r>
      <w:r>
        <w:rPr>
          <w:rFonts w:ascii="Arial" w:cs="Arial" w:eastAsia="Arial" w:hAnsi="Arial"/>
          <w:color w:val="2C2C2C"/>
          <w:sz w:val="21"/>
          <w:szCs w:val="21"/>
        </w:rPr>
        <w:t xml:space="preserve">Lack of lineage and change history for metric definitions creates gaps in SOX and model risk documentation.</w:t>
      </w:r>
    </w:p>
    <w:p>
      <w:pPr>
        <w:spacing w:after="120"/>
      </w:pPr>
    </w:p>
    <w:p>
      <w:pPr>
        <w:pStyle w:val="Heading2"/>
        <w:spacing w:before="300" w:after="160"/>
      </w:pPr>
      <w:r>
        <w:rPr>
          <w:rFonts w:ascii="Georgia" w:cs="Georgia" w:eastAsia="Georgia" w:hAnsi="Georgia"/>
          <w:b/>
          <w:bCs/>
          <w:color w:val="0D7377"/>
          <w:sz w:val="26"/>
          <w:szCs w:val="26"/>
        </w:rPr>
        <w:t xml:space="preserve">1.2 Vision Statement</w:t>
      </w:r>
    </w:p>
    <w:p>
      <w:pPr>
        <w:spacing w:after="160" w:line="276"/>
      </w:pPr>
      <w:r>
        <w:rPr>
          <w:rFonts w:ascii="Arial" w:cs="Arial" w:eastAsia="Arial" w:hAnsi="Arial"/>
          <w:color w:val="2C2C2C"/>
          <w:sz w:val="21"/>
          <w:szCs w:val="21"/>
        </w:rPr>
        <w:t xml:space="preserve">Any authorized user at the bank can discover, understand, and consume any business metric through a single platform—with full confidence that the number they see is the same number every other consumer sees, computed from an approved definition with complete audit lineage.</w:t>
      </w:r>
    </w:p>
    <w:p>
      <w:r>
        <w:br w:type="page"/>
      </w:r>
    </w:p>
    <w:p>
      <w:pPr>
        <w:pStyle w:val="Heading1"/>
        <w:spacing w:before="400" w:after="200"/>
      </w:pPr>
      <w:r>
        <w:rPr>
          <w:rFonts w:ascii="Georgia" w:cs="Georgia" w:eastAsia="Georgia" w:hAnsi="Georgia"/>
          <w:b/>
          <w:bCs/>
          <w:color w:val="1B2A4A"/>
          <w:sz w:val="32"/>
          <w:szCs w:val="32"/>
        </w:rPr>
        <w:t xml:space="preserve">2. Current State Assessment</w:t>
      </w:r>
    </w:p>
    <w:p>
      <w:pPr>
        <w:pBdr>
          <w:bottom w:val="single" w:color="0D7377" w:sz="4" w:space="1"/>
        </w:pBdr>
        <w:spacing w:after="200"/>
      </w:pPr>
    </w:p>
    <w:p>
      <w:pPr>
        <w:spacing w:after="160" w:line="276"/>
      </w:pPr>
      <w:r>
        <w:rPr>
          <w:rFonts w:ascii="Arial" w:cs="Arial" w:eastAsia="Arial" w:hAnsi="Arial"/>
          <w:color w:val="2C2C2C"/>
          <w:sz w:val="21"/>
          <w:szCs w:val="21"/>
        </w:rPr>
        <w:t xml:space="preserve">The following characterizes the typical metric landscape at a retail/commercial bank operating without a centralized metric platform:</w:t>
      </w:r>
    </w:p>
    <w:p>
      <w:pPr>
        <w:pStyle w:val="Heading2"/>
        <w:spacing w:before="300" w:after="160"/>
      </w:pPr>
      <w:r>
        <w:rPr>
          <w:rFonts w:ascii="Georgia" w:cs="Georgia" w:eastAsia="Georgia" w:hAnsi="Georgia"/>
          <w:b/>
          <w:bCs/>
          <w:color w:val="0D7377"/>
          <w:sz w:val="26"/>
          <w:szCs w:val="26"/>
        </w:rPr>
        <w:t xml:space="preserve">2.1 Fragmentation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 Domain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Owners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Locations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Net Interest Margin (NIM)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Treasury, Finance, FP&amp;A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Excel models, Essbase, Axiom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High – regulatory</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Loan Delinquency Rates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Credit Risk, Collections, LOB</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SAS scripts, Tableau, Excel</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High – regulatory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Cost-to-Income Ratio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Finance, COO office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Hyperion, PowerBI, spreadsheets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Medium – board reporting</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Customer Acquisition Cost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Marketing, Digital, Retail</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Google Analytics, SQL, Salesforce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Medium – strategic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Branch Transaction Volume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Operations, Retail Banking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Core banking extracts, Excel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Low–Medium</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Deposit Growth Rate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Treasury, LOB Heads, IR</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ALM system, Excel, data warehouse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High – regulatory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Net Promoter Score (NPS)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CX team, Digital, Branches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Survey tools, PowerBI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Low – operational</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Provision Coverage Ratio</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Credit Risk, Finance</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CECL models, Excel, GL</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High – regulatory</w:t>
            </w:r>
          </w:p>
        </w:tc>
      </w:tr>
    </w:tbl>
    <w:p>
      <w:pPr>
        <w:spacing w:after="120"/>
      </w:pPr>
    </w:p>
    <w:p>
      <w:pPr>
        <w:pStyle w:val="Heading2"/>
        <w:spacing w:before="300" w:after="160"/>
      </w:pPr>
      <w:r>
        <w:rPr>
          <w:rFonts w:ascii="Georgia" w:cs="Georgia" w:eastAsia="Georgia" w:hAnsi="Georgia"/>
          <w:b/>
          <w:bCs/>
          <w:color w:val="0D7377"/>
          <w:sz w:val="26"/>
          <w:szCs w:val="26"/>
        </w:rPr>
        <w:t xml:space="preserve">2.2 Root Causes</w:t>
      </w:r>
    </w:p>
    <w:p>
      <w:pPr>
        <w:pStyle w:val="ListParagraph"/>
        <w:numPr>
          <w:ilvl w:val="0"/>
          <w:numId w:val="3"/>
        </w:numPr>
        <w:spacing w:after="80" w:line="276"/>
      </w:pPr>
      <w:r>
        <w:rPr>
          <w:rFonts w:ascii="Arial" w:cs="Arial" w:eastAsia="Arial" w:hAnsi="Arial"/>
          <w:color w:val="2C2C2C"/>
          <w:sz w:val="21"/>
          <w:szCs w:val="21"/>
        </w:rPr>
        <w:t xml:space="preserve">No single source of truth for metric definitions—business logic lives in people’s heads and scattered SQL files.</w:t>
      </w:r>
    </w:p>
    <w:p>
      <w:pPr>
        <w:pStyle w:val="ListParagraph"/>
        <w:numPr>
          <w:ilvl w:val="0"/>
          <w:numId w:val="3"/>
        </w:numPr>
        <w:spacing w:after="80" w:line="276"/>
      </w:pPr>
      <w:r>
        <w:rPr>
          <w:rFonts w:ascii="Arial" w:cs="Arial" w:eastAsia="Arial" w:hAnsi="Arial"/>
          <w:color w:val="2C2C2C"/>
          <w:sz w:val="21"/>
          <w:szCs w:val="21"/>
        </w:rPr>
        <w:t xml:space="preserve">Siloed technology stacks per department (Risk uses SAS, Finance uses Axiom/Hyperion, Marketing uses cloud tools).</w:t>
      </w:r>
    </w:p>
    <w:p>
      <w:pPr>
        <w:pStyle w:val="ListParagraph"/>
        <w:numPr>
          <w:ilvl w:val="0"/>
          <w:numId w:val="3"/>
        </w:numPr>
        <w:spacing w:after="80" w:line="276"/>
      </w:pPr>
      <w:r>
        <w:rPr>
          <w:rFonts w:ascii="Arial" w:cs="Arial" w:eastAsia="Arial" w:hAnsi="Arial"/>
          <w:color w:val="2C2C2C"/>
          <w:sz w:val="21"/>
          <w:szCs w:val="21"/>
        </w:rPr>
        <w:t xml:space="preserve">No formal change management for metric logic—a formula change in an Excel workbook has no review process.</w:t>
      </w:r>
    </w:p>
    <w:p>
      <w:pPr>
        <w:pStyle w:val="ListParagraph"/>
        <w:numPr>
          <w:ilvl w:val="0"/>
          <w:numId w:val="3"/>
        </w:numPr>
        <w:spacing w:after="80" w:line="276"/>
      </w:pPr>
      <w:r>
        <w:rPr>
          <w:rFonts w:ascii="Arial" w:cs="Arial" w:eastAsia="Arial" w:hAnsi="Arial"/>
          <w:color w:val="2C2C2C"/>
          <w:sz w:val="21"/>
          <w:szCs w:val="21"/>
        </w:rPr>
        <w:t xml:space="preserve">No lineage tracking from source data through transformations to final metric output.</w:t>
      </w:r>
    </w:p>
    <w:p>
      <w:pPr>
        <w:pStyle w:val="ListParagraph"/>
        <w:numPr>
          <w:ilvl w:val="0"/>
          <w:numId w:val="3"/>
        </w:numPr>
        <w:spacing w:after="80" w:line="276"/>
      </w:pPr>
      <w:r>
        <w:rPr>
          <w:rFonts w:ascii="Arial" w:cs="Arial" w:eastAsia="Arial" w:hAnsi="Arial"/>
          <w:color w:val="2C2C2C"/>
          <w:sz w:val="21"/>
          <w:szCs w:val="21"/>
        </w:rPr>
        <w:t xml:space="preserve">Access control is ad hoc—sensitive metrics (e.g., CECL provisions) may be accessible to unauthorized users or inaccessible to those who need them.</w:t>
      </w:r>
    </w:p>
    <w:p>
      <w:r>
        <w:br w:type="page"/>
      </w:r>
    </w:p>
    <w:p>
      <w:pPr>
        <w:pStyle w:val="Heading1"/>
        <w:spacing w:before="400" w:after="200"/>
      </w:pPr>
      <w:r>
        <w:rPr>
          <w:rFonts w:ascii="Georgia" w:cs="Georgia" w:eastAsia="Georgia" w:hAnsi="Georgia"/>
          <w:b/>
          <w:bCs/>
          <w:color w:val="1B2A4A"/>
          <w:sz w:val="32"/>
          <w:szCs w:val="32"/>
        </w:rPr>
        <w:t xml:space="preserve">3. Proposed Architecture: BankMetric</w:t>
      </w:r>
    </w:p>
    <w:p>
      <w:pPr>
        <w:pBdr>
          <w:bottom w:val="single" w:color="0D7377" w:sz="4" w:space="1"/>
        </w:pBdr>
        <w:spacing w:after="200"/>
      </w:pPr>
    </w:p>
    <w:p>
      <w:pPr>
        <w:spacing w:after="160" w:line="276"/>
      </w:pPr>
      <w:r>
        <w:rPr>
          <w:rFonts w:ascii="Arial" w:cs="Arial" w:eastAsia="Arial" w:hAnsi="Arial"/>
          <w:color w:val="2C2C2C"/>
          <w:sz w:val="21"/>
          <w:szCs w:val="21"/>
        </w:rPr>
        <w:t xml:space="preserve">We propose BankMetric—a unified metric platform built around six pillars, adapted from Uber’s uMetric model for financial services requirements.</w:t>
      </w:r>
    </w:p>
    <w:p>
      <w:pPr>
        <w:pStyle w:val="Heading2"/>
        <w:spacing w:before="300" w:after="160"/>
      </w:pPr>
      <w:r>
        <w:rPr>
          <w:rFonts w:ascii="Georgia" w:cs="Georgia" w:eastAsia="Georgia" w:hAnsi="Georgia"/>
          <w:b/>
          <w:bCs/>
          <w:color w:val="0D7377"/>
          <w:sz w:val="26"/>
          <w:szCs w:val="26"/>
        </w:rPr>
        <w:t xml:space="preserve">3.1 Platform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Banking Adaptation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Definition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Single place to author metric logic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SQL + natural language descriptions; maps to regulatory concepts (FR Y-9C line items, Call Report fields)</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Discovery</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Search and browse all metrics</w:t>
            </w:r>
          </w:p>
        </w:tc>
        <w:tc>
          <w:tcPr>
            <w:tcW w:type="dxa" w:w="5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Catalog with regulatory classification tags, LOB ownership, materiality tier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Governance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Approval workflows and change control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Dual-approval with before/after diff; committee sign-off for Tier 1 metrics; full audit trail</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Computation</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Reliable batch and real-time pipelines</w:t>
            </w:r>
          </w:p>
        </w:tc>
        <w:tc>
          <w:tcPr>
            <w:tcW w:type="dxa" w:w="5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Scheduled runs aligned with regulatory calendars; intraday for ALM/liquidity metrics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Quality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Automated data quality checks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Freshness, cross-source reconciliation, tolerance thresholds, BCBS 239 compliance checks</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Consumption</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Standardized API access</w:t>
            </w:r>
          </w:p>
        </w:tc>
        <w:tc>
          <w:tcPr>
            <w:tcW w:type="dxa" w:w="5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GraphQL gateway with role-based access; feeds dashboards, regulatory reports, ML models, and ad hoc analysis</w:t>
            </w:r>
          </w:p>
        </w:tc>
      </w:tr>
    </w:tbl>
    <w:p>
      <w:pPr>
        <w:spacing w:after="120"/>
      </w:pPr>
    </w:p>
    <w:p>
      <w:pPr>
        <w:pStyle w:val="Heading2"/>
        <w:spacing w:before="300" w:after="160"/>
      </w:pPr>
      <w:r>
        <w:rPr>
          <w:rFonts w:ascii="Georgia" w:cs="Georgia" w:eastAsia="Georgia" w:hAnsi="Georgia"/>
          <w:b/>
          <w:bCs/>
          <w:color w:val="0D7377"/>
          <w:sz w:val="26"/>
          <w:szCs w:val="26"/>
        </w:rPr>
        <w:t xml:space="preserve">3.2 Metric Definition Model</w:t>
      </w:r>
    </w:p>
    <w:p>
      <w:pPr>
        <w:spacing w:after="160" w:line="276"/>
      </w:pPr>
      <w:r>
        <w:rPr>
          <w:rFonts w:ascii="Arial" w:cs="Arial" w:eastAsia="Arial" w:hAnsi="Arial"/>
          <w:color w:val="2C2C2C"/>
          <w:sz w:val="21"/>
          <w:szCs w:val="21"/>
        </w:rPr>
        <w:t xml:space="preserve">The definition model is the heart of the platform. Every metric is decomposed into three layers, mirroring Uber’s approach but extended for banking:</w:t>
      </w:r>
    </w:p>
    <w:p>
      <w:pPr>
        <w:spacing w:before="200" w:after="120"/>
      </w:pPr>
      <w:r>
        <w:rPr>
          <w:rFonts w:ascii="Arial" w:cs="Arial" w:eastAsia="Arial" w:hAnsi="Arial"/>
          <w:b/>
          <w:bCs/>
          <w:color w:val="1B2A4A"/>
          <w:sz w:val="22"/>
          <w:szCs w:val="22"/>
        </w:rPr>
        <w:t xml:space="preserve">Layer 1: Source View</w:t>
      </w:r>
    </w:p>
    <w:p>
      <w:pPr>
        <w:spacing w:after="160" w:line="276"/>
      </w:pPr>
      <w:r>
        <w:rPr>
          <w:rFonts w:ascii="Arial" w:cs="Arial" w:eastAsia="Arial" w:hAnsi="Arial"/>
          <w:color w:val="2C2C2C"/>
          <w:sz w:val="21"/>
          <w:szCs w:val="21"/>
        </w:rPr>
        <w:t xml:space="preserve">A unified abstraction over the bank’s underlying data stores. A single source view unifies access to the same data whether it sits in the core banking system (e.g., FIS, Fiserv), the enterprise data warehouse, a Hadoop/Spark cluster, or a real-time streaming layer. This eliminates the problem of teams building different metrics because they point at different copies of the same data.</w:t>
      </w:r>
    </w:p>
    <w:p>
      <w:pPr>
        <w:spacing w:before="200" w:after="120"/>
      </w:pPr>
      <w:r>
        <w:rPr>
          <w:rFonts w:ascii="Arial" w:cs="Arial" w:eastAsia="Arial" w:hAnsi="Arial"/>
          <w:b/>
          <w:bCs/>
          <w:color w:val="1B2A4A"/>
          <w:sz w:val="22"/>
          <w:szCs w:val="22"/>
        </w:rPr>
        <w:t xml:space="preserve">Layer 2: Metric Logic</w:t>
      </w:r>
    </w:p>
    <w:p>
      <w:pPr>
        <w:spacing w:after="160" w:line="276"/>
      </w:pPr>
      <w:r>
        <w:rPr>
          <w:rFonts w:ascii="Arial" w:cs="Arial" w:eastAsia="Arial" w:hAnsi="Arial"/>
          <w:color w:val="2C2C2C"/>
          <w:sz w:val="21"/>
          <w:szCs w:val="21"/>
        </w:rPr>
        <w:t xml:space="preserve">The actual business calculation expressed in SQL, along with rich metadata: the metric owner, LOB, regulatory mapping, materiality tier, description in plain English, and any relevant interpretive notes. For example:</w:t>
      </w:r>
    </w:p>
    <w:p>
      <w:pPr>
        <w:shd w:fill="F4F6F8" w:val="clear"/>
        <w:spacing w:after="160"/>
        <w:ind w:left="360" w:right="360"/>
      </w:pPr>
      <w:r>
        <w:rPr>
          <w:rFonts w:ascii="Consolas" w:cs="Consolas" w:eastAsia="Consolas" w:hAnsi="Consolas"/>
          <w:b/>
          <w:bCs/>
          <w:color w:val="0D7377"/>
          <w:sz w:val="20"/>
          <w:szCs w:val="20"/>
        </w:rPr>
        <w:t xml:space="preserve">Metric: </w:t>
      </w:r>
      <w:r>
        <w:rPr>
          <w:rFonts w:ascii="Consolas" w:cs="Consolas" w:eastAsia="Consolas" w:hAnsi="Consolas"/>
          <w:color w:val="2C2C2C"/>
          <w:sz w:val="20"/>
          <w:szCs w:val="20"/>
        </w:rPr>
        <w:t xml:space="preserve">net_interest_margin</w:t>
      </w:r>
    </w:p>
    <w:p>
      <w:pPr>
        <w:shd w:fill="F4F6F8" w:val="clear"/>
        <w:spacing w:after="160"/>
        <w:ind w:left="360" w:right="360"/>
      </w:pPr>
      <w:r>
        <w:rPr>
          <w:rFonts w:ascii="Consolas" w:cs="Consolas" w:eastAsia="Consolas" w:hAnsi="Consolas"/>
          <w:b/>
          <w:bCs/>
          <w:color w:val="0D7377"/>
          <w:sz w:val="20"/>
          <w:szCs w:val="20"/>
        </w:rPr>
        <w:t xml:space="preserve">Logic: </w:t>
      </w:r>
      <w:r>
        <w:rPr>
          <w:rFonts w:ascii="Consolas" w:cs="Consolas" w:eastAsia="Consolas" w:hAnsi="Consolas"/>
          <w:color w:val="2C2C2C"/>
          <w:sz w:val="20"/>
          <w:szCs w:val="20"/>
        </w:rPr>
        <w:t xml:space="preserve">(interest_income - interest_expense) / avg_earning_assets</w:t>
      </w:r>
    </w:p>
    <w:p>
      <w:pPr>
        <w:shd w:fill="F4F6F8" w:val="clear"/>
        <w:spacing w:after="160"/>
        <w:ind w:left="360" w:right="360"/>
      </w:pPr>
      <w:r>
        <w:rPr>
          <w:rFonts w:ascii="Consolas" w:cs="Consolas" w:eastAsia="Consolas" w:hAnsi="Consolas"/>
          <w:b/>
          <w:bCs/>
          <w:color w:val="0D7377"/>
          <w:sz w:val="20"/>
          <w:szCs w:val="20"/>
        </w:rPr>
        <w:t xml:space="preserve">Regulatory Map: </w:t>
      </w:r>
      <w:r>
        <w:rPr>
          <w:rFonts w:ascii="Consolas" w:cs="Consolas" w:eastAsia="Consolas" w:hAnsi="Consolas"/>
          <w:color w:val="2C2C2C"/>
          <w:sz w:val="20"/>
          <w:szCs w:val="20"/>
        </w:rPr>
        <w:t xml:space="preserve">Call Report Schedule RI, Line Items 1.a through 1.h</w:t>
      </w:r>
    </w:p>
    <w:p>
      <w:pPr>
        <w:spacing w:before="200" w:after="120"/>
      </w:pPr>
      <w:r>
        <w:rPr>
          <w:rFonts w:ascii="Arial" w:cs="Arial" w:eastAsia="Arial" w:hAnsi="Arial"/>
          <w:b/>
          <w:bCs/>
          <w:color w:val="1B2A4A"/>
          <w:sz w:val="22"/>
          <w:szCs w:val="22"/>
        </w:rPr>
        <w:t xml:space="preserve">Layer 3: Dimensions &amp; Filters (Runtime)</w:t>
      </w:r>
    </w:p>
    <w:p>
      <w:pPr>
        <w:spacing w:after="160" w:line="276"/>
      </w:pPr>
      <w:r>
        <w:rPr>
          <w:rFonts w:ascii="Arial" w:cs="Arial" w:eastAsia="Arial" w:hAnsi="Arial"/>
          <w:color w:val="2C2C2C"/>
          <w:sz w:val="21"/>
          <w:szCs w:val="21"/>
        </w:rPr>
        <w:t xml:space="preserve">Consumers supply dimensions (GROUP BY) and filters (WHERE) at query time through the GraphQL API rather than creating named variants. Instead of 200 separate metrics like “NIM for Retail”, “NIM for Commercial”, “NIM for Region East”, etc., there is one net_interest_margin metric that accepts parameters: LOB, region, product_type, time_grain, as_of_date.</w:t>
      </w:r>
    </w:p>
    <w:p>
      <w:pPr>
        <w:spacing w:after="120"/>
      </w:pPr>
    </w:p>
    <w:p>
      <w:pPr>
        <w:pStyle w:val="Heading2"/>
        <w:spacing w:before="300" w:after="160"/>
      </w:pPr>
      <w:r>
        <w:rPr>
          <w:rFonts w:ascii="Georgia" w:cs="Georgia" w:eastAsia="Georgia" w:hAnsi="Georgia"/>
          <w:b/>
          <w:bCs/>
          <w:color w:val="0D7377"/>
          <w:sz w:val="26"/>
          <w:szCs w:val="26"/>
        </w:rPr>
        <w:t xml:space="preserve">3.3 Governance &amp; Approval Workflow</w:t>
      </w:r>
    </w:p>
    <w:p>
      <w:pPr>
        <w:spacing w:after="160" w:line="276"/>
      </w:pPr>
      <w:r>
        <w:rPr>
          <w:rFonts w:ascii="Arial" w:cs="Arial" w:eastAsia="Arial" w:hAnsi="Arial"/>
          <w:color w:val="2C2C2C"/>
          <w:sz w:val="21"/>
          <w:szCs w:val="21"/>
        </w:rPr>
        <w:t xml:space="preserve">This is where the banking adaptation diverges most significantly from Uber’s model. Financial services metrics require formal change control with regulatory awareness.</w:t>
      </w:r>
    </w:p>
    <w:p>
      <w:pPr>
        <w:spacing w:before="200" w:after="120"/>
      </w:pPr>
      <w:r>
        <w:rPr>
          <w:rFonts w:ascii="Arial" w:cs="Arial" w:eastAsia="Arial" w:hAnsi="Arial"/>
          <w:b/>
          <w:bCs/>
          <w:color w:val="1B2A4A"/>
          <w:sz w:val="22"/>
          <w:szCs w:val="22"/>
        </w:rPr>
        <w:t xml:space="preserve">Metric Tiering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Approval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Tier 1 – Regulatory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Metrics filed with regulators or disclosed to investors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NIM, CET1 Ratio, LCR, CECL reserves, NPL ratios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Metric Governance Committee + CFO/CRO sign-off</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Tier 2 – Executive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Metrics in board/C-suite reporting and strategic planning</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Cost-to-income, ROE, deposit growth, customer acquisition cost</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LOB head + Data Governance lead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Tier 3 – Operational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Metrics for day-to-day operations and team-level decisions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Branch transaction volume, call center handle time, NPS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Metric owner + one peer reviewer</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Tier 4 – Experimental</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Metrics under development or for ad hoc analysis</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New segmentation tests, pilot product tracking</w:t>
            </w:r>
          </w:p>
        </w:tc>
        <w:tc>
          <w:tcPr>
            <w:tcW w:type="dxa" w:w="2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Self-service with automated quality checks</w:t>
            </w:r>
          </w:p>
        </w:tc>
      </w:tr>
    </w:tbl>
    <w:p>
      <w:pPr>
        <w:spacing w:after="120"/>
      </w:pPr>
    </w:p>
    <w:p>
      <w:pPr>
        <w:spacing w:before="200" w:after="120"/>
      </w:pPr>
      <w:r>
        <w:rPr>
          <w:rFonts w:ascii="Arial" w:cs="Arial" w:eastAsia="Arial" w:hAnsi="Arial"/>
          <w:b/>
          <w:bCs/>
          <w:color w:val="1B2A4A"/>
          <w:sz w:val="22"/>
          <w:szCs w:val="22"/>
        </w:rPr>
        <w:t xml:space="preserve">Before/After Change Workflow</w:t>
      </w:r>
    </w:p>
    <w:p>
      <w:pPr>
        <w:spacing w:after="160" w:line="276"/>
      </w:pPr>
      <w:r>
        <w:rPr>
          <w:rFonts w:ascii="Arial" w:cs="Arial" w:eastAsia="Arial" w:hAnsi="Arial"/>
          <w:color w:val="2C2C2C"/>
          <w:sz w:val="21"/>
          <w:szCs w:val="21"/>
        </w:rPr>
        <w:t xml:space="preserve">Every metric definition change—regardless of tier—produces a versioned diff showing the previous and proposed state. The workflow proceeds as follows:</w:t>
      </w:r>
    </w:p>
    <w:p>
      <w:pPr>
        <w:pStyle w:val="ListParagraph"/>
        <w:numPr>
          <w:ilvl w:val="0"/>
          <w:numId w:val="4"/>
        </w:numPr>
        <w:spacing w:after="80" w:line="276"/>
      </w:pPr>
      <w:r>
        <w:rPr>
          <w:rFonts w:ascii="Arial" w:cs="Arial" w:eastAsia="Arial" w:hAnsi="Arial"/>
          <w:color w:val="2C2C2C"/>
          <w:sz w:val="21"/>
          <w:szCs w:val="21"/>
        </w:rPr>
        <w:t xml:space="preserve">Author drafts a change to the metric definition (logic, source view, dimensions, or metadata) in the BankMetric UI.</w:t>
      </w:r>
    </w:p>
    <w:p>
      <w:pPr>
        <w:pStyle w:val="ListParagraph"/>
        <w:numPr>
          <w:ilvl w:val="0"/>
          <w:numId w:val="4"/>
        </w:numPr>
        <w:spacing w:after="80" w:line="276"/>
      </w:pPr>
      <w:r>
        <w:rPr>
          <w:rFonts w:ascii="Arial" w:cs="Arial" w:eastAsia="Arial" w:hAnsi="Arial"/>
          <w:color w:val="2C2C2C"/>
          <w:sz w:val="21"/>
          <w:szCs w:val="21"/>
        </w:rPr>
        <w:t xml:space="preserve">The platform auto-generates a before/after comparison: side-by-side SQL diff, impact analysis showing which dashboards and reports consume this metric, and a sample data comparison showing the metric’s output under both the old and new definitions for a recent period.</w:t>
      </w:r>
    </w:p>
    <w:p>
      <w:pPr>
        <w:pStyle w:val="ListParagraph"/>
        <w:numPr>
          <w:ilvl w:val="0"/>
          <w:numId w:val="4"/>
        </w:numPr>
        <w:spacing w:after="80" w:line="276"/>
      </w:pPr>
      <w:r>
        <w:rPr>
          <w:rFonts w:ascii="Arial" w:cs="Arial" w:eastAsia="Arial" w:hAnsi="Arial"/>
          <w:color w:val="2C2C2C"/>
          <w:sz w:val="21"/>
          <w:szCs w:val="21"/>
        </w:rPr>
        <w:t xml:space="preserve">Designated reviewers (per the tier’s approval matrix) receive the change request with full context.</w:t>
      </w:r>
    </w:p>
    <w:p>
      <w:pPr>
        <w:pStyle w:val="ListParagraph"/>
        <w:numPr>
          <w:ilvl w:val="0"/>
          <w:numId w:val="4"/>
        </w:numPr>
        <w:spacing w:after="80" w:line="276"/>
      </w:pPr>
      <w:r>
        <w:rPr>
          <w:rFonts w:ascii="Arial" w:cs="Arial" w:eastAsia="Arial" w:hAnsi="Arial"/>
          <w:color w:val="2C2C2C"/>
          <w:sz w:val="21"/>
          <w:szCs w:val="21"/>
        </w:rPr>
        <w:t xml:space="preserve">Reviewers can approve, reject, or request modifications—with comments attached to specific lines of the definition.</w:t>
      </w:r>
    </w:p>
    <w:p>
      <w:pPr>
        <w:pStyle w:val="ListParagraph"/>
        <w:numPr>
          <w:ilvl w:val="0"/>
          <w:numId w:val="4"/>
        </w:numPr>
        <w:spacing w:after="80" w:line="276"/>
      </w:pPr>
      <w:r>
        <w:rPr>
          <w:rFonts w:ascii="Arial" w:cs="Arial" w:eastAsia="Arial" w:hAnsi="Arial"/>
          <w:color w:val="2C2C2C"/>
          <w:sz w:val="21"/>
          <w:szCs w:val="21"/>
        </w:rPr>
        <w:t xml:space="preserve">On approval, the new version is published with an effective date. The previous version is archived with full history.</w:t>
      </w:r>
    </w:p>
    <w:p>
      <w:pPr>
        <w:pStyle w:val="ListParagraph"/>
        <w:numPr>
          <w:ilvl w:val="0"/>
          <w:numId w:val="4"/>
        </w:numPr>
        <w:spacing w:after="80" w:line="276"/>
      </w:pPr>
      <w:r>
        <w:rPr>
          <w:rFonts w:ascii="Arial" w:cs="Arial" w:eastAsia="Arial" w:hAnsi="Arial"/>
          <w:color w:val="2C2C2C"/>
          <w:sz w:val="21"/>
          <w:szCs w:val="21"/>
        </w:rPr>
        <w:t xml:space="preserve">Downstream consumers are notified of the change and can preview the impact before the effective date.</w:t>
      </w:r>
    </w:p>
    <w:p>
      <w:pPr>
        <w:spacing w:after="160" w:line="276"/>
      </w:pPr>
      <w:r>
        <w:rPr>
          <w:rFonts w:ascii="Arial" w:cs="Arial" w:eastAsia="Arial" w:hAnsi="Arial"/>
          <w:color w:val="2C2C2C"/>
          <w:sz w:val="21"/>
          <w:szCs w:val="21"/>
        </w:rPr>
        <w:t xml:space="preserve">For Tier 1 regulatory metrics, an additional gate requires that the Metric Governance Committee reviews the change in a scheduled session, with documentation suitable for examiner review.</w:t>
      </w:r>
    </w:p>
    <w:p>
      <w:r>
        <w:br w:type="page"/>
      </w:r>
    </w:p>
    <w:p>
      <w:pPr>
        <w:pStyle w:val="Heading1"/>
        <w:spacing w:before="400" w:after="200"/>
      </w:pPr>
      <w:r>
        <w:rPr>
          <w:rFonts w:ascii="Georgia" w:cs="Georgia" w:eastAsia="Georgia" w:hAnsi="Georgia"/>
          <w:b/>
          <w:bCs/>
          <w:color w:val="1B2A4A"/>
          <w:sz w:val="32"/>
          <w:szCs w:val="32"/>
        </w:rPr>
        <w:t xml:space="preserve">4. GraphQL Consumption Layer</w:t>
      </w:r>
    </w:p>
    <w:p>
      <w:pPr>
        <w:pBdr>
          <w:bottom w:val="single" w:color="0D7377" w:sz="4" w:space="1"/>
        </w:pBdr>
        <w:spacing w:after="200"/>
      </w:pPr>
    </w:p>
    <w:p>
      <w:pPr>
        <w:spacing w:after="160" w:line="276"/>
      </w:pPr>
      <w:r>
        <w:rPr>
          <w:rFonts w:ascii="Arial" w:cs="Arial" w:eastAsia="Arial" w:hAnsi="Arial"/>
          <w:color w:val="2C2C2C"/>
          <w:sz w:val="21"/>
          <w:szCs w:val="21"/>
        </w:rPr>
        <w:t xml:space="preserve">The consumption layer exposes all governed metrics through a unified GraphQL API. This replaces the current pattern of teams writing direct SQL against the data warehouse, building one-off API endpoints, or emailing Excel attachments.</w:t>
      </w:r>
    </w:p>
    <w:p>
      <w:pPr>
        <w:pStyle w:val="Heading2"/>
        <w:spacing w:before="300" w:after="160"/>
      </w:pPr>
      <w:r>
        <w:rPr>
          <w:rFonts w:ascii="Georgia" w:cs="Georgia" w:eastAsia="Georgia" w:hAnsi="Georgia"/>
          <w:b/>
          <w:bCs/>
          <w:color w:val="0D7377"/>
          <w:sz w:val="26"/>
          <w:szCs w:val="26"/>
        </w:rPr>
        <w:t xml:space="preserve">4.1 Why GraphQL</w:t>
      </w:r>
    </w:p>
    <w:p>
      <w:pPr>
        <w:pStyle w:val="ListParagraph"/>
        <w:numPr>
          <w:ilvl w:val="0"/>
          <w:numId w:val="2"/>
        </w:numPr>
        <w:spacing w:after="80" w:line="276"/>
      </w:pPr>
      <w:r>
        <w:rPr>
          <w:rFonts w:ascii="Arial" w:cs="Arial" w:eastAsia="Arial" w:hAnsi="Arial"/>
          <w:b/>
          <w:bCs/>
          <w:color w:val="2C2C2C"/>
          <w:sz w:val="21"/>
          <w:szCs w:val="21"/>
        </w:rPr>
        <w:t xml:space="preserve">Self-describing schema: </w:t>
      </w:r>
      <w:r>
        <w:rPr>
          <w:rFonts w:ascii="Arial" w:cs="Arial" w:eastAsia="Arial" w:hAnsi="Arial"/>
          <w:color w:val="2C2C2C"/>
          <w:sz w:val="21"/>
          <w:szCs w:val="21"/>
        </w:rPr>
        <w:t xml:space="preserve">Every metric, its dimensions, filters, and metadata are discoverable through schema introspection—no separate documentation required.</w:t>
      </w:r>
    </w:p>
    <w:p>
      <w:pPr>
        <w:pStyle w:val="ListParagraph"/>
        <w:numPr>
          <w:ilvl w:val="0"/>
          <w:numId w:val="2"/>
        </w:numPr>
        <w:spacing w:after="80" w:line="276"/>
      </w:pPr>
      <w:r>
        <w:rPr>
          <w:rFonts w:ascii="Arial" w:cs="Arial" w:eastAsia="Arial" w:hAnsi="Arial"/>
          <w:b/>
          <w:bCs/>
          <w:color w:val="2C2C2C"/>
          <w:sz w:val="21"/>
          <w:szCs w:val="21"/>
        </w:rPr>
        <w:t xml:space="preserve">Precise data fetching: </w:t>
      </w:r>
      <w:r>
        <w:rPr>
          <w:rFonts w:ascii="Arial" w:cs="Arial" w:eastAsia="Arial" w:hAnsi="Arial"/>
          <w:color w:val="2C2C2C"/>
          <w:sz w:val="21"/>
          <w:szCs w:val="21"/>
        </w:rPr>
        <w:t xml:space="preserve">Consumers request exactly the dimensions and granularity they need. A dashboard showing NIM by region doesn’t pull the entire dataset.</w:t>
      </w:r>
    </w:p>
    <w:p>
      <w:pPr>
        <w:pStyle w:val="ListParagraph"/>
        <w:numPr>
          <w:ilvl w:val="0"/>
          <w:numId w:val="2"/>
        </w:numPr>
        <w:spacing w:after="80" w:line="276"/>
      </w:pPr>
      <w:r>
        <w:rPr>
          <w:rFonts w:ascii="Arial" w:cs="Arial" w:eastAsia="Arial" w:hAnsi="Arial"/>
          <w:b/>
          <w:bCs/>
          <w:color w:val="2C2C2C"/>
          <w:sz w:val="21"/>
          <w:szCs w:val="21"/>
        </w:rPr>
        <w:t xml:space="preserve">Single endpoint: </w:t>
      </w:r>
      <w:r>
        <w:rPr>
          <w:rFonts w:ascii="Arial" w:cs="Arial" w:eastAsia="Arial" w:hAnsi="Arial"/>
          <w:color w:val="2C2C2C"/>
          <w:sz w:val="21"/>
          <w:szCs w:val="21"/>
        </w:rPr>
        <w:t xml:space="preserve">One URL serves all metric consumers—BI tools, regulatory reporting engines, ML feature stores, ad hoc notebooks, and mobile executive dashboards.</w:t>
      </w:r>
    </w:p>
    <w:p>
      <w:pPr>
        <w:pStyle w:val="ListParagraph"/>
        <w:numPr>
          <w:ilvl w:val="0"/>
          <w:numId w:val="2"/>
        </w:numPr>
        <w:spacing w:after="80" w:line="276"/>
      </w:pPr>
      <w:r>
        <w:rPr>
          <w:rFonts w:ascii="Arial" w:cs="Arial" w:eastAsia="Arial" w:hAnsi="Arial"/>
          <w:b/>
          <w:bCs/>
          <w:color w:val="2C2C2C"/>
          <w:sz w:val="21"/>
          <w:szCs w:val="21"/>
        </w:rPr>
        <w:t xml:space="preserve">Strong typing: </w:t>
      </w:r>
      <w:r>
        <w:rPr>
          <w:rFonts w:ascii="Arial" w:cs="Arial" w:eastAsia="Arial" w:hAnsi="Arial"/>
          <w:color w:val="2C2C2C"/>
          <w:sz w:val="21"/>
          <w:szCs w:val="21"/>
        </w:rPr>
        <w:t xml:space="preserve">Metric types, dimension enums, and filter constraints are enforced at the schema level, preventing malformed queries.</w:t>
      </w:r>
    </w:p>
    <w:p>
      <w:pPr>
        <w:pStyle w:val="ListParagraph"/>
        <w:numPr>
          <w:ilvl w:val="0"/>
          <w:numId w:val="2"/>
        </w:numPr>
        <w:spacing w:after="80" w:line="276"/>
      </w:pPr>
      <w:r>
        <w:rPr>
          <w:rFonts w:ascii="Arial" w:cs="Arial" w:eastAsia="Arial" w:hAnsi="Arial"/>
          <w:b/>
          <w:bCs/>
          <w:color w:val="2C2C2C"/>
          <w:sz w:val="21"/>
          <w:szCs w:val="21"/>
        </w:rPr>
        <w:t xml:space="preserve">Federation-ready: </w:t>
      </w:r>
      <w:r>
        <w:rPr>
          <w:rFonts w:ascii="Arial" w:cs="Arial" w:eastAsia="Arial" w:hAnsi="Arial"/>
          <w:color w:val="2C2C2C"/>
          <w:sz w:val="21"/>
          <w:szCs w:val="21"/>
        </w:rPr>
        <w:t xml:space="preserve">GraphQL federation allows the metric schema to compose with other bank data domains (customer, product, channel) without tight coupling.</w:t>
      </w:r>
    </w:p>
    <w:p>
      <w:pPr>
        <w:spacing w:after="120"/>
      </w:pPr>
    </w:p>
    <w:p>
      <w:pPr>
        <w:pStyle w:val="Heading2"/>
        <w:spacing w:before="300" w:after="160"/>
      </w:pPr>
      <w:r>
        <w:rPr>
          <w:rFonts w:ascii="Georgia" w:cs="Georgia" w:eastAsia="Georgia" w:hAnsi="Georgia"/>
          <w:b/>
          <w:bCs/>
          <w:color w:val="0D7377"/>
          <w:sz w:val="26"/>
          <w:szCs w:val="26"/>
        </w:rPr>
        <w:t xml:space="preserve">4.2 Example Schema Design</w:t>
      </w:r>
    </w:p>
    <w:p>
      <w:pPr>
        <w:shd w:fill="F4F6F8" w:val="clear"/>
        <w:spacing w:after="80"/>
        <w:ind w:left="360" w:right="360"/>
      </w:pPr>
      <w:r>
        <w:rPr>
          <w:rFonts w:ascii="Consolas" w:cs="Consolas" w:eastAsia="Consolas" w:hAnsi="Consolas"/>
          <w:color w:val="2C2C2C"/>
          <w:sz w:val="19"/>
          <w:szCs w:val="19"/>
        </w:rPr>
        <w:t xml:space="preserve">type Query {</w:t>
      </w:r>
    </w:p>
    <w:p>
      <w:pPr>
        <w:shd w:fill="F4F6F8" w:val="clear"/>
        <w:ind w:left="360" w:right="360"/>
      </w:pPr>
      <w:r>
        <w:rPr>
          <w:rFonts w:ascii="Consolas" w:cs="Consolas" w:eastAsia="Consolas" w:hAnsi="Consolas"/>
          <w:color w:val="2C2C2C"/>
          <w:sz w:val="19"/>
          <w:szCs w:val="19"/>
        </w:rPr>
        <w:t xml:space="preserve">  metric(name: String!, params: MetricParams!): MetricResult</w:t>
      </w:r>
    </w:p>
    <w:p>
      <w:pPr>
        <w:shd w:fill="F4F6F8" w:val="clear"/>
        <w:ind w:left="360" w:right="360"/>
      </w:pPr>
      <w:r>
        <w:rPr>
          <w:rFonts w:ascii="Consolas" w:cs="Consolas" w:eastAsia="Consolas" w:hAnsi="Consolas"/>
          <w:color w:val="2C2C2C"/>
          <w:sz w:val="19"/>
          <w:szCs w:val="19"/>
        </w:rPr>
        <w:t xml:space="preserve">  metricCatalog(domain: Domain, tier: Tier): [MetricDefinition]</w:t>
      </w:r>
    </w:p>
    <w:p>
      <w:pPr>
        <w:shd w:fill="F4F6F8" w:val="clear"/>
        <w:ind w:left="360" w:right="360"/>
      </w:pPr>
      <w:r>
        <w:rPr>
          <w:rFonts w:ascii="Consolas" w:cs="Consolas" w:eastAsia="Consolas" w:hAnsi="Consolas"/>
          <w:color w:val="2C2C2C"/>
          <w:sz w:val="19"/>
          <w:szCs w:val="19"/>
        </w:rPr>
        <w:t xml:space="preserve">  metricHistory(name: String!, version: Int): MetricVersion</w:t>
      </w:r>
    </w:p>
    <w:p>
      <w:pPr>
        <w:shd w:fill="F4F6F8" w:val="clear"/>
        <w:spacing w:after="160"/>
        <w:ind w:left="360" w:right="360"/>
      </w:pPr>
      <w:r>
        <w:rPr>
          <w:rFonts w:ascii="Consolas" w:cs="Consolas" w:eastAsia="Consolas" w:hAnsi="Consolas"/>
          <w:color w:val="2C2C2C"/>
          <w:sz w:val="19"/>
          <w:szCs w:val="19"/>
        </w:rPr>
        <w:t xml:space="preserve">}</w:t>
      </w:r>
    </w:p>
    <w:p>
      <w:pPr>
        <w:shd w:fill="F4F6F8" w:val="clear"/>
        <w:ind w:left="360" w:right="360"/>
      </w:pPr>
      <w:r>
        <w:rPr>
          <w:rFonts w:ascii="Consolas" w:cs="Consolas" w:eastAsia="Consolas" w:hAnsi="Consolas"/>
          <w:color w:val="2C2C2C"/>
          <w:sz w:val="19"/>
          <w:szCs w:val="19"/>
        </w:rPr>
        <w:t xml:space="preserve">input MetricParams {</w:t>
      </w:r>
    </w:p>
    <w:p>
      <w:pPr>
        <w:shd w:fill="F4F6F8" w:val="clear"/>
        <w:ind w:left="360" w:right="360"/>
      </w:pPr>
      <w:r>
        <w:rPr>
          <w:rFonts w:ascii="Consolas" w:cs="Consolas" w:eastAsia="Consolas" w:hAnsi="Consolas"/>
          <w:color w:val="2C2C2C"/>
          <w:sz w:val="19"/>
          <w:szCs w:val="19"/>
        </w:rPr>
        <w:t xml:space="preserve">  asOfDate: Date!</w:t>
      </w:r>
    </w:p>
    <w:p>
      <w:pPr>
        <w:shd w:fill="F4F6F8" w:val="clear"/>
        <w:ind w:left="360" w:right="360"/>
      </w:pPr>
      <w:r>
        <w:rPr>
          <w:rFonts w:ascii="Consolas" w:cs="Consolas" w:eastAsia="Consolas" w:hAnsi="Consolas"/>
          <w:color w:val="2C2C2C"/>
          <w:sz w:val="19"/>
          <w:szCs w:val="19"/>
        </w:rPr>
        <w:t xml:space="preserve">  timeGrain: TimeGrain!    # DAILY | MONTHLY | QUARTERLY</w:t>
      </w:r>
    </w:p>
    <w:p>
      <w:pPr>
        <w:shd w:fill="F4F6F8" w:val="clear"/>
        <w:ind w:left="360" w:right="360"/>
      </w:pPr>
      <w:r>
        <w:rPr>
          <w:rFonts w:ascii="Consolas" w:cs="Consolas" w:eastAsia="Consolas" w:hAnsi="Consolas"/>
          <w:color w:val="2C2C2C"/>
          <w:sz w:val="19"/>
          <w:szCs w:val="19"/>
        </w:rPr>
        <w:t xml:space="preserve">  dimensions: [DimensionFilter]</w:t>
      </w:r>
    </w:p>
    <w:p>
      <w:pPr>
        <w:shd w:fill="F4F6F8" w:val="clear"/>
        <w:spacing w:after="200"/>
        <w:ind w:left="360" w:right="360"/>
      </w:pPr>
      <w:r>
        <w:rPr>
          <w:rFonts w:ascii="Consolas" w:cs="Consolas" w:eastAsia="Consolas" w:hAnsi="Consolas"/>
          <w:color w:val="2C2C2C"/>
          <w:sz w:val="19"/>
          <w:szCs w:val="19"/>
        </w:rPr>
        <w:t xml:space="preserve">}</w:t>
      </w:r>
    </w:p>
    <w:p>
      <w:pPr>
        <w:spacing w:after="160" w:line="276"/>
      </w:pPr>
      <w:r>
        <w:rPr>
          <w:rFonts w:ascii="Arial" w:cs="Arial" w:eastAsia="Arial" w:hAnsi="Arial"/>
          <w:color w:val="2C2C2C"/>
          <w:sz w:val="21"/>
          <w:szCs w:val="21"/>
        </w:rPr>
        <w:t xml:space="preserve">A regulatory reporting engine querying NIM for the Call Report would issue the same GraphQL call as an analyst viewing NIM on a Tableau dashboard—guaranteeing identical numbers from the identical approved definition.</w:t>
      </w:r>
    </w:p>
    <w:p>
      <w:pPr>
        <w:pStyle w:val="Heading2"/>
        <w:spacing w:before="300" w:after="160"/>
      </w:pPr>
      <w:r>
        <w:rPr>
          <w:rFonts w:ascii="Georgia" w:cs="Georgia" w:eastAsia="Georgia" w:hAnsi="Georgia"/>
          <w:b/>
          <w:bCs/>
          <w:color w:val="0D7377"/>
          <w:sz w:val="26"/>
          <w:szCs w:val="26"/>
        </w:rPr>
        <w:t xml:space="preserve">4.3 Access Control &amp; Authentication</w:t>
      </w:r>
    </w:p>
    <w:p>
      <w:pPr>
        <w:spacing w:after="160" w:line="276"/>
      </w:pPr>
      <w:r>
        <w:rPr>
          <w:rFonts w:ascii="Arial" w:cs="Arial" w:eastAsia="Arial" w:hAnsi="Arial"/>
          <w:color w:val="2C2C2C"/>
          <w:sz w:val="21"/>
          <w:szCs w:val="21"/>
        </w:rPr>
        <w:t xml:space="preserve">The GraphQL layer enforces fine-grained, role-based access control that inherits from the metric definition’s security classification:</w:t>
      </w:r>
    </w:p>
    <w:p>
      <w:pPr>
        <w:pStyle w:val="ListParagraph"/>
        <w:numPr>
          <w:ilvl w:val="0"/>
          <w:numId w:val="2"/>
        </w:numPr>
        <w:spacing w:after="80" w:line="276"/>
      </w:pPr>
      <w:r>
        <w:rPr>
          <w:rFonts w:ascii="Arial" w:cs="Arial" w:eastAsia="Arial" w:hAnsi="Arial"/>
          <w:b/>
          <w:bCs/>
          <w:color w:val="2C2C2C"/>
          <w:sz w:val="21"/>
          <w:szCs w:val="21"/>
        </w:rPr>
        <w:t xml:space="preserve">Field-level authorization: </w:t>
      </w:r>
      <w:r>
        <w:rPr>
          <w:rFonts w:ascii="Arial" w:cs="Arial" w:eastAsia="Arial" w:hAnsi="Arial"/>
          <w:color w:val="2C2C2C"/>
          <w:sz w:val="21"/>
          <w:szCs w:val="21"/>
        </w:rPr>
        <w:t xml:space="preserve">Sensitive metrics (e.g., CECL model outputs, pre-release earnings data) are only visible to authorized roles.</w:t>
      </w:r>
    </w:p>
    <w:p>
      <w:pPr>
        <w:pStyle w:val="ListParagraph"/>
        <w:numPr>
          <w:ilvl w:val="0"/>
          <w:numId w:val="2"/>
        </w:numPr>
        <w:spacing w:after="80" w:line="276"/>
      </w:pPr>
      <w:r>
        <w:rPr>
          <w:rFonts w:ascii="Arial" w:cs="Arial" w:eastAsia="Arial" w:hAnsi="Arial"/>
          <w:b/>
          <w:bCs/>
          <w:color w:val="2C2C2C"/>
          <w:sz w:val="21"/>
          <w:szCs w:val="21"/>
        </w:rPr>
        <w:t xml:space="preserve">Row-level security: </w:t>
      </w:r>
      <w:r>
        <w:rPr>
          <w:rFonts w:ascii="Arial" w:cs="Arial" w:eastAsia="Arial" w:hAnsi="Arial"/>
          <w:color w:val="2C2C2C"/>
          <w:sz w:val="21"/>
          <w:szCs w:val="21"/>
        </w:rPr>
        <w:t xml:space="preserve">A regional manager sees metrics filtered to their region; a LOB head sees their line of business.</w:t>
      </w:r>
    </w:p>
    <w:p>
      <w:pPr>
        <w:pStyle w:val="ListParagraph"/>
        <w:numPr>
          <w:ilvl w:val="0"/>
          <w:numId w:val="2"/>
        </w:numPr>
        <w:spacing w:after="80" w:line="276"/>
      </w:pPr>
      <w:r>
        <w:rPr>
          <w:rFonts w:ascii="Arial" w:cs="Arial" w:eastAsia="Arial" w:hAnsi="Arial"/>
          <w:b/>
          <w:bCs/>
          <w:color w:val="2C2C2C"/>
          <w:sz w:val="21"/>
          <w:szCs w:val="21"/>
        </w:rPr>
        <w:t xml:space="preserve">Service-to-service authentication: </w:t>
      </w:r>
      <w:r>
        <w:rPr>
          <w:rFonts w:ascii="Arial" w:cs="Arial" w:eastAsia="Arial" w:hAnsi="Arial"/>
          <w:color w:val="2C2C2C"/>
          <w:sz w:val="21"/>
          <w:szCs w:val="21"/>
        </w:rPr>
        <w:t xml:space="preserve">Downstream systems (regulatory reporting, ML pipelines) authenticate via OAuth2/mTLS with scoped permissions.</w:t>
      </w:r>
    </w:p>
    <w:p>
      <w:pPr>
        <w:pStyle w:val="ListParagraph"/>
        <w:numPr>
          <w:ilvl w:val="0"/>
          <w:numId w:val="2"/>
        </w:numPr>
        <w:spacing w:after="80" w:line="276"/>
      </w:pPr>
      <w:r>
        <w:rPr>
          <w:rFonts w:ascii="Arial" w:cs="Arial" w:eastAsia="Arial" w:hAnsi="Arial"/>
          <w:b/>
          <w:bCs/>
          <w:color w:val="2C2C2C"/>
          <w:sz w:val="21"/>
          <w:szCs w:val="21"/>
        </w:rPr>
        <w:t xml:space="preserve">Full audit logging: </w:t>
      </w:r>
      <w:r>
        <w:rPr>
          <w:rFonts w:ascii="Arial" w:cs="Arial" w:eastAsia="Arial" w:hAnsi="Arial"/>
          <w:color w:val="2C2C2C"/>
          <w:sz w:val="21"/>
          <w:szCs w:val="21"/>
        </w:rPr>
        <w:t xml:space="preserve">Every query is logged with the caller identity, timestamp, metric requested, and parameters—satisfying SOX and examiner requirements.</w:t>
      </w:r>
    </w:p>
    <w:p>
      <w:r>
        <w:br w:type="page"/>
      </w:r>
    </w:p>
    <w:p>
      <w:pPr>
        <w:pStyle w:val="Heading1"/>
        <w:spacing w:before="400" w:after="200"/>
      </w:pPr>
      <w:r>
        <w:rPr>
          <w:rFonts w:ascii="Georgia" w:cs="Georgia" w:eastAsia="Georgia" w:hAnsi="Georgia"/>
          <w:b/>
          <w:bCs/>
          <w:color w:val="1B2A4A"/>
          <w:sz w:val="32"/>
          <w:szCs w:val="32"/>
        </w:rPr>
        <w:t xml:space="preserve">5. Data Quality &amp; Trust Framework</w:t>
      </w:r>
    </w:p>
    <w:p>
      <w:pPr>
        <w:pBdr>
          <w:bottom w:val="single" w:color="0D7377" w:sz="4" w:space="1"/>
        </w:pBdr>
        <w:spacing w:after="200"/>
      </w:pPr>
    </w:p>
    <w:p>
      <w:pPr>
        <w:spacing w:after="160" w:line="276"/>
      </w:pPr>
      <w:r>
        <w:rPr>
          <w:rFonts w:ascii="Arial" w:cs="Arial" w:eastAsia="Arial" w:hAnsi="Arial"/>
          <w:color w:val="2C2C2C"/>
          <w:sz w:val="21"/>
          <w:szCs w:val="21"/>
        </w:rPr>
        <w:t xml:space="preserve">Trust is the currency of a metric platform. If users encounter a single incorrect number, they revert to their Excel workarounds. The quality framework must be proactive, transparent, and aligned with BCBS 239 principles for risk data aggregation.</w:t>
      </w:r>
    </w:p>
    <w:p>
      <w:pPr>
        <w:pStyle w:val="Heading2"/>
        <w:spacing w:before="300" w:after="160"/>
      </w:pPr>
      <w:r>
        <w:rPr>
          <w:rFonts w:ascii="Georgia" w:cs="Georgia" w:eastAsia="Georgia" w:hAnsi="Georgia"/>
          <w:b/>
          <w:bCs/>
          <w:color w:val="0D7377"/>
          <w:sz w:val="26"/>
          <w:szCs w:val="26"/>
        </w:rPr>
        <w:t xml:space="preserve">5.1 Quality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Banking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Freshness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Source data is within its declared SLA window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GL closes, core banking batch cycles, market data feeds must complete before metrics are marked current</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Completeness</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No missing records or NULL values in required fields</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Missing loan records would understate delinquency rates; missing GL entries would misstate NIM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Cross-source reconciliation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Same data in different stores matches within tolerance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Data warehouse totals must reconcile to GL subledgers and core banking system of record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Duplicate detection</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No duplicate records inflating counts or sums</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Duplicate transaction records would overstate revenue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Tolerance 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Period-over-period changes within expected bounds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 sudden 50% swing in provision coverage ratio triggers investigation before publication</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Cross-datacenter consistency</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Primary and DR site data are synchronized</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Critical for business continuity and real-time liquidity metrics</w:t>
            </w:r>
          </w:p>
        </w:tc>
      </w:tr>
    </w:tbl>
    <w:p>
      <w:pPr>
        <w:spacing w:after="120"/>
      </w:pPr>
    </w:p>
    <w:p>
      <w:pPr>
        <w:pStyle w:val="Heading2"/>
        <w:spacing w:before="300" w:after="160"/>
      </w:pPr>
      <w:r>
        <w:rPr>
          <w:rFonts w:ascii="Georgia" w:cs="Georgia" w:eastAsia="Georgia" w:hAnsi="Georgia"/>
          <w:b/>
          <w:bCs/>
          <w:color w:val="0D7377"/>
          <w:sz w:val="26"/>
          <w:szCs w:val="26"/>
        </w:rPr>
        <w:t xml:space="preserve">5.2 Quality Scoring &amp; Transparency</w:t>
      </w:r>
    </w:p>
    <w:p>
      <w:pPr>
        <w:spacing w:after="160" w:line="276"/>
      </w:pPr>
      <w:r>
        <w:rPr>
          <w:rFonts w:ascii="Arial" w:cs="Arial" w:eastAsia="Arial" w:hAnsi="Arial"/>
          <w:color w:val="2C2C2C"/>
          <w:sz w:val="21"/>
          <w:szCs w:val="21"/>
        </w:rPr>
        <w:t xml:space="preserve">Every metric in the catalog displays a real-time quality score based on the health of its upstream sources. Consumers can drill into each quality dimension, see when the last check passed, and understand exactly what is (or isn’t) verified. A traffic-light system (green/amber/red) provides instant confidence signaling on every dashboard and API response.</w:t>
      </w:r>
    </w:p>
    <w:p>
      <w:pPr>
        <w:spacing w:after="160" w:line="276"/>
      </w:pPr>
      <w:r>
        <w:rPr>
          <w:rFonts w:ascii="Arial" w:cs="Arial" w:eastAsia="Arial" w:hAnsi="Arial"/>
          <w:color w:val="2C2C2C"/>
          <w:sz w:val="21"/>
          <w:szCs w:val="21"/>
        </w:rPr>
        <w:t xml:space="preserve">Metrics with a red quality score are automatically flagged in downstream reports with a data quality caveat. For regulatory submissions, red-scored metrics trigger an escalation to the Data Governance team before filing.</w:t>
      </w:r>
    </w:p>
    <w:p>
      <w:r>
        <w:br w:type="page"/>
      </w:r>
    </w:p>
    <w:p>
      <w:pPr>
        <w:pStyle w:val="Heading1"/>
        <w:spacing w:before="400" w:after="200"/>
      </w:pPr>
      <w:r>
        <w:rPr>
          <w:rFonts w:ascii="Georgia" w:cs="Georgia" w:eastAsia="Georgia" w:hAnsi="Georgia"/>
          <w:b/>
          <w:bCs/>
          <w:color w:val="1B2A4A"/>
          <w:sz w:val="32"/>
          <w:szCs w:val="32"/>
        </w:rPr>
        <w:t xml:space="preserve">6. Strategic Benefits &amp; ROI</w:t>
      </w:r>
    </w:p>
    <w:p>
      <w:pPr>
        <w:pBdr>
          <w:bottom w:val="single" w:color="0D7377" w:sz="4" w:space="1"/>
        </w:pBdr>
        <w:spacing w:after="200"/>
      </w:pPr>
    </w:p>
    <w:p>
      <w:pPr>
        <w:pStyle w:val="Heading2"/>
        <w:spacing w:before="300" w:after="160"/>
      </w:pPr>
      <w:r>
        <w:rPr>
          <w:rFonts w:ascii="Georgia" w:cs="Georgia" w:eastAsia="Georgia" w:hAnsi="Georgia"/>
          <w:b/>
          <w:bCs/>
          <w:color w:val="0D7377"/>
          <w:sz w:val="26"/>
          <w:szCs w:val="26"/>
        </w:rPr>
        <w:t xml:space="preserve">6.1 Quantifiable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Benefit Area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Cost/Risk</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BankMetric</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Metric reconciliation effort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40–60% of analyst time on data disputes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Near-zero reconciliation; single source of truth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30–40% analyst capacity reclaimed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Regulatory resubmission risk</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1–2 restatements/year due to metric inconsistency</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Governed definitions tied to regulatory line items</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80–90% reduction in restatement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Time to new metric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4–8 weeks (find data, build pipeline, validate)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Self-service definition with automated pipelines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Reduced to days for Tier 3–4 metrics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Audit preparation</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2–4 weeks to assemble metric lineage documentation</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Auto-generated lineage and version history</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90% reduction in audit prep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Dashboard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Leadership discounts dashboard data, requests Excel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Certified metrics with quality scores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Meaningful increase in data-driven decisions</w:t>
            </w:r>
          </w:p>
        </w:tc>
      </w:tr>
    </w:tbl>
    <w:p>
      <w:pPr>
        <w:spacing w:after="120"/>
      </w:pPr>
    </w:p>
    <w:p>
      <w:pPr>
        <w:pStyle w:val="Heading2"/>
        <w:spacing w:before="300" w:after="160"/>
      </w:pPr>
      <w:r>
        <w:rPr>
          <w:rFonts w:ascii="Georgia" w:cs="Georgia" w:eastAsia="Georgia" w:hAnsi="Georgia"/>
          <w:b/>
          <w:bCs/>
          <w:color w:val="0D7377"/>
          <w:sz w:val="26"/>
          <w:szCs w:val="26"/>
        </w:rPr>
        <w:t xml:space="preserve">6.2 Strategic Benefits</w:t>
      </w:r>
    </w:p>
    <w:p>
      <w:pPr>
        <w:pStyle w:val="ListParagraph"/>
        <w:numPr>
          <w:ilvl w:val="0"/>
          <w:numId w:val="2"/>
        </w:numPr>
        <w:spacing w:after="80" w:line="276"/>
      </w:pPr>
      <w:r>
        <w:rPr>
          <w:rFonts w:ascii="Arial" w:cs="Arial" w:eastAsia="Arial" w:hAnsi="Arial"/>
          <w:b/>
          <w:bCs/>
          <w:color w:val="2C2C2C"/>
          <w:sz w:val="21"/>
          <w:szCs w:val="21"/>
        </w:rPr>
        <w:t xml:space="preserve">Regulatory readiness: </w:t>
      </w:r>
      <w:r>
        <w:rPr>
          <w:rFonts w:ascii="Arial" w:cs="Arial" w:eastAsia="Arial" w:hAnsi="Arial"/>
          <w:color w:val="2C2C2C"/>
          <w:sz w:val="21"/>
          <w:szCs w:val="21"/>
        </w:rPr>
        <w:t xml:space="preserve">OCC, Federal Reserve, and FDIC examiners increasingly scrutinize data governance under BCBS 239 and heightened standards. A metric store with full lineage and change control positions the bank ahead of peer institutions.</w:t>
      </w:r>
    </w:p>
    <w:p>
      <w:pPr>
        <w:pStyle w:val="ListParagraph"/>
        <w:numPr>
          <w:ilvl w:val="0"/>
          <w:numId w:val="2"/>
        </w:numPr>
        <w:spacing w:after="80" w:line="276"/>
      </w:pPr>
      <w:r>
        <w:rPr>
          <w:rFonts w:ascii="Arial" w:cs="Arial" w:eastAsia="Arial" w:hAnsi="Arial"/>
          <w:b/>
          <w:bCs/>
          <w:color w:val="2C2C2C"/>
          <w:sz w:val="21"/>
          <w:szCs w:val="21"/>
        </w:rPr>
        <w:t xml:space="preserve">M&amp;A integration accelerator: </w:t>
      </w:r>
      <w:r>
        <w:rPr>
          <w:rFonts w:ascii="Arial" w:cs="Arial" w:eastAsia="Arial" w:hAnsi="Arial"/>
          <w:color w:val="2C2C2C"/>
          <w:sz w:val="21"/>
          <w:szCs w:val="21"/>
        </w:rPr>
        <w:t xml:space="preserve">When acquiring another institution, mapping their metrics to the bank’s governed catalog dramatically accelerates data integration timelines.</w:t>
      </w:r>
    </w:p>
    <w:p>
      <w:pPr>
        <w:pStyle w:val="ListParagraph"/>
        <w:numPr>
          <w:ilvl w:val="0"/>
          <w:numId w:val="2"/>
        </w:numPr>
        <w:spacing w:after="80" w:line="276"/>
      </w:pPr>
      <w:r>
        <w:rPr>
          <w:rFonts w:ascii="Arial" w:cs="Arial" w:eastAsia="Arial" w:hAnsi="Arial"/>
          <w:b/>
          <w:bCs/>
          <w:color w:val="2C2C2C"/>
          <w:sz w:val="21"/>
          <w:szCs w:val="21"/>
        </w:rPr>
        <w:t xml:space="preserve">ML/AI enablement: </w:t>
      </w:r>
      <w:r>
        <w:rPr>
          <w:rFonts w:ascii="Arial" w:cs="Arial" w:eastAsia="Arial" w:hAnsi="Arial"/>
          <w:color w:val="2C2C2C"/>
          <w:sz w:val="21"/>
          <w:szCs w:val="21"/>
        </w:rPr>
        <w:t xml:space="preserve">The metric store’s GraphQL API doubles as a feature store for machine learning models, ensuring model features match reported metrics and reducing model risk.</w:t>
      </w:r>
    </w:p>
    <w:p>
      <w:pPr>
        <w:pStyle w:val="ListParagraph"/>
        <w:numPr>
          <w:ilvl w:val="0"/>
          <w:numId w:val="2"/>
        </w:numPr>
        <w:spacing w:after="80" w:line="276"/>
      </w:pPr>
      <w:r>
        <w:rPr>
          <w:rFonts w:ascii="Arial" w:cs="Arial" w:eastAsia="Arial" w:hAnsi="Arial"/>
          <w:b/>
          <w:bCs/>
          <w:color w:val="2C2C2C"/>
          <w:sz w:val="21"/>
          <w:szCs w:val="21"/>
        </w:rPr>
        <w:t xml:space="preserve">Self-service analytics culture: </w:t>
      </w:r>
      <w:r>
        <w:rPr>
          <w:rFonts w:ascii="Arial" w:cs="Arial" w:eastAsia="Arial" w:hAnsi="Arial"/>
          <w:color w:val="2C2C2C"/>
          <w:sz w:val="21"/>
          <w:szCs w:val="21"/>
        </w:rPr>
        <w:t xml:space="preserve">By removing the need to “know the right table,” the platform lowers the barrier for business users to explore data—safely and consistently.</w:t>
      </w:r>
    </w:p>
    <w:p>
      <w:pPr>
        <w:pStyle w:val="ListParagraph"/>
        <w:numPr>
          <w:ilvl w:val="0"/>
          <w:numId w:val="2"/>
        </w:numPr>
        <w:spacing w:after="80" w:line="276"/>
      </w:pPr>
      <w:r>
        <w:rPr>
          <w:rFonts w:ascii="Arial" w:cs="Arial" w:eastAsia="Arial" w:hAnsi="Arial"/>
          <w:b/>
          <w:bCs/>
          <w:color w:val="2C2C2C"/>
          <w:sz w:val="21"/>
          <w:szCs w:val="21"/>
        </w:rPr>
        <w:t xml:space="preserve">Competitive differentiation: </w:t>
      </w:r>
      <w:r>
        <w:rPr>
          <w:rFonts w:ascii="Arial" w:cs="Arial" w:eastAsia="Arial" w:hAnsi="Arial"/>
          <w:color w:val="2C2C2C"/>
          <w:sz w:val="21"/>
          <w:szCs w:val="21"/>
        </w:rPr>
        <w:t xml:space="preserve">Banks with a metric platform can respond to market changes faster, launch products with clear KPI tracking from day one, and present a unified data narrative to investors and regulators.</w:t>
      </w:r>
    </w:p>
    <w:p>
      <w:r>
        <w:br w:type="page"/>
      </w:r>
    </w:p>
    <w:p>
      <w:pPr>
        <w:pStyle w:val="Heading1"/>
        <w:spacing w:before="400" w:after="200"/>
      </w:pPr>
      <w:r>
        <w:rPr>
          <w:rFonts w:ascii="Georgia" w:cs="Georgia" w:eastAsia="Georgia" w:hAnsi="Georgia"/>
          <w:b/>
          <w:bCs/>
          <w:color w:val="1B2A4A"/>
          <w:sz w:val="32"/>
          <w:szCs w:val="32"/>
        </w:rPr>
        <w:t xml:space="preserve">7. Implementation Roadmap</w:t>
      </w:r>
    </w:p>
    <w:p>
      <w:pPr>
        <w:pBdr>
          <w:bottom w:val="single" w:color="0D7377" w:sz="4" w:space="1"/>
        </w:pBdr>
        <w:spacing w:after="200"/>
      </w:pPr>
    </w:p>
    <w:p>
      <w:pPr>
        <w:pStyle w:val="Heading2"/>
        <w:spacing w:before="300" w:after="160"/>
      </w:pPr>
      <w:r>
        <w:rPr>
          <w:rFonts w:ascii="Georgia" w:cs="Georgia" w:eastAsia="Georgia" w:hAnsi="Georgia"/>
          <w:b/>
          <w:bCs/>
          <w:color w:val="0D7377"/>
          <w:sz w:val="26"/>
          <w:szCs w:val="26"/>
        </w:rPr>
        <w:t xml:space="preserve">Phase 1: Foundation (Months 1–4)</w:t>
      </w:r>
    </w:p>
    <w:p>
      <w:pPr>
        <w:pStyle w:val="ListParagraph"/>
        <w:numPr>
          <w:ilvl w:val="0"/>
          <w:numId w:val="2"/>
        </w:numPr>
        <w:spacing w:after="80" w:line="276"/>
      </w:pPr>
      <w:r>
        <w:rPr>
          <w:rFonts w:ascii="Arial" w:cs="Arial" w:eastAsia="Arial" w:hAnsi="Arial"/>
          <w:color w:val="2C2C2C"/>
          <w:sz w:val="21"/>
          <w:szCs w:val="21"/>
        </w:rPr>
        <w:t xml:space="preserve">Stand up the metric definition model and catalog UI.</w:t>
      </w:r>
    </w:p>
    <w:p>
      <w:pPr>
        <w:pStyle w:val="ListParagraph"/>
        <w:numPr>
          <w:ilvl w:val="0"/>
          <w:numId w:val="2"/>
        </w:numPr>
        <w:spacing w:after="80" w:line="276"/>
      </w:pPr>
      <w:r>
        <w:rPr>
          <w:rFonts w:ascii="Arial" w:cs="Arial" w:eastAsia="Arial" w:hAnsi="Arial"/>
          <w:color w:val="2C2C2C"/>
          <w:sz w:val="21"/>
          <w:szCs w:val="21"/>
        </w:rPr>
        <w:t xml:space="preserve">Onboard 20–30 Tier 1 regulatory metrics (NIM, CET1, LCR, delinquency rates, CECL provisions).</w:t>
      </w:r>
    </w:p>
    <w:p>
      <w:pPr>
        <w:pStyle w:val="ListParagraph"/>
        <w:numPr>
          <w:ilvl w:val="0"/>
          <w:numId w:val="2"/>
        </w:numPr>
        <w:spacing w:after="80" w:line="276"/>
      </w:pPr>
      <w:r>
        <w:rPr>
          <w:rFonts w:ascii="Arial" w:cs="Arial" w:eastAsia="Arial" w:hAnsi="Arial"/>
          <w:color w:val="2C2C2C"/>
          <w:sz w:val="21"/>
          <w:szCs w:val="21"/>
        </w:rPr>
        <w:t xml:space="preserve">Implement before/after diff and approval workflow for Tier 1 metrics.</w:t>
      </w:r>
    </w:p>
    <w:p>
      <w:pPr>
        <w:pStyle w:val="ListParagraph"/>
        <w:numPr>
          <w:ilvl w:val="0"/>
          <w:numId w:val="2"/>
        </w:numPr>
        <w:spacing w:after="80" w:line="276"/>
      </w:pPr>
      <w:r>
        <w:rPr>
          <w:rFonts w:ascii="Arial" w:cs="Arial" w:eastAsia="Arial" w:hAnsi="Arial"/>
          <w:color w:val="2C2C2C"/>
          <w:sz w:val="21"/>
          <w:szCs w:val="21"/>
        </w:rPr>
        <w:t xml:space="preserve">Deploy the GraphQL API with read-only access for pilot consumers (1–2 dashboards, 1 regulatory report).</w:t>
      </w:r>
    </w:p>
    <w:p>
      <w:pPr>
        <w:pStyle w:val="ListParagraph"/>
        <w:numPr>
          <w:ilvl w:val="0"/>
          <w:numId w:val="2"/>
        </w:numPr>
        <w:spacing w:after="80" w:line="276"/>
      </w:pPr>
      <w:r>
        <w:rPr>
          <w:rFonts w:ascii="Arial" w:cs="Arial" w:eastAsia="Arial" w:hAnsi="Arial"/>
          <w:color w:val="2C2C2C"/>
          <w:sz w:val="21"/>
          <w:szCs w:val="21"/>
        </w:rPr>
        <w:t xml:space="preserve">Establish the Metric Governance Committee charter and meeting cadence.</w:t>
      </w:r>
    </w:p>
    <w:p>
      <w:pPr>
        <w:pStyle w:val="ListParagraph"/>
        <w:numPr>
          <w:ilvl w:val="0"/>
          <w:numId w:val="2"/>
        </w:numPr>
        <w:spacing w:after="80" w:line="276"/>
      </w:pPr>
      <w:r>
        <w:rPr>
          <w:rFonts w:ascii="Arial" w:cs="Arial" w:eastAsia="Arial" w:hAnsi="Arial"/>
          <w:color w:val="2C2C2C"/>
          <w:sz w:val="21"/>
          <w:szCs w:val="21"/>
        </w:rPr>
        <w:t xml:space="preserve">Integrate quality checks for source freshness and completeness.</w:t>
      </w:r>
    </w:p>
    <w:p>
      <w:pPr>
        <w:spacing w:after="120"/>
      </w:pPr>
    </w:p>
    <w:p>
      <w:pPr>
        <w:pStyle w:val="Heading2"/>
        <w:spacing w:before="300" w:after="160"/>
      </w:pPr>
      <w:r>
        <w:rPr>
          <w:rFonts w:ascii="Georgia" w:cs="Georgia" w:eastAsia="Georgia" w:hAnsi="Georgia"/>
          <w:b/>
          <w:bCs/>
          <w:color w:val="0D7377"/>
          <w:sz w:val="26"/>
          <w:szCs w:val="26"/>
        </w:rPr>
        <w:t xml:space="preserve">Phase 2: Scale (Months 5–9)</w:t>
      </w:r>
    </w:p>
    <w:p>
      <w:pPr>
        <w:pStyle w:val="ListParagraph"/>
        <w:numPr>
          <w:ilvl w:val="0"/>
          <w:numId w:val="2"/>
        </w:numPr>
        <w:spacing w:after="80" w:line="276"/>
      </w:pPr>
      <w:r>
        <w:rPr>
          <w:rFonts w:ascii="Arial" w:cs="Arial" w:eastAsia="Arial" w:hAnsi="Arial"/>
          <w:color w:val="2C2C2C"/>
          <w:sz w:val="21"/>
          <w:szCs w:val="21"/>
        </w:rPr>
        <w:t xml:space="preserve">Expand to 100+ metrics across Tier 1–3, covering all major LOBs.</w:t>
      </w:r>
    </w:p>
    <w:p>
      <w:pPr>
        <w:pStyle w:val="ListParagraph"/>
        <w:numPr>
          <w:ilvl w:val="0"/>
          <w:numId w:val="2"/>
        </w:numPr>
        <w:spacing w:after="80" w:line="276"/>
      </w:pPr>
      <w:r>
        <w:rPr>
          <w:rFonts w:ascii="Arial" w:cs="Arial" w:eastAsia="Arial" w:hAnsi="Arial"/>
          <w:color w:val="2C2C2C"/>
          <w:sz w:val="21"/>
          <w:szCs w:val="21"/>
        </w:rPr>
        <w:t xml:space="preserve">Roll out self-service authoring for Tier 3–4 metrics with automated deduplication.</w:t>
      </w:r>
    </w:p>
    <w:p>
      <w:pPr>
        <w:pStyle w:val="ListParagraph"/>
        <w:numPr>
          <w:ilvl w:val="0"/>
          <w:numId w:val="2"/>
        </w:numPr>
        <w:spacing w:after="80" w:line="276"/>
      </w:pPr>
      <w:r>
        <w:rPr>
          <w:rFonts w:ascii="Arial" w:cs="Arial" w:eastAsia="Arial" w:hAnsi="Arial"/>
          <w:color w:val="2C2C2C"/>
          <w:sz w:val="21"/>
          <w:szCs w:val="21"/>
        </w:rPr>
        <w:t xml:space="preserve">Implement algorithmic deduplication (canonical SQL comparison, composite metric detection).</w:t>
      </w:r>
    </w:p>
    <w:p>
      <w:pPr>
        <w:pStyle w:val="ListParagraph"/>
        <w:numPr>
          <w:ilvl w:val="0"/>
          <w:numId w:val="2"/>
        </w:numPr>
        <w:spacing w:after="80" w:line="276"/>
      </w:pPr>
      <w:r>
        <w:rPr>
          <w:rFonts w:ascii="Arial" w:cs="Arial" w:eastAsia="Arial" w:hAnsi="Arial"/>
          <w:color w:val="2C2C2C"/>
          <w:sz w:val="21"/>
          <w:szCs w:val="21"/>
        </w:rPr>
        <w:t xml:space="preserve">Build cross-source reconciliation checks and tolerance monitoring.</w:t>
      </w:r>
    </w:p>
    <w:p>
      <w:pPr>
        <w:pStyle w:val="ListParagraph"/>
        <w:numPr>
          <w:ilvl w:val="0"/>
          <w:numId w:val="2"/>
        </w:numPr>
        <w:spacing w:after="80" w:line="276"/>
      </w:pPr>
      <w:r>
        <w:rPr>
          <w:rFonts w:ascii="Arial" w:cs="Arial" w:eastAsia="Arial" w:hAnsi="Arial"/>
          <w:color w:val="2C2C2C"/>
          <w:sz w:val="21"/>
          <w:szCs w:val="21"/>
        </w:rPr>
        <w:t xml:space="preserve">Integrate GraphQL layer with primary BI tools (Tableau, PowerBI) and the regulatory reporting engine.</w:t>
      </w:r>
    </w:p>
    <w:p>
      <w:pPr>
        <w:pStyle w:val="ListParagraph"/>
        <w:numPr>
          <w:ilvl w:val="0"/>
          <w:numId w:val="2"/>
        </w:numPr>
        <w:spacing w:after="80" w:line="276"/>
      </w:pPr>
      <w:r>
        <w:rPr>
          <w:rFonts w:ascii="Arial" w:cs="Arial" w:eastAsia="Arial" w:hAnsi="Arial"/>
          <w:color w:val="2C2C2C"/>
          <w:sz w:val="21"/>
          <w:szCs w:val="21"/>
        </w:rPr>
        <w:t xml:space="preserve">Deploy role-based and row-level access control across the platform.</w:t>
      </w:r>
    </w:p>
    <w:p>
      <w:pPr>
        <w:spacing w:after="120"/>
      </w:pPr>
    </w:p>
    <w:p>
      <w:pPr>
        <w:pStyle w:val="Heading2"/>
        <w:spacing w:before="300" w:after="160"/>
      </w:pPr>
      <w:r>
        <w:rPr>
          <w:rFonts w:ascii="Georgia" w:cs="Georgia" w:eastAsia="Georgia" w:hAnsi="Georgia"/>
          <w:b/>
          <w:bCs/>
          <w:color w:val="0D7377"/>
          <w:sz w:val="26"/>
          <w:szCs w:val="26"/>
        </w:rPr>
        <w:t xml:space="preserve">Phase 3: Optimize (Months 10–14)</w:t>
      </w:r>
    </w:p>
    <w:p>
      <w:pPr>
        <w:pStyle w:val="ListParagraph"/>
        <w:numPr>
          <w:ilvl w:val="0"/>
          <w:numId w:val="2"/>
        </w:numPr>
        <w:spacing w:after="80" w:line="276"/>
      </w:pPr>
      <w:r>
        <w:rPr>
          <w:rFonts w:ascii="Arial" w:cs="Arial" w:eastAsia="Arial" w:hAnsi="Arial"/>
          <w:color w:val="2C2C2C"/>
          <w:sz w:val="21"/>
          <w:szCs w:val="21"/>
        </w:rPr>
        <w:t xml:space="preserve">Enable real-time/streaming metrics for ALM, liquidity, and fraud detection use cases.</w:t>
      </w:r>
    </w:p>
    <w:p>
      <w:pPr>
        <w:pStyle w:val="ListParagraph"/>
        <w:numPr>
          <w:ilvl w:val="0"/>
          <w:numId w:val="2"/>
        </w:numPr>
        <w:spacing w:after="80" w:line="276"/>
      </w:pPr>
      <w:r>
        <w:rPr>
          <w:rFonts w:ascii="Arial" w:cs="Arial" w:eastAsia="Arial" w:hAnsi="Arial"/>
          <w:color w:val="2C2C2C"/>
          <w:sz w:val="21"/>
          <w:szCs w:val="21"/>
        </w:rPr>
        <w:t xml:space="preserve">Launch the ML feature store integration—metrics as governed features.</w:t>
      </w:r>
    </w:p>
    <w:p>
      <w:pPr>
        <w:pStyle w:val="ListParagraph"/>
        <w:numPr>
          <w:ilvl w:val="0"/>
          <w:numId w:val="2"/>
        </w:numPr>
        <w:spacing w:after="80" w:line="276"/>
      </w:pPr>
      <w:r>
        <w:rPr>
          <w:rFonts w:ascii="Arial" w:cs="Arial" w:eastAsia="Arial" w:hAnsi="Arial"/>
          <w:color w:val="2C2C2C"/>
          <w:sz w:val="21"/>
          <w:szCs w:val="21"/>
        </w:rPr>
        <w:t xml:space="preserve">Implement GraphQL federation to compose metrics with customer, product, and channel data domains.</w:t>
      </w:r>
    </w:p>
    <w:p>
      <w:pPr>
        <w:pStyle w:val="ListParagraph"/>
        <w:numPr>
          <w:ilvl w:val="0"/>
          <w:numId w:val="2"/>
        </w:numPr>
        <w:spacing w:after="80" w:line="276"/>
      </w:pPr>
      <w:r>
        <w:rPr>
          <w:rFonts w:ascii="Arial" w:cs="Arial" w:eastAsia="Arial" w:hAnsi="Arial"/>
          <w:color w:val="2C2C2C"/>
          <w:sz w:val="21"/>
          <w:szCs w:val="21"/>
        </w:rPr>
        <w:t xml:space="preserve">Build automated regulatory filing connectors that pull directly from governed metrics.</w:t>
      </w:r>
    </w:p>
    <w:p>
      <w:pPr>
        <w:pStyle w:val="ListParagraph"/>
        <w:numPr>
          <w:ilvl w:val="0"/>
          <w:numId w:val="2"/>
        </w:numPr>
        <w:spacing w:after="80" w:line="276"/>
      </w:pPr>
      <w:r>
        <w:rPr>
          <w:rFonts w:ascii="Arial" w:cs="Arial" w:eastAsia="Arial" w:hAnsi="Arial"/>
          <w:color w:val="2C2C2C"/>
          <w:sz w:val="21"/>
          <w:szCs w:val="21"/>
        </w:rPr>
        <w:t xml:space="preserve">Conduct external audit of the platform and publish the bank’s data governance framework updates.</w:t>
      </w:r>
    </w:p>
    <w:p>
      <w:pPr>
        <w:spacing w:after="120"/>
      </w:pPr>
    </w:p>
    <w:p>
      <w:pPr>
        <w:pStyle w:val="Heading2"/>
        <w:spacing w:before="300" w:after="160"/>
      </w:pPr>
      <w:r>
        <w:rPr>
          <w:rFonts w:ascii="Georgia" w:cs="Georgia" w:eastAsia="Georgia" w:hAnsi="Georgia"/>
          <w:b/>
          <w:bCs/>
          <w:color w:val="0D7377"/>
          <w:sz w:val="26"/>
          <w:szCs w:val="26"/>
        </w:rPr>
        <w:t xml:space="preserve">Phase 4: Mature (Months 15–18+)</w:t>
      </w:r>
    </w:p>
    <w:p>
      <w:pPr>
        <w:pStyle w:val="ListParagraph"/>
        <w:numPr>
          <w:ilvl w:val="0"/>
          <w:numId w:val="2"/>
        </w:numPr>
        <w:spacing w:after="80" w:line="276"/>
      </w:pPr>
      <w:r>
        <w:rPr>
          <w:rFonts w:ascii="Arial" w:cs="Arial" w:eastAsia="Arial" w:hAnsi="Arial"/>
          <w:color w:val="2C2C2C"/>
          <w:sz w:val="21"/>
          <w:szCs w:val="21"/>
        </w:rPr>
        <w:t xml:space="preserve">Full bank-wide adoption with all material metrics governed on the platform.</w:t>
      </w:r>
    </w:p>
    <w:p>
      <w:pPr>
        <w:pStyle w:val="ListParagraph"/>
        <w:numPr>
          <w:ilvl w:val="0"/>
          <w:numId w:val="2"/>
        </w:numPr>
        <w:spacing w:after="80" w:line="276"/>
      </w:pPr>
      <w:r>
        <w:rPr>
          <w:rFonts w:ascii="Arial" w:cs="Arial" w:eastAsia="Arial" w:hAnsi="Arial"/>
          <w:color w:val="2C2C2C"/>
          <w:sz w:val="21"/>
          <w:szCs w:val="21"/>
        </w:rPr>
        <w:t xml:space="preserve">Sunset legacy metric pipelines and Excel-based metric processes.</w:t>
      </w:r>
    </w:p>
    <w:p>
      <w:pPr>
        <w:pStyle w:val="ListParagraph"/>
        <w:numPr>
          <w:ilvl w:val="0"/>
          <w:numId w:val="2"/>
        </w:numPr>
        <w:spacing w:after="80" w:line="276"/>
      </w:pPr>
      <w:r>
        <w:rPr>
          <w:rFonts w:ascii="Arial" w:cs="Arial" w:eastAsia="Arial" w:hAnsi="Arial"/>
          <w:color w:val="2C2C2C"/>
          <w:sz w:val="21"/>
          <w:szCs w:val="21"/>
        </w:rPr>
        <w:t xml:space="preserve">Extend to subsidiary and affiliate entities.</w:t>
      </w:r>
    </w:p>
    <w:p>
      <w:pPr>
        <w:pStyle w:val="ListParagraph"/>
        <w:numPr>
          <w:ilvl w:val="0"/>
          <w:numId w:val="2"/>
        </w:numPr>
        <w:spacing w:after="80" w:line="276"/>
      </w:pPr>
      <w:r>
        <w:rPr>
          <w:rFonts w:ascii="Arial" w:cs="Arial" w:eastAsia="Arial" w:hAnsi="Arial"/>
          <w:color w:val="2C2C2C"/>
          <w:sz w:val="21"/>
          <w:szCs w:val="21"/>
        </w:rPr>
        <w:t xml:space="preserve">Publish internal and external data quality scorecards.</w:t>
      </w:r>
    </w:p>
    <w:p>
      <w:pPr>
        <w:pStyle w:val="ListParagraph"/>
        <w:numPr>
          <w:ilvl w:val="0"/>
          <w:numId w:val="2"/>
        </w:numPr>
        <w:spacing w:after="80" w:line="276"/>
      </w:pPr>
      <w:r>
        <w:rPr>
          <w:rFonts w:ascii="Arial" w:cs="Arial" w:eastAsia="Arial" w:hAnsi="Arial"/>
          <w:color w:val="2C2C2C"/>
          <w:sz w:val="21"/>
          <w:szCs w:val="21"/>
        </w:rPr>
        <w:t xml:space="preserve">Explore metric marketplace concepts for controlled external data sharing.</w:t>
      </w:r>
    </w:p>
    <w:p>
      <w:r>
        <w:br w:type="page"/>
      </w:r>
    </w:p>
    <w:p>
      <w:pPr>
        <w:pStyle w:val="Heading1"/>
        <w:spacing w:before="400" w:after="200"/>
      </w:pPr>
      <w:r>
        <w:rPr>
          <w:rFonts w:ascii="Georgia" w:cs="Georgia" w:eastAsia="Georgia" w:hAnsi="Georgia"/>
          <w:b/>
          <w:bCs/>
          <w:color w:val="1B2A4A"/>
          <w:sz w:val="32"/>
          <w:szCs w:val="32"/>
        </w:rPr>
        <w:t xml:space="preserve">8. Recommended Technology Stack</w:t>
      </w:r>
    </w:p>
    <w:p>
      <w:pPr>
        <w:pBdr>
          <w:bottom w:val="single" w:color="0D7377"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Options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Metric Catalog &amp; UI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Custom React application; optionally extend DataHub or Atlan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Must support before/after diff UI, approval workflows, and rich search</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Definition Storage</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PostgreSQL or similar RDBMS for metric metadata + Git for version control of SQL definitions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Git provides native diffing, branching, and audit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Computation Engine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Apache Spark (batch), Apache Flink or Kafka Streams (real-time)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Leverage existing bank data platform investments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Data Warehouse</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Snowflake, Databricks, or existing on-prem EDW</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Source views abstract this; the metric store is warehouse-agnostic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GraphQL Gateway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Apollo Server with Apollo Federation, or Hasura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Hasura accelerates development; Apollo provides more control for custom authorization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Quality Engine</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Great Expectations, Monte Carlo, or Soda Core</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Integrate with alerting (PagerDuty, ServiceNow) for quality SLA violations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Access Control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Open Policy Agent (OPA) or bank’s existing IAM framework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Must integrate with Active Directory / LDAP and support field-level auth</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Audit &amp; Lineage</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Apache Atlas, OpenLineage, or Marquez</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Auto-capture lineage from computation jobs; feed into the catalog</w:t>
            </w:r>
          </w:p>
        </w:tc>
      </w:tr>
    </w:tbl>
    <w:p>
      <w:r>
        <w:br w:type="page"/>
      </w:r>
    </w:p>
    <w:p>
      <w:pPr>
        <w:pStyle w:val="Heading1"/>
        <w:spacing w:before="400" w:after="200"/>
      </w:pPr>
      <w:r>
        <w:rPr>
          <w:rFonts w:ascii="Georgia" w:cs="Georgia" w:eastAsia="Georgia" w:hAnsi="Georgia"/>
          <w:b/>
          <w:bCs/>
          <w:color w:val="1B2A4A"/>
          <w:sz w:val="32"/>
          <w:szCs w:val="32"/>
        </w:rPr>
        <w:t xml:space="preserve">9. Organizational Model</w:t>
      </w:r>
    </w:p>
    <w:p>
      <w:pPr>
        <w:pBdr>
          <w:bottom w:val="single" w:color="0D7377" w:sz="4" w:space="1"/>
        </w:pBdr>
        <w:spacing w:after="200"/>
      </w:pPr>
    </w:p>
    <w:p>
      <w:pPr>
        <w:spacing w:after="160" w:line="276"/>
      </w:pPr>
      <w:r>
        <w:rPr>
          <w:rFonts w:ascii="Arial" w:cs="Arial" w:eastAsia="Arial" w:hAnsi="Arial"/>
          <w:color w:val="2C2C2C"/>
          <w:sz w:val="21"/>
          <w:szCs w:val="21"/>
        </w:rPr>
        <w:t xml:space="preserve">Technology alone cannot solve metric fragmentation. The platform requires a supporting organizational structure:</w:t>
      </w:r>
    </w:p>
    <w:p>
      <w:pPr>
        <w:pStyle w:val="Heading2"/>
        <w:spacing w:before="300" w:after="160"/>
      </w:pPr>
      <w:r>
        <w:rPr>
          <w:rFonts w:ascii="Georgia" w:cs="Georgia" w:eastAsia="Georgia" w:hAnsi="Georgia"/>
          <w:b/>
          <w:bCs/>
          <w:color w:val="0D7377"/>
          <w:sz w:val="26"/>
          <w:szCs w:val="26"/>
        </w:rPr>
        <w:t xml:space="preserve">9.1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Home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Metric Store Platform Team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Build, maintain, and evolve the platform; SRE for the GraphQL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Data Engineering / CTO office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Metric Governance Committee</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Approve Tier 1 changes; set standards; resolve cross-LOB disputes</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Cross-functional: CFO, CRO, CDO, LOB leads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Metric Owners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Author and maintain definitions for their domain; respond to quality alerts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Within each LOB / functional area</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Metric Stewards</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Review changes within their domain; ensure definitions match business intent</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Data Governance or embedded in LOB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Data Quality Engineers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Configure and monitor quality checks; investigate failures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Data Engineering or Data Governance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Consumers</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Query metrics via GraphQL; provide feedback on usability and accuracy</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Everyone: analysts, data scientists, executives, systems</w:t>
            </w:r>
          </w:p>
        </w:tc>
      </w:tr>
    </w:tbl>
    <w:p>
      <w:pPr>
        <w:spacing w:after="120"/>
      </w:pPr>
    </w:p>
    <w:p>
      <w:pPr>
        <w:pStyle w:val="Heading2"/>
        <w:spacing w:before="300" w:after="160"/>
      </w:pPr>
      <w:r>
        <w:rPr>
          <w:rFonts w:ascii="Georgia" w:cs="Georgia" w:eastAsia="Georgia" w:hAnsi="Georgia"/>
          <w:b/>
          <w:bCs/>
          <w:color w:val="0D7377"/>
          <w:sz w:val="26"/>
          <w:szCs w:val="26"/>
        </w:rPr>
        <w:t xml:space="preserve">9.2 Governance Committee Structure</w:t>
      </w:r>
    </w:p>
    <w:p>
      <w:pPr>
        <w:spacing w:after="160" w:line="276"/>
      </w:pPr>
      <w:r>
        <w:rPr>
          <w:rFonts w:ascii="Arial" w:cs="Arial" w:eastAsia="Arial" w:hAnsi="Arial"/>
          <w:color w:val="2C2C2C"/>
          <w:sz w:val="21"/>
          <w:szCs w:val="21"/>
        </w:rPr>
        <w:t xml:space="preserve">The Metric Governance Committee meets monthly (or ad hoc for urgent changes) and is responsible for: approving Tier 1 metric definitions and changes; adjudicating disputes when two teams disagree on a metric’s business logic; reviewing platform-wide quality scorecards; and aligning with the bank’s broader Data Governance Council and Model Risk Management functions.</w:t>
      </w:r>
    </w:p>
    <w:p>
      <w:r>
        <w:br w:type="page"/>
      </w:r>
    </w:p>
    <w:p>
      <w:pPr>
        <w:pStyle w:val="Heading1"/>
        <w:spacing w:before="400" w:after="200"/>
      </w:pPr>
      <w:r>
        <w:rPr>
          <w:rFonts w:ascii="Georgia" w:cs="Georgia" w:eastAsia="Georgia" w:hAnsi="Georgia"/>
          <w:b/>
          <w:bCs/>
          <w:color w:val="1B2A4A"/>
          <w:sz w:val="32"/>
          <w:szCs w:val="32"/>
        </w:rPr>
        <w:t xml:space="preserve">10. Risk Considerations</w:t>
      </w:r>
    </w:p>
    <w:p>
      <w:pPr>
        <w:pBdr>
          <w:bottom w:val="single" w:color="0D7377"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Organizational resistance (“my Excel works fine”)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Start with Tier 1 regulatory metrics where the pain is undeniable; demonstrate time savings; executive sponsorship from CFO/CDO</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Over-governance slows adoption</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Tiering model ensures Tier 3–4 metrics have lightweight self-service process; only Tier 1–2 require committee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Platform becomes another silo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GraphQL API ensures the platform serves consumers where they already work (BI tools, notebooks, reporting engines)—not a separate portal they must visit</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Data quality issues erode trust</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Quality framework runs proactively; transparency of quality scores builds credibility incrementally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Scope creep / boiling the ocean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Phased rollout; Phase 1 scoped to 20–30 metrics; declare success criteria before expanding</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Key-person dependency</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Platform team must be staffed for sustainability; runbooks, on-call rotation, and documentation from day one</w:t>
            </w:r>
          </w:p>
        </w:tc>
      </w:tr>
    </w:tbl>
    <w:p>
      <w:r>
        <w:br w:type="page"/>
      </w:r>
    </w:p>
    <w:p>
      <w:pPr>
        <w:pStyle w:val="Heading1"/>
        <w:spacing w:before="400" w:after="200"/>
      </w:pPr>
      <w:r>
        <w:rPr>
          <w:rFonts w:ascii="Georgia" w:cs="Georgia" w:eastAsia="Georgia" w:hAnsi="Georgia"/>
          <w:b/>
          <w:bCs/>
          <w:color w:val="1B2A4A"/>
          <w:sz w:val="32"/>
          <w:szCs w:val="32"/>
        </w:rPr>
        <w:t xml:space="preserve">11. Measuring Success</w:t>
      </w:r>
    </w:p>
    <w:p>
      <w:pPr>
        <w:pBdr>
          <w:bottom w:val="single" w:color="0D7377" w:sz="4" w:space="1"/>
        </w:pBdr>
        <w:spacing w:after="200"/>
      </w:pPr>
    </w:p>
    <w:p>
      <w:pPr>
        <w:spacing w:after="160" w:line="276"/>
      </w:pPr>
      <w:r>
        <w:rPr>
          <w:rFonts w:ascii="Arial" w:cs="Arial" w:eastAsia="Arial" w:hAnsi="Arial"/>
          <w:color w:val="2C2C2C"/>
          <w:sz w:val="21"/>
          <w:szCs w:val="21"/>
        </w:rPr>
        <w:t xml:space="preserve">The metric store itself should be measured. The following KPIs track platform adoption and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(12 months)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Metric coverage (% of Tier 1–2 metrics on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&gt;90%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Catalog completeness audit</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Consumer adoption (unique users/month)</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&gt;200 active consumers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GraphQL access logs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Reconciliation incidents per quarter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&lt;5 (from current ~30–50)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Incident tracking system</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Average time-to-new-metric (Tier 3)</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&lt;5 business days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Platform workflow timestamps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Quality SLA 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&gt;95% of metrics green-scored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Quality engine dashboards</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Regulatory finding reduction</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Zero metric-related MRAs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Exam tracking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Net Promoter Score (internal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&gt;40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Quarterly survey of metric consumers</w:t>
            </w:r>
          </w:p>
        </w:tc>
      </w:tr>
    </w:tbl>
    <w:p>
      <w:r>
        <w:br w:type="page"/>
      </w:r>
    </w:p>
    <w:p>
      <w:pPr>
        <w:pStyle w:val="Heading1"/>
        <w:spacing w:before="400" w:after="200"/>
      </w:pPr>
      <w:r>
        <w:rPr>
          <w:rFonts w:ascii="Georgia" w:cs="Georgia" w:eastAsia="Georgia" w:hAnsi="Georgia"/>
          <w:b/>
          <w:bCs/>
          <w:color w:val="1B2A4A"/>
          <w:sz w:val="32"/>
          <w:szCs w:val="32"/>
        </w:rPr>
        <w:t xml:space="preserve">12. Appendix: Uber uMetric Comparison</w:t>
      </w:r>
    </w:p>
    <w:p>
      <w:pPr>
        <w:pBdr>
          <w:bottom w:val="single" w:color="0D7377" w:sz="4" w:space="1"/>
        </w:pBdr>
        <w:spacing w:after="200"/>
      </w:pPr>
    </w:p>
    <w:p>
      <w:pPr>
        <w:spacing w:after="160" w:line="276"/>
      </w:pPr>
      <w:r>
        <w:rPr>
          <w:rFonts w:ascii="Arial" w:cs="Arial" w:eastAsia="Arial" w:hAnsi="Arial"/>
          <w:color w:val="2C2C2C"/>
          <w:sz w:val="21"/>
          <w:szCs w:val="21"/>
        </w:rPr>
        <w:t xml:space="preserve">The following summarizes how the BankMetric framework adapts Uber’s uMetric platform for financial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Uber uMetric</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BankMetric Adaptation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Definition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View + Metric + Dimensions in 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Same model, extended with regulatory mapping fields and natural language descriptions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Deduplication</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Canonical SQL comparison using linear algebra properties</w:t>
            </w:r>
          </w:p>
        </w:tc>
        <w:tc>
          <w:tcPr>
            <w:tcW w:type="dxa" w:w="4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Same approach, plus composite metric detection for derived regulatory ratios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Governance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Verification Committees per org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Tiered governance: Metric Governance Committee for Tier 1, delegated for Tier 3–4</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Quality</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Freshness, cross-DC consistency, completeness</w:t>
            </w:r>
          </w:p>
        </w:tc>
        <w:tc>
          <w:tcPr>
            <w:tcW w:type="dxa" w:w="4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Same checks plus BCBS 239 compliance, tolerance monitoring, and reconciliation to GL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Access control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Inherited from source tables via Apache Calcite SQL parsing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Same lineage-based inheritance, extended with regulatory data classification (MNPI, PII)</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Consumption</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Multiple internal tools</w:t>
            </w:r>
          </w:p>
        </w:tc>
        <w:tc>
          <w:tcPr>
            <w:tcW w:type="dxa" w:w="4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Unified GraphQL API as single access layer with federated schema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Change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Not detailed in public article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Before/after diff with impact analysis, effective dating, and examiner-ready audit trail</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Regulatory alignment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Not applicable</w:t>
            </w:r>
          </w:p>
        </w:tc>
        <w:tc>
          <w:tcPr>
            <w:tcW w:type="dxa" w:w="4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color w:val="2C2C2C"/>
                <w:sz w:val="20"/>
                <w:szCs w:val="20"/>
              </w:rPr>
              <w:t xml:space="preserve">Metric definitions map to Call Report, FR Y-9C, Basel III, and CECL line items</w:t>
            </w:r>
          </w:p>
        </w:tc>
      </w:tr>
    </w:tbl>
    <w:p>
      <w:pPr>
        <w:spacing w:after="300"/>
      </w:pPr>
    </w:p>
    <w:p>
      <w:pPr>
        <w:pBdr>
          <w:bottom w:val="single" w:color="0D7377" w:sz="4" w:space="1"/>
        </w:pBdr>
        <w:spacing w:after="200"/>
      </w:pPr>
    </w:p>
    <w:p>
      <w:pPr>
        <w:spacing w:after="120"/>
        <w:jc w:val="center"/>
      </w:pPr>
      <w:r>
        <w:rPr>
          <w:rFonts w:ascii="Georgia" w:cs="Georgia" w:eastAsia="Georgia" w:hAnsi="Georgia"/>
          <w:i/>
          <w:iCs/>
          <w:color w:val="666666"/>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2" w:space="4"/>
      </w:pBdr>
    </w:pPr>
    <w:r>
      <w:rPr>
        <w:rFonts w:ascii="Arial" w:cs="Arial" w:eastAsia="Arial" w:hAnsi="Arial"/>
        <w:i/>
        <w:iCs/>
        <w:color w:val="666666"/>
        <w:sz w:val="16"/>
        <w:szCs w:val="16"/>
      </w:rPr>
      <w:t xml:space="preserve">Metric Store Strategic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B2A4A"/>
      <w:sz w:val="32"/>
      <w:szCs w:val="32"/>
    </w:rPr>
  </w:style>
  <w:style w:type="paragraph" w:styleId="Heading2">
    <w:name w:val="Heading 2"/>
    <w:basedOn w:val="Normal"/>
    <w:next w:val="Normal"/>
    <w:qFormat/>
    <w:pPr>
      <w:spacing w:before="300" w:after="160"/>
      <w:outlineLvl w:val="1"/>
    </w:pPr>
    <w:rPr>
      <w:rFonts w:ascii="Georgia" w:cs="Georgia" w:eastAsia="Georgia" w:hAnsi="Georgia"/>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2026-03-12T17:02:43.080Z</dcterms:created>
  <dcterms:modified xsi:type="dcterms:W3CDTF">2026-03-12T17:02:43.081Z</dcterms:modified>
</cp:coreProperties>
</file>

<file path=docProps/custom.xml><?xml version="1.0" encoding="utf-8"?>
<Properties xmlns="http://schemas.openxmlformats.org/officeDocument/2006/custom-properties" xmlns:vt="http://schemas.openxmlformats.org/officeDocument/2006/docPropsVTypes"/>
</file>