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406"/>
            <w:shd w:val="clear" w:color="auto" w:fill="002B5C"/>
          </w:tcPr>
          <w:p>
            <w:pPr>
              <w:spacing w:before="400" w:after="80"/>
            </w:pPr>
            <w:r>
              <w:rPr>
                <w:rFonts w:ascii="Calibri" w:hAnsi="Calibri"/>
                <w:b/>
                <w:i w:val="0"/>
                <w:color w:val="FFFFFF"/>
                <w:sz w:val="56"/>
              </w:rPr>
              <w:t>ARIA PLATFORM</w:t>
            </w:r>
          </w:p>
          <w:p>
            <w:pPr>
              <w:spacing w:before="0" w:after="80"/>
            </w:pPr>
            <w:r>
              <w:rPr>
                <w:rFonts w:ascii="Calibri" w:hAnsi="Calibri"/>
                <w:b w:val="0"/>
                <w:i/>
                <w:color w:val="1D6FDB"/>
                <w:sz w:val="32"/>
              </w:rPr>
              <w:t>Real Intelligence for Every Investor</w:t>
            </w:r>
          </w:p>
          <w:p>
            <w:pPr>
              <w:spacing w:before="200" w:after="200"/>
            </w:pPr>
            <w:r>
              <w:rPr>
                <w:rFonts w:ascii="Calibri" w:hAnsi="Calibri"/>
                <w:b w:val="0"/>
                <w:i w:val="0"/>
                <w:color w:val="007A87"/>
                <w:sz w:val="20"/>
              </w:rPr>
              <w:t>────────────────────────────────────────────────────────────</w:t>
            </w:r>
          </w:p>
          <w:p>
            <w:pPr>
              <w:spacing w:before="20" w:after="20"/>
            </w:pPr>
            <w:r>
              <w:rPr>
                <w:rFonts w:ascii="Calibri" w:hAnsi="Calibri"/>
                <w:b/>
                <w:i w:val="0"/>
                <w:color w:val="007A87"/>
                <w:sz w:val="17"/>
              </w:rPr>
              <w:t xml:space="preserve">Author:  </w:t>
            </w:r>
            <w:r>
              <w:rPr>
                <w:rFonts w:ascii="Calibri" w:hAnsi="Calibri"/>
                <w:b w:val="0"/>
                <w:i w:val="0"/>
                <w:color w:val="CCDDEE"/>
                <w:sz w:val="17"/>
              </w:rPr>
              <w:t>Sunny Hayes (sunder-vasudevan)</w:t>
            </w:r>
          </w:p>
          <w:p>
            <w:pPr>
              <w:spacing w:before="20" w:after="20"/>
            </w:pPr>
            <w:r>
              <w:rPr>
                <w:rFonts w:ascii="Calibri" w:hAnsi="Calibri"/>
                <w:b/>
                <w:i w:val="0"/>
                <w:color w:val="007A87"/>
                <w:sz w:val="17"/>
              </w:rPr>
              <w:t xml:space="preserve">Date:  </w:t>
            </w:r>
            <w:r>
              <w:rPr>
                <w:rFonts w:ascii="Calibri" w:hAnsi="Calibri"/>
                <w:b w:val="0"/>
                <w:i w:val="0"/>
                <w:color w:val="CCDDEE"/>
                <w:sz w:val="17"/>
              </w:rPr>
              <w:t>March 2026</w:t>
            </w:r>
          </w:p>
          <w:p>
            <w:pPr>
              <w:spacing w:before="20" w:after="20"/>
            </w:pPr>
            <w:r>
              <w:rPr>
                <w:rFonts w:ascii="Calibri" w:hAnsi="Calibri"/>
                <w:b/>
                <w:i w:val="0"/>
                <w:color w:val="007A87"/>
                <w:sz w:val="17"/>
              </w:rPr>
              <w:t xml:space="preserve">Version:  </w:t>
            </w:r>
            <w:r>
              <w:rPr>
                <w:rFonts w:ascii="Calibri" w:hAnsi="Calibri"/>
                <w:b w:val="0"/>
                <w:i w:val="0"/>
                <w:color w:val="CCDDEE"/>
                <w:sz w:val="17"/>
              </w:rPr>
              <w:t>1.0</w:t>
            </w:r>
          </w:p>
          <w:p>
            <w:pPr>
              <w:spacing w:before="20" w:after="20"/>
            </w:pPr>
            <w:r>
              <w:rPr>
                <w:rFonts w:ascii="Calibri" w:hAnsi="Calibri"/>
                <w:b/>
                <w:i w:val="0"/>
                <w:color w:val="007A87"/>
                <w:sz w:val="17"/>
              </w:rPr>
              <w:t xml:space="preserve">Audience:  </w:t>
            </w:r>
            <w:r>
              <w:rPr>
                <w:rFonts w:ascii="Calibri" w:hAnsi="Calibri"/>
                <w:b w:val="0"/>
                <w:i w:val="0"/>
                <w:color w:val="CCDDEE"/>
                <w:sz w:val="17"/>
              </w:rPr>
              <w:t>Technical founders, fintech investors, wealth advisors, engineering leads</w:t>
            </w:r>
          </w:p>
          <w:p>
            <w:pPr>
              <w:spacing w:before="20" w:after="20"/>
            </w:pPr>
            <w:r>
              <w:rPr>
                <w:rFonts w:ascii="Calibri" w:hAnsi="Calibri"/>
                <w:b/>
                <w:i w:val="0"/>
                <w:color w:val="007A87"/>
                <w:sz w:val="17"/>
              </w:rPr>
              <w:t xml:space="preserve">Products:  </w:t>
            </w:r>
            <w:r>
              <w:rPr>
                <w:rFonts w:ascii="Calibri" w:hAnsi="Calibri"/>
                <w:b w:val="0"/>
                <w:i w:val="0"/>
                <w:color w:val="CCDDEE"/>
                <w:sz w:val="17"/>
              </w:rPr>
              <w:t>A-RiA (Advisor) · ARIA Personal (Consumer)</w:t>
            </w:r>
          </w:p>
          <w:p>
            <w:pPr>
              <w:spacing w:before="320" w:after="160"/>
            </w:pPr>
            <w:r>
              <w:rPr>
                <w:rFonts w:ascii="Calibri" w:hAnsi="Calibri"/>
                <w:b w:val="0"/>
                <w:i/>
                <w:color w:val="8899AA"/>
                <w:sz w:val="18"/>
              </w:rPr>
              <w:t>Made with ❤️ in Hyderabad</w:t>
            </w:r>
          </w:p>
        </w:tc>
      </w:tr>
    </w:tbl>
    <w:p/>
    <w:p>
      <w:r>
        <w:br w:type="page"/>
      </w:r>
    </w:p>
    <w:p>
      <w:pPr>
        <w:spacing w:before="320" w:after="40"/>
      </w:pPr>
      <w:r>
        <w:rPr>
          <w:rFonts w:ascii="Calibri" w:hAnsi="Calibri"/>
          <w:b/>
          <w:i w:val="0"/>
          <w:color w:val="002B5C"/>
          <w:sz w:val="28"/>
        </w:rPr>
        <w:t>. Abstract</w:t>
      </w:r>
    </w:p>
    <w:p>
      <w:pPr>
        <w:spacing w:before="0" w:after="120"/>
      </w:pPr>
      <w:r>
        <w:rPr>
          <w:rFonts w:ascii="Calibri" w:hAnsi="Calibri"/>
          <w:b w:val="0"/>
          <w:i w:val="0"/>
          <w:color w:val="005B99"/>
          <w:sz w:val="14"/>
        </w:rPr>
        <w:t>────────────────────────────────────────────────────────────────────────────────</w:t>
      </w:r>
    </w:p>
    <w:p>
      <w:pPr>
        <w:spacing w:before="0" w:after="120"/>
      </w:pPr>
      <w:r>
        <w:rPr>
          <w:rFonts w:ascii="Calibri" w:hAnsi="Calibri"/>
          <w:b w:val="0"/>
          <w:i w:val="0"/>
          <w:color w:val="1A1A2E"/>
          <w:sz w:val="20"/>
        </w:rPr>
        <w:t>This paper documents the ARIA platform — two sibling fintech applications built by a single Product Owner in collaboration with Claude (Anthropic) as a persistent AI pair-programmer. A-RiA (Advisor Relationship Intelligence Assistant) is a workbench for bank Relationship Managers and wealth advisors. ARIA Personal is a consumer-facing app for self-directed investors. Both share a FastAPI backend on Render, a PostgreSQL database on Supabase, and separate React frontends on Vercel.</w:t>
      </w:r>
    </w:p>
    <w:p>
      <w:pPr>
        <w:spacing w:before="0" w:after="120"/>
      </w:pPr>
      <w:r>
        <w:rPr>
          <w:rFonts w:ascii="Calibri" w:hAnsi="Calibri"/>
          <w:b w:val="0"/>
          <w:i w:val="0"/>
          <w:color w:val="1A1A2E"/>
          <w:sz w:val="20"/>
        </w:rPr>
        <w:t>Part 1 documents the product: what was built, why, and how the architecture enables both products simultaneously. Part 2 documents the engineering story: how one Product Owner with Claude built two production-grade fintech applications — with JWT auth, Monte Carlo simulation, AI copilot, and a polished design system — in a single build window.</w:t>
      </w:r>
    </w:p>
    <w:tbl>
      <w:tblPr>
        <w:tblW w:type="auto" w:w="0"/>
        <w:jc w:val="center"/>
        <w:tblLook w:firstColumn="1" w:firstRow="1" w:lastColumn="0" w:lastRow="0" w:noHBand="0" w:noVBand="1" w:val="04A0"/>
      </w:tblPr>
      <w:tblGrid>
        <w:gridCol w:w="9406"/>
      </w:tblGrid>
      <w:tr>
        <w:tc>
          <w:tcPr>
            <w:tcW w:type="dxa" w:w="9406"/>
            <w:shd w:val="clear" w:color="auto" w:fill="E8F4F6"/>
            <w:tcBorders>
              <w:left w:val="single" w:sz="24" w:color="007A87"/>
            </w:tcBorders>
          </w:tcPr>
          <w:p>
            <w:pPr>
              <w:spacing w:before="80" w:after="40"/>
            </w:pPr>
            <w:r>
              <w:rPr>
                <w:rFonts w:ascii="Calibri" w:hAnsi="Calibri"/>
                <w:b/>
                <w:i w:val="0"/>
                <w:color w:val="007A87"/>
                <w:sz w:val="16"/>
              </w:rPr>
              <w:t>PLATFORM SUMMARY</w:t>
            </w:r>
          </w:p>
          <w:p>
            <w:pPr>
              <w:spacing w:before="40" w:after="120"/>
            </w:pPr>
            <w:r>
              <w:rPr>
                <w:rFonts w:ascii="Calibri" w:hAnsi="Calibri"/>
                <w:b w:val="0"/>
                <w:i/>
                <w:color w:val="002B5C"/>
                <w:sz w:val="21"/>
              </w:rPr>
              <w:t>A-RiA: "Real Intelligence for Every Client" — for advisors.</w:t>
              <w:br/>
              <w:t>ARIA Personal: "Your Money Intelligence" — for self-directed investors.</w:t>
              <w:br/>
              <w:t>One shared backend. One simulation engine. Two live products.</w:t>
            </w:r>
          </w:p>
        </w:tc>
      </w:tr>
    </w:tbl>
    <w:p/>
    <w:p>
      <w:r>
        <w:br w:type="page"/>
      </w:r>
    </w:p>
    <w:tbl>
      <w:tblPr>
        <w:tblW w:type="auto" w:w="0"/>
        <w:jc w:val="center"/>
        <w:tblLook w:firstColumn="1" w:firstRow="1" w:lastColumn="0" w:lastRow="0" w:noHBand="0" w:noVBand="1" w:val="04A0"/>
      </w:tblPr>
      <w:tblGrid>
        <w:gridCol w:w="9406"/>
      </w:tblGrid>
      <w:tr>
        <w:tc>
          <w:tcPr>
            <w:tcW w:type="dxa" w:w="9406"/>
            <w:shd w:val="clear" w:color="auto" w:fill="005B99"/>
          </w:tcPr>
          <w:p>
            <w:pPr>
              <w:spacing w:before="160" w:after="160"/>
              <w:jc w:val="center"/>
            </w:pPr>
            <w:r>
              <w:rPr>
                <w:rFonts w:ascii="Calibri" w:hAnsi="Calibri"/>
                <w:b/>
                <w:i w:val="0"/>
                <w:color w:val="FFFFFF"/>
                <w:sz w:val="26"/>
              </w:rPr>
              <w:t>PART 1 — PRODUCT WHITEPAPER</w:t>
            </w:r>
          </w:p>
        </w:tc>
      </w:tr>
    </w:tbl>
    <w:p/>
    <w:p>
      <w:pPr>
        <w:spacing w:before="320" w:after="40"/>
      </w:pPr>
      <w:r>
        <w:rPr>
          <w:rFonts w:ascii="Calibri" w:hAnsi="Calibri"/>
          <w:b/>
          <w:i w:val="0"/>
          <w:color w:val="002B5C"/>
          <w:sz w:val="28"/>
        </w:rPr>
        <w:t>1. The Problem — Wealth Advisory Is Broken for Most Indians</w:t>
      </w:r>
    </w:p>
    <w:p>
      <w:pPr>
        <w:spacing w:before="0" w:after="120"/>
      </w:pPr>
      <w:r>
        <w:rPr>
          <w:rFonts w:ascii="Calibri" w:hAnsi="Calibri"/>
          <w:b w:val="0"/>
          <w:i w:val="0"/>
          <w:color w:val="005B99"/>
          <w:sz w:val="14"/>
        </w:rPr>
        <w:t>────────────────────────────────────────────────────────────────────────────────</w:t>
      </w:r>
    </w:p>
    <w:p>
      <w:pPr>
        <w:spacing w:before="0" w:after="120"/>
      </w:pPr>
      <w:r>
        <w:rPr>
          <w:rFonts w:ascii="Calibri" w:hAnsi="Calibri"/>
          <w:b w:val="0"/>
          <w:i w:val="0"/>
          <w:color w:val="1A1A2E"/>
          <w:sz w:val="20"/>
        </w:rPr>
        <w:t>India's wealth management industry is at an inflection point. Over 40 million mutual fund folios and a rapidly expanding middle class putting money to work — yet two groups are systematically underserved.</w:t>
      </w:r>
    </w:p>
    <w:p>
      <w:pPr>
        <w:spacing w:before="200" w:after="60"/>
      </w:pPr>
      <w:r>
        <w:rPr>
          <w:rFonts w:ascii="Calibri" w:hAnsi="Calibri"/>
          <w:b/>
          <w:i w:val="0"/>
          <w:color w:val="005B99"/>
          <w:sz w:val="24"/>
        </w:rPr>
        <w:t>1.1 The Advisor Side</w:t>
      </w:r>
    </w:p>
    <w:p>
      <w:pPr>
        <w:spacing w:before="0" w:after="120"/>
      </w:pPr>
      <w:r>
        <w:rPr>
          <w:rFonts w:ascii="Calibri" w:hAnsi="Calibri"/>
          <w:b w:val="0"/>
          <w:i w:val="0"/>
          <w:color w:val="1A1A2E"/>
          <w:sz w:val="20"/>
        </w:rPr>
        <w:t>Bank Relationship Managers and independent financial advisors manage books of 50–200+ clients. Their daily reality:</w:t>
      </w:r>
    </w:p>
    <w:p>
      <w:pPr>
        <w:pStyle w:val="ListBullet"/>
        <w:spacing w:before="20" w:after="40"/>
        <w:ind w:left="454"/>
      </w:pPr>
      <w:r>
        <w:rPr>
          <w:rFonts w:ascii="Calibri" w:hAnsi="Calibri"/>
          <w:b w:val="0"/>
          <w:i w:val="0"/>
          <w:color w:val="1A1A2E"/>
          <w:sz w:val="20"/>
        </w:rPr>
        <w:t>No actionable intelligence — client data lives in spreadsheets, core banking systems, and scattered notes.</w:t>
      </w:r>
    </w:p>
    <w:p>
      <w:pPr>
        <w:pStyle w:val="ListBullet"/>
        <w:spacing w:before="20" w:after="40"/>
        <w:ind w:left="454"/>
      </w:pPr>
      <w:r>
        <w:rPr>
          <w:rFonts w:ascii="Calibri" w:hAnsi="Calibri"/>
          <w:b w:val="0"/>
          <w:i w:val="0"/>
          <w:color w:val="1A1A2E"/>
          <w:sz w:val="20"/>
        </w:rPr>
        <w:t>Reactive, not proactive — advisors call clients after market moves or missed SIPs, not before.</w:t>
      </w:r>
    </w:p>
    <w:p>
      <w:pPr>
        <w:pStyle w:val="ListBullet"/>
        <w:spacing w:before="20" w:after="40"/>
        <w:ind w:left="454"/>
      </w:pPr>
      <w:r>
        <w:rPr>
          <w:rFonts w:ascii="Calibri" w:hAnsi="Calibri"/>
          <w:b w:val="0"/>
          <w:i w:val="0"/>
          <w:color w:val="1A1A2E"/>
          <w:sz w:val="20"/>
        </w:rPr>
        <w:t>Goal tracking is manual — whether a client's retirement corpus will be adequate is a question most advisors cannot answer in real time.</w:t>
      </w:r>
    </w:p>
    <w:p>
      <w:pPr>
        <w:pStyle w:val="ListBullet"/>
        <w:spacing w:before="20" w:after="40"/>
        <w:ind w:left="454"/>
      </w:pPr>
      <w:r>
        <w:rPr>
          <w:rFonts w:ascii="Calibri" w:hAnsi="Calibri"/>
          <w:b w:val="0"/>
          <w:i w:val="0"/>
          <w:color w:val="1A1A2E"/>
          <w:sz w:val="20"/>
        </w:rPr>
        <w:t>Meeting prep is time-consuming — 15–30 minutes of manual work per client before a call.</w:t>
      </w:r>
    </w:p>
    <w:p>
      <w:pPr>
        <w:pStyle w:val="ListBullet"/>
        <w:spacing w:before="20" w:after="40"/>
        <w:ind w:left="454"/>
      </w:pPr>
      <w:r>
        <w:rPr>
          <w:rFonts w:ascii="Calibri" w:hAnsi="Calibri"/>
          <w:b w:val="0"/>
          <w:i w:val="0"/>
          <w:color w:val="1A1A2E"/>
          <w:sz w:val="20"/>
        </w:rPr>
        <w:t>Urgency is invisible — without algorithmic scoring, high-risk clients blend into the noise of a busy book.</w:t>
      </w:r>
    </w:p>
    <w:p>
      <w:pPr>
        <w:spacing w:before="200" w:after="60"/>
      </w:pPr>
      <w:r>
        <w:rPr>
          <w:rFonts w:ascii="Calibri" w:hAnsi="Calibri"/>
          <w:b/>
          <w:i w:val="0"/>
          <w:color w:val="005B99"/>
          <w:sz w:val="24"/>
        </w:rPr>
        <w:t>1.2 The Self-Directed Investor Side</w:t>
      </w:r>
    </w:p>
    <w:p>
      <w:pPr>
        <w:spacing w:before="0" w:after="120"/>
      </w:pPr>
      <w:r>
        <w:rPr>
          <w:rFonts w:ascii="Calibri" w:hAnsi="Calibri"/>
          <w:b w:val="0"/>
          <w:i w:val="0"/>
          <w:color w:val="1A1A2E"/>
          <w:sz w:val="20"/>
        </w:rPr>
        <w:t>India's growing class of self-directed retail investors — managing portfolios on Zerodha, Groww, INDmoney — face a different problem:</w:t>
      </w:r>
    </w:p>
    <w:p>
      <w:pPr>
        <w:pStyle w:val="ListBullet"/>
        <w:spacing w:before="20" w:after="40"/>
        <w:ind w:left="454"/>
      </w:pPr>
      <w:r>
        <w:rPr>
          <w:rFonts w:ascii="Calibri" w:hAnsi="Calibri"/>
          <w:b w:val="0"/>
          <w:i w:val="0"/>
          <w:color w:val="1A1A2E"/>
          <w:sz w:val="20"/>
        </w:rPr>
        <w:t>Data without intelligence — dashboards showing returns but no forward-looking probability engine.</w:t>
      </w:r>
    </w:p>
    <w:p>
      <w:pPr>
        <w:pStyle w:val="ListBullet"/>
        <w:spacing w:before="20" w:after="40"/>
        <w:ind w:left="454"/>
      </w:pPr>
      <w:r>
        <w:rPr>
          <w:rFonts w:ascii="Calibri" w:hAnsi="Calibri"/>
          <w:b w:val="0"/>
          <w:i w:val="0"/>
          <w:color w:val="1A1A2E"/>
          <w:sz w:val="20"/>
        </w:rPr>
        <w:t>No personalised guidance — generic content is abundant; context-aware guidance is rare.</w:t>
      </w:r>
    </w:p>
    <w:p>
      <w:pPr>
        <w:pStyle w:val="ListBullet"/>
        <w:spacing w:before="20" w:after="40"/>
        <w:ind w:left="454"/>
      </w:pPr>
      <w:r>
        <w:rPr>
          <w:rFonts w:ascii="Calibri" w:hAnsi="Calibri"/>
          <w:b w:val="0"/>
          <w:i w:val="0"/>
          <w:color w:val="1A1A2E"/>
          <w:sz w:val="20"/>
        </w:rPr>
        <w:t>Life event blind spots — major financial decisions made in isolation from portfolio reality.</w:t>
      </w:r>
    </w:p>
    <w:p>
      <w:pPr>
        <w:pStyle w:val="ListBullet"/>
        <w:spacing w:before="20" w:after="40"/>
        <w:ind w:left="454"/>
      </w:pPr>
      <w:r>
        <w:rPr>
          <w:rFonts w:ascii="Calibri" w:hAnsi="Calibri"/>
          <w:b w:val="0"/>
          <w:i w:val="0"/>
          <w:color w:val="1A1A2E"/>
          <w:sz w:val="20"/>
        </w:rPr>
        <w:t>The advisor gap — many self-directed investors cannot afford or do not want a human advisor.</w:t>
      </w:r>
    </w:p>
    <w:tbl>
      <w:tblPr>
        <w:tblW w:type="auto" w:w="0"/>
        <w:jc w:val="center"/>
        <w:tblLook w:firstColumn="1" w:firstRow="1" w:lastColumn="0" w:lastRow="0" w:noHBand="0" w:noVBand="1" w:val="04A0"/>
      </w:tblPr>
      <w:tblGrid>
        <w:gridCol w:w="9406"/>
      </w:tblGrid>
      <w:tr>
        <w:tc>
          <w:tcPr>
            <w:tcW w:type="dxa" w:w="9406"/>
            <w:shd w:val="clear" w:color="auto" w:fill="E8F4F6"/>
            <w:tcBorders>
              <w:left w:val="single" w:sz="24" w:color="007A87"/>
            </w:tcBorders>
          </w:tcPr>
          <w:p>
            <w:pPr>
              <w:spacing w:before="80" w:after="40"/>
            </w:pPr>
            <w:r>
              <w:rPr>
                <w:rFonts w:ascii="Calibri" w:hAnsi="Calibri"/>
                <w:b/>
                <w:i w:val="0"/>
                <w:color w:val="007A87"/>
                <w:sz w:val="16"/>
              </w:rPr>
              <w:t>CORE THESIS</w:t>
            </w:r>
          </w:p>
          <w:p>
            <w:pPr>
              <w:spacing w:before="40" w:after="120"/>
            </w:pPr>
            <w:r>
              <w:rPr>
                <w:rFonts w:ascii="Calibri" w:hAnsi="Calibri"/>
                <w:b w:val="0"/>
                <w:i/>
                <w:color w:val="002B5C"/>
                <w:sz w:val="21"/>
              </w:rPr>
              <w:t>ARIA addresses both groups with purpose-built products on a shared intelligent platform.</w:t>
            </w:r>
          </w:p>
        </w:tc>
      </w:tr>
    </w:tbl>
    <w:p/>
    <w:p>
      <w:pPr>
        <w:spacing w:before="320" w:after="40"/>
      </w:pPr>
      <w:r>
        <w:rPr>
          <w:rFonts w:ascii="Calibri" w:hAnsi="Calibri"/>
          <w:b/>
          <w:i w:val="0"/>
          <w:color w:val="002B5C"/>
          <w:sz w:val="28"/>
        </w:rPr>
        <w:t>2. The Solution — A-RiA + ARIA Personal: Two Products, One Platform</w:t>
      </w:r>
    </w:p>
    <w:p>
      <w:pPr>
        <w:spacing w:before="0" w:after="120"/>
      </w:pPr>
      <w:r>
        <w:rPr>
          <w:rFonts w:ascii="Calibri" w:hAnsi="Calibri"/>
          <w:b w:val="0"/>
          <w:i w:val="0"/>
          <w:color w:val="005B99"/>
          <w:sz w:val="14"/>
        </w:rPr>
        <w:t>────────────────────────────────────────────────────────────────────────────────</w:t>
      </w:r>
    </w:p>
    <w:p>
      <w:pPr>
        <w:spacing w:before="0" w:after="120"/>
      </w:pPr>
      <w:r>
        <w:rPr>
          <w:rFonts w:ascii="Calibri" w:hAnsi="Calibri"/>
          <w:b w:val="0"/>
          <w:i w:val="0"/>
          <w:color w:val="1A1A2E"/>
          <w:sz w:val="20"/>
        </w:rPr>
        <w:t>The ARIA platform is a dual-product architecture designed to serve both sides of the wealth management market.</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005B99"/>
          </w:tcPr>
          <w:p>
            <w:pPr>
              <w:spacing w:before="80" w:after="80"/>
            </w:pPr>
            <w:r>
              <w:rPr>
                <w:rFonts w:ascii="Calibri" w:hAnsi="Calibri"/>
                <w:b/>
                <w:i w:val="0"/>
                <w:color w:val="FFFFFF"/>
                <w:sz w:val="18"/>
              </w:rPr>
            </w:r>
          </w:p>
        </w:tc>
        <w:tc>
          <w:tcPr>
            <w:tcW w:type="dxa" w:w="4252"/>
            <w:shd w:val="clear" w:color="auto" w:fill="005B99"/>
          </w:tcPr>
          <w:p>
            <w:pPr>
              <w:spacing w:before="80" w:after="80"/>
            </w:pPr>
            <w:r>
              <w:rPr>
                <w:rFonts w:ascii="Calibri" w:hAnsi="Calibri"/>
                <w:b/>
                <w:i w:val="0"/>
                <w:color w:val="FFFFFF"/>
                <w:sz w:val="18"/>
              </w:rPr>
              <w:t>A-RiA (Advisor)</w:t>
            </w:r>
          </w:p>
        </w:tc>
        <w:tc>
          <w:tcPr>
            <w:tcW w:type="dxa" w:w="4252"/>
            <w:shd w:val="clear" w:color="auto" w:fill="005B99"/>
          </w:tcPr>
          <w:p>
            <w:pPr>
              <w:spacing w:before="80" w:after="80"/>
            </w:pPr>
            <w:r>
              <w:rPr>
                <w:rFonts w:ascii="Calibri" w:hAnsi="Calibri"/>
                <w:b/>
                <w:i w:val="0"/>
                <w:color w:val="FFFFFF"/>
                <w:sz w:val="18"/>
              </w:rPr>
              <w:t>ARIA Personal (Consumer)</w:t>
            </w:r>
          </w:p>
        </w:tc>
      </w:tr>
      <w:tr>
        <w:tc>
          <w:tcPr>
            <w:tcW w:type="dxa" w:w="2268"/>
            <w:shd w:val="clear" w:color="auto" w:fill="F2F4F7"/>
          </w:tcPr>
          <w:p>
            <w:pPr>
              <w:spacing w:before="60" w:after="60"/>
            </w:pPr>
            <w:r>
              <w:rPr>
                <w:rFonts w:ascii="Calibri" w:hAnsi="Calibri"/>
                <w:b w:val="0"/>
                <w:i w:val="0"/>
                <w:color w:val="1A1A2E"/>
                <w:sz w:val="18"/>
              </w:rPr>
              <w:t>Tagline</w:t>
            </w:r>
          </w:p>
        </w:tc>
        <w:tc>
          <w:tcPr>
            <w:tcW w:type="dxa" w:w="4252"/>
            <w:shd w:val="clear" w:color="auto" w:fill="F2F4F7"/>
          </w:tcPr>
          <w:p>
            <w:pPr>
              <w:spacing w:before="60" w:after="60"/>
            </w:pPr>
            <w:r>
              <w:rPr>
                <w:rFonts w:ascii="Calibri" w:hAnsi="Calibri"/>
                <w:b w:val="0"/>
                <w:i w:val="0"/>
                <w:color w:val="1A1A2E"/>
                <w:sz w:val="18"/>
              </w:rPr>
              <w:t>"Real Intelligence for Every Client"</w:t>
            </w:r>
          </w:p>
        </w:tc>
        <w:tc>
          <w:tcPr>
            <w:tcW w:type="dxa" w:w="4252"/>
            <w:shd w:val="clear" w:color="auto" w:fill="F2F4F7"/>
          </w:tcPr>
          <w:p>
            <w:pPr>
              <w:spacing w:before="60" w:after="60"/>
            </w:pPr>
            <w:r>
              <w:rPr>
                <w:rFonts w:ascii="Calibri" w:hAnsi="Calibri"/>
                <w:b w:val="0"/>
                <w:i w:val="0"/>
                <w:color w:val="1A1A2E"/>
                <w:sz w:val="18"/>
              </w:rPr>
              <w:t>"Your Money Intelligence"</w:t>
            </w:r>
          </w:p>
        </w:tc>
      </w:tr>
      <w:tr>
        <w:tc>
          <w:tcPr>
            <w:tcW w:type="dxa" w:w="2268"/>
            <w:shd w:val="clear" w:color="auto" w:fill="FFFFFF"/>
          </w:tcPr>
          <w:p>
            <w:pPr>
              <w:spacing w:before="60" w:after="60"/>
            </w:pPr>
            <w:r>
              <w:rPr>
                <w:rFonts w:ascii="Calibri" w:hAnsi="Calibri"/>
                <w:b w:val="0"/>
                <w:i w:val="0"/>
                <w:color w:val="1A1A2E"/>
                <w:sz w:val="18"/>
              </w:rPr>
              <w:t>User</w:t>
            </w:r>
          </w:p>
        </w:tc>
        <w:tc>
          <w:tcPr>
            <w:tcW w:type="dxa" w:w="4252"/>
            <w:shd w:val="clear" w:color="auto" w:fill="FFFFFF"/>
          </w:tcPr>
          <w:p>
            <w:pPr>
              <w:spacing w:before="60" w:after="60"/>
            </w:pPr>
            <w:r>
              <w:rPr>
                <w:rFonts w:ascii="Calibri" w:hAnsi="Calibri"/>
                <w:b w:val="0"/>
                <w:i w:val="0"/>
                <w:color w:val="1A1A2E"/>
                <w:sz w:val="18"/>
              </w:rPr>
              <w:t>Bank RMs, wealth advisors, IFAs</w:t>
            </w:r>
          </w:p>
        </w:tc>
        <w:tc>
          <w:tcPr>
            <w:tcW w:type="dxa" w:w="4252"/>
            <w:shd w:val="clear" w:color="auto" w:fill="FFFFFF"/>
          </w:tcPr>
          <w:p>
            <w:pPr>
              <w:spacing w:before="60" w:after="60"/>
            </w:pPr>
            <w:r>
              <w:rPr>
                <w:rFonts w:ascii="Calibri" w:hAnsi="Calibri"/>
                <w:b w:val="0"/>
                <w:i w:val="0"/>
                <w:color w:val="1A1A2E"/>
                <w:sz w:val="18"/>
              </w:rPr>
              <w:t>Self-directed retail investors</w:t>
            </w:r>
          </w:p>
        </w:tc>
      </w:tr>
      <w:tr>
        <w:tc>
          <w:tcPr>
            <w:tcW w:type="dxa" w:w="2268"/>
            <w:shd w:val="clear" w:color="auto" w:fill="F2F4F7"/>
          </w:tcPr>
          <w:p>
            <w:pPr>
              <w:spacing w:before="60" w:after="60"/>
            </w:pPr>
            <w:r>
              <w:rPr>
                <w:rFonts w:ascii="Calibri" w:hAnsi="Calibri"/>
                <w:b w:val="0"/>
                <w:i w:val="0"/>
                <w:color w:val="1A1A2E"/>
                <w:sz w:val="18"/>
              </w:rPr>
              <w:t>Core job</w:t>
            </w:r>
          </w:p>
        </w:tc>
        <w:tc>
          <w:tcPr>
            <w:tcW w:type="dxa" w:w="4252"/>
            <w:shd w:val="clear" w:color="auto" w:fill="F2F4F7"/>
          </w:tcPr>
          <w:p>
            <w:pPr>
              <w:spacing w:before="60" w:after="60"/>
            </w:pPr>
            <w:r>
              <w:rPr>
                <w:rFonts w:ascii="Calibri" w:hAnsi="Calibri"/>
                <w:b w:val="0"/>
                <w:i w:val="0"/>
                <w:color w:val="1A1A2E"/>
                <w:sz w:val="18"/>
              </w:rPr>
              <w:t>Manage a book of clients intelligently</w:t>
            </w:r>
          </w:p>
        </w:tc>
        <w:tc>
          <w:tcPr>
            <w:tcW w:type="dxa" w:w="4252"/>
            <w:shd w:val="clear" w:color="auto" w:fill="F2F4F7"/>
          </w:tcPr>
          <w:p>
            <w:pPr>
              <w:spacing w:before="60" w:after="60"/>
            </w:pPr>
            <w:r>
              <w:rPr>
                <w:rFonts w:ascii="Calibri" w:hAnsi="Calibri"/>
                <w:b w:val="0"/>
                <w:i w:val="0"/>
                <w:color w:val="1A1A2E"/>
                <w:sz w:val="18"/>
              </w:rPr>
              <w:t>Manage your own portfolio and goals</w:t>
            </w:r>
          </w:p>
        </w:tc>
      </w:tr>
      <w:tr>
        <w:tc>
          <w:tcPr>
            <w:tcW w:type="dxa" w:w="2268"/>
            <w:shd w:val="clear" w:color="auto" w:fill="FFFFFF"/>
          </w:tcPr>
          <w:p>
            <w:pPr>
              <w:spacing w:before="60" w:after="60"/>
            </w:pPr>
            <w:r>
              <w:rPr>
                <w:rFonts w:ascii="Calibri" w:hAnsi="Calibri"/>
                <w:b w:val="0"/>
                <w:i w:val="0"/>
                <w:color w:val="1A1A2E"/>
                <w:sz w:val="18"/>
              </w:rPr>
              <w:t>Auth</w:t>
            </w:r>
          </w:p>
        </w:tc>
        <w:tc>
          <w:tcPr>
            <w:tcW w:type="dxa" w:w="4252"/>
            <w:shd w:val="clear" w:color="auto" w:fill="FFFFFF"/>
          </w:tcPr>
          <w:p>
            <w:pPr>
              <w:spacing w:before="60" w:after="60"/>
            </w:pPr>
            <w:r>
              <w:rPr>
                <w:rFonts w:ascii="Calibri" w:hAnsi="Calibri"/>
                <w:b w:val="0"/>
                <w:i w:val="0"/>
                <w:color w:val="1A1A2E"/>
                <w:sz w:val="18"/>
              </w:rPr>
              <w:t>Session-based (advisor portal)</w:t>
            </w:r>
          </w:p>
        </w:tc>
        <w:tc>
          <w:tcPr>
            <w:tcW w:type="dxa" w:w="4252"/>
            <w:shd w:val="clear" w:color="auto" w:fill="FFFFFF"/>
          </w:tcPr>
          <w:p>
            <w:pPr>
              <w:spacing w:before="60" w:after="60"/>
            </w:pPr>
            <w:r>
              <w:rPr>
                <w:rFonts w:ascii="Calibri" w:hAnsi="Calibri"/>
                <w:b w:val="0"/>
                <w:i w:val="0"/>
                <w:color w:val="1A1A2E"/>
                <w:sz w:val="18"/>
              </w:rPr>
              <w:t>JWT email + password (consumer)</w:t>
            </w:r>
          </w:p>
        </w:tc>
      </w:tr>
      <w:tr>
        <w:tc>
          <w:tcPr>
            <w:tcW w:type="dxa" w:w="2268"/>
            <w:shd w:val="clear" w:color="auto" w:fill="F2F4F7"/>
          </w:tcPr>
          <w:p>
            <w:pPr>
              <w:spacing w:before="60" w:after="60"/>
            </w:pPr>
            <w:r>
              <w:rPr>
                <w:rFonts w:ascii="Calibri" w:hAnsi="Calibri"/>
                <w:b w:val="0"/>
                <w:i w:val="0"/>
                <w:color w:val="1A1A2E"/>
                <w:sz w:val="18"/>
              </w:rPr>
              <w:t>Frontend</w:t>
            </w:r>
          </w:p>
        </w:tc>
        <w:tc>
          <w:tcPr>
            <w:tcW w:type="dxa" w:w="4252"/>
            <w:shd w:val="clear" w:color="auto" w:fill="F2F4F7"/>
          </w:tcPr>
          <w:p>
            <w:pPr>
              <w:spacing w:before="60" w:after="60"/>
            </w:pPr>
            <w:r>
              <w:rPr>
                <w:rFonts w:ascii="Calibri" w:hAnsi="Calibri"/>
                <w:b w:val="0"/>
                <w:i w:val="0"/>
                <w:color w:val="1A1A2E"/>
                <w:sz w:val="18"/>
              </w:rPr>
              <w:t>https://a-ria.vercel.app</w:t>
            </w:r>
          </w:p>
        </w:tc>
        <w:tc>
          <w:tcPr>
            <w:tcW w:type="dxa" w:w="4252"/>
            <w:shd w:val="clear" w:color="auto" w:fill="F2F4F7"/>
          </w:tcPr>
          <w:p>
            <w:pPr>
              <w:spacing w:before="60" w:after="60"/>
            </w:pPr>
            <w:r>
              <w:rPr>
                <w:rFonts w:ascii="Calibri" w:hAnsi="Calibri"/>
                <w:b w:val="0"/>
                <w:i w:val="0"/>
                <w:color w:val="1A1A2E"/>
                <w:sz w:val="18"/>
              </w:rPr>
              <w:t>Live on Vercel</w:t>
            </w:r>
          </w:p>
        </w:tc>
      </w:tr>
      <w:tr>
        <w:tc>
          <w:tcPr>
            <w:tcW w:type="dxa" w:w="2268"/>
            <w:shd w:val="clear" w:color="auto" w:fill="FFFFFF"/>
          </w:tcPr>
          <w:p>
            <w:pPr>
              <w:spacing w:before="60" w:after="60"/>
            </w:pPr>
            <w:r>
              <w:rPr>
                <w:rFonts w:ascii="Calibri" w:hAnsi="Calibri"/>
                <w:b w:val="0"/>
                <w:i w:val="0"/>
                <w:color w:val="1A1A2E"/>
                <w:sz w:val="18"/>
              </w:rPr>
              <w:t>Backend</w:t>
            </w:r>
          </w:p>
        </w:tc>
        <w:tc>
          <w:tcPr>
            <w:tcW w:type="dxa" w:w="4252"/>
            <w:shd w:val="clear" w:color="auto" w:fill="FFFFFF"/>
          </w:tcPr>
          <w:p>
            <w:pPr>
              <w:spacing w:before="60" w:after="60"/>
            </w:pPr>
            <w:r>
              <w:rPr>
                <w:rFonts w:ascii="Calibri" w:hAnsi="Calibri"/>
                <w:b w:val="0"/>
                <w:i w:val="0"/>
                <w:color w:val="1A1A2E"/>
                <w:sz w:val="18"/>
              </w:rPr>
              <w:t>Shared: aria-advisor.onrender.com</w:t>
            </w:r>
          </w:p>
        </w:tc>
        <w:tc>
          <w:tcPr>
            <w:tcW w:type="dxa" w:w="4252"/>
            <w:shd w:val="clear" w:color="auto" w:fill="FFFFFF"/>
          </w:tcPr>
          <w:p>
            <w:pPr>
              <w:spacing w:before="60" w:after="60"/>
            </w:pPr>
            <w:r>
              <w:rPr>
                <w:rFonts w:ascii="Calibri" w:hAnsi="Calibri"/>
                <w:b w:val="0"/>
                <w:i w:val="0"/>
                <w:color w:val="1A1A2E"/>
                <w:sz w:val="18"/>
              </w:rPr>
              <w:t>Shared: same Render service</w:t>
            </w:r>
          </w:p>
        </w:tc>
      </w:tr>
    </w:tbl>
    <w:p/>
    <w:p>
      <w:pPr>
        <w:spacing w:before="0" w:after="120"/>
      </w:pPr>
      <w:r>
        <w:rPr>
          <w:rFonts w:ascii="Calibri" w:hAnsi="Calibri"/>
          <w:b w:val="0"/>
          <w:i w:val="0"/>
          <w:color w:val="1A1A2E"/>
          <w:sz w:val="20"/>
        </w:rPr>
        <w:t>Both products share: the same FastAPI backend, the same Supabase PostgreSQL database, the same Monte Carlo simulation engine, and the same design language — navy palette, brand blue #1D6FDB, probability pills.</w:t>
      </w:r>
    </w:p>
    <w:p>
      <w:pPr>
        <w:spacing w:before="320" w:after="40"/>
      </w:pPr>
      <w:r>
        <w:rPr>
          <w:rFonts w:ascii="Calibri" w:hAnsi="Calibri"/>
          <w:b/>
          <w:i w:val="0"/>
          <w:color w:val="002B5C"/>
          <w:sz w:val="28"/>
        </w:rPr>
        <w:t>3. Product Architecture</w:t>
      </w:r>
    </w:p>
    <w:p>
      <w:pPr>
        <w:spacing w:before="0" w:after="120"/>
      </w:pPr>
      <w:r>
        <w:rPr>
          <w:rFonts w:ascii="Calibri" w:hAnsi="Calibri"/>
          <w:b w:val="0"/>
          <w:i w:val="0"/>
          <w:color w:val="005B99"/>
          <w:sz w:val="14"/>
        </w:rPr>
        <w:t>────────────────────────────────────────────────────────────────────────────────</w:t>
      </w:r>
    </w:p>
    <w:p>
      <w:pPr>
        <w:spacing w:before="200" w:after="60"/>
      </w:pPr>
      <w:r>
        <w:rPr>
          <w:rFonts w:ascii="Calibri" w:hAnsi="Calibri"/>
          <w:b/>
          <w:i w:val="0"/>
          <w:color w:val="005B99"/>
          <w:sz w:val="24"/>
        </w:rPr>
        <w:t>Stack</w:t>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005B99"/>
          </w:tcPr>
          <w:p>
            <w:pPr>
              <w:spacing w:before="80" w:after="80"/>
            </w:pPr>
            <w:r>
              <w:rPr>
                <w:rFonts w:ascii="Calibri" w:hAnsi="Calibri"/>
                <w:b/>
                <w:i w:val="0"/>
                <w:color w:val="FFFFFF"/>
                <w:sz w:val="18"/>
              </w:rPr>
              <w:t>Layer</w:t>
            </w:r>
          </w:p>
        </w:tc>
        <w:tc>
          <w:tcPr>
            <w:tcW w:type="dxa" w:w="7654"/>
            <w:shd w:val="clear" w:color="auto" w:fill="005B99"/>
          </w:tcPr>
          <w:p>
            <w:pPr>
              <w:spacing w:before="80" w:after="80"/>
            </w:pPr>
            <w:r>
              <w:rPr>
                <w:rFonts w:ascii="Calibri" w:hAnsi="Calibri"/>
                <w:b/>
                <w:i w:val="0"/>
                <w:color w:val="FFFFFF"/>
                <w:sz w:val="18"/>
              </w:rPr>
              <w:t>Technology</w:t>
            </w:r>
          </w:p>
        </w:tc>
      </w:tr>
      <w:tr>
        <w:tc>
          <w:tcPr>
            <w:tcW w:type="dxa" w:w="3118"/>
            <w:shd w:val="clear" w:color="auto" w:fill="F2F4F7"/>
          </w:tcPr>
          <w:p>
            <w:pPr>
              <w:spacing w:before="60" w:after="60"/>
            </w:pPr>
            <w:r>
              <w:rPr>
                <w:rFonts w:ascii="Calibri" w:hAnsi="Calibri"/>
                <w:b w:val="0"/>
                <w:i w:val="0"/>
                <w:color w:val="1A1A2E"/>
                <w:sz w:val="18"/>
              </w:rPr>
              <w:t>Backend</w:t>
            </w:r>
          </w:p>
        </w:tc>
        <w:tc>
          <w:tcPr>
            <w:tcW w:type="dxa" w:w="7654"/>
            <w:shd w:val="clear" w:color="auto" w:fill="F2F4F7"/>
          </w:tcPr>
          <w:p>
            <w:pPr>
              <w:spacing w:before="60" w:after="60"/>
            </w:pPr>
            <w:r>
              <w:rPr>
                <w:rFonts w:ascii="Calibri" w:hAnsi="Calibri"/>
                <w:b w:val="0"/>
                <w:i w:val="0"/>
                <w:color w:val="1A1A2E"/>
                <w:sz w:val="18"/>
              </w:rPr>
              <w:t>FastAPI (Python), hosted on Render (free tier)</w:t>
            </w:r>
          </w:p>
        </w:tc>
      </w:tr>
      <w:tr>
        <w:tc>
          <w:tcPr>
            <w:tcW w:type="dxa" w:w="3118"/>
            <w:shd w:val="clear" w:color="auto" w:fill="FFFFFF"/>
          </w:tcPr>
          <w:p>
            <w:pPr>
              <w:spacing w:before="60" w:after="60"/>
            </w:pPr>
            <w:r>
              <w:rPr>
                <w:rFonts w:ascii="Calibri" w:hAnsi="Calibri"/>
                <w:b w:val="0"/>
                <w:i w:val="0"/>
                <w:color w:val="1A1A2E"/>
                <w:sz w:val="18"/>
              </w:rPr>
              <w:t>Database</w:t>
            </w:r>
          </w:p>
        </w:tc>
        <w:tc>
          <w:tcPr>
            <w:tcW w:type="dxa" w:w="7654"/>
            <w:shd w:val="clear" w:color="auto" w:fill="FFFFFF"/>
          </w:tcPr>
          <w:p>
            <w:pPr>
              <w:spacing w:before="60" w:after="60"/>
            </w:pPr>
            <w:r>
              <w:rPr>
                <w:rFonts w:ascii="Calibri" w:hAnsi="Calibri"/>
                <w:b w:val="0"/>
                <w:i w:val="0"/>
                <w:color w:val="1A1A2E"/>
                <w:sz w:val="18"/>
              </w:rPr>
              <w:t>Supabase (PostgreSQL), pooler on port 6543</w:t>
            </w:r>
          </w:p>
        </w:tc>
      </w:tr>
      <w:tr>
        <w:tc>
          <w:tcPr>
            <w:tcW w:type="dxa" w:w="3118"/>
            <w:shd w:val="clear" w:color="auto" w:fill="F2F4F7"/>
          </w:tcPr>
          <w:p>
            <w:pPr>
              <w:spacing w:before="60" w:after="60"/>
            </w:pPr>
            <w:r>
              <w:rPr>
                <w:rFonts w:ascii="Calibri" w:hAnsi="Calibri"/>
                <w:b w:val="0"/>
                <w:i w:val="0"/>
                <w:color w:val="1A1A2E"/>
                <w:sz w:val="18"/>
              </w:rPr>
              <w:t>Frontend — Advisor</w:t>
            </w:r>
          </w:p>
        </w:tc>
        <w:tc>
          <w:tcPr>
            <w:tcW w:type="dxa" w:w="7654"/>
            <w:shd w:val="clear" w:color="auto" w:fill="F2F4F7"/>
          </w:tcPr>
          <w:p>
            <w:pPr>
              <w:spacing w:before="60" w:after="60"/>
            </w:pPr>
            <w:r>
              <w:rPr>
                <w:rFonts w:ascii="Calibri" w:hAnsi="Calibri"/>
                <w:b w:val="0"/>
                <w:i w:val="0"/>
                <w:color w:val="1A1A2E"/>
                <w:sz w:val="18"/>
              </w:rPr>
              <w:t>React 18 + Vite + Tailwind CSS, Vercel</w:t>
            </w:r>
          </w:p>
        </w:tc>
      </w:tr>
      <w:tr>
        <w:tc>
          <w:tcPr>
            <w:tcW w:type="dxa" w:w="3118"/>
            <w:shd w:val="clear" w:color="auto" w:fill="FFFFFF"/>
          </w:tcPr>
          <w:p>
            <w:pPr>
              <w:spacing w:before="60" w:after="60"/>
            </w:pPr>
            <w:r>
              <w:rPr>
                <w:rFonts w:ascii="Calibri" w:hAnsi="Calibri"/>
                <w:b w:val="0"/>
                <w:i w:val="0"/>
                <w:color w:val="1A1A2E"/>
                <w:sz w:val="18"/>
              </w:rPr>
              <w:t>Frontend — Personal</w:t>
            </w:r>
          </w:p>
        </w:tc>
        <w:tc>
          <w:tcPr>
            <w:tcW w:type="dxa" w:w="7654"/>
            <w:shd w:val="clear" w:color="auto" w:fill="FFFFFF"/>
          </w:tcPr>
          <w:p>
            <w:pPr>
              <w:spacing w:before="60" w:after="60"/>
            </w:pPr>
            <w:r>
              <w:rPr>
                <w:rFonts w:ascii="Calibri" w:hAnsi="Calibri"/>
                <w:b w:val="0"/>
                <w:i w:val="0"/>
                <w:color w:val="1A1A2E"/>
                <w:sz w:val="18"/>
              </w:rPr>
              <w:t>React 18 + Vite + Tailwind CSS, Vercel</w:t>
            </w:r>
          </w:p>
        </w:tc>
      </w:tr>
      <w:tr>
        <w:tc>
          <w:tcPr>
            <w:tcW w:type="dxa" w:w="3118"/>
            <w:shd w:val="clear" w:color="auto" w:fill="F2F4F7"/>
          </w:tcPr>
          <w:p>
            <w:pPr>
              <w:spacing w:before="60" w:after="60"/>
            </w:pPr>
            <w:r>
              <w:rPr>
                <w:rFonts w:ascii="Calibri" w:hAnsi="Calibri"/>
                <w:b w:val="0"/>
                <w:i w:val="0"/>
                <w:color w:val="1A1A2E"/>
                <w:sz w:val="18"/>
              </w:rPr>
              <w:t>Auth — Personal</w:t>
            </w:r>
          </w:p>
        </w:tc>
        <w:tc>
          <w:tcPr>
            <w:tcW w:type="dxa" w:w="7654"/>
            <w:shd w:val="clear" w:color="auto" w:fill="F2F4F7"/>
          </w:tcPr>
          <w:p>
            <w:pPr>
              <w:spacing w:before="60" w:after="60"/>
            </w:pPr>
            <w:r>
              <w:rPr>
                <w:rFonts w:ascii="Calibri" w:hAnsi="Calibri"/>
                <w:b w:val="0"/>
                <w:i w:val="0"/>
                <w:color w:val="1A1A2E"/>
                <w:sz w:val="18"/>
              </w:rPr>
              <w:t>JWT (python-jose + passlib), 7-day tokens in localStorage</w:t>
            </w:r>
          </w:p>
        </w:tc>
      </w:tr>
      <w:tr>
        <w:tc>
          <w:tcPr>
            <w:tcW w:type="dxa" w:w="3118"/>
            <w:shd w:val="clear" w:color="auto" w:fill="FFFFFF"/>
          </w:tcPr>
          <w:p>
            <w:pPr>
              <w:spacing w:before="60" w:after="60"/>
            </w:pPr>
            <w:r>
              <w:rPr>
                <w:rFonts w:ascii="Calibri" w:hAnsi="Calibri"/>
                <w:b w:val="0"/>
                <w:i w:val="0"/>
                <w:color w:val="1A1A2E"/>
                <w:sz w:val="18"/>
              </w:rPr>
              <w:t>AI Copilot</w:t>
            </w:r>
          </w:p>
        </w:tc>
        <w:tc>
          <w:tcPr>
            <w:tcW w:type="dxa" w:w="7654"/>
            <w:shd w:val="clear" w:color="auto" w:fill="FFFFFF"/>
          </w:tcPr>
          <w:p>
            <w:pPr>
              <w:spacing w:before="60" w:after="60"/>
            </w:pPr>
            <w:r>
              <w:rPr>
                <w:rFonts w:ascii="Calibri" w:hAnsi="Calibri"/>
                <w:b w:val="0"/>
                <w:i w:val="0"/>
                <w:color w:val="1A1A2E"/>
                <w:sz w:val="18"/>
              </w:rPr>
              <w:t>Claude API (Anthropic)</w:t>
            </w:r>
          </w:p>
        </w:tc>
      </w:tr>
      <w:tr>
        <w:tc>
          <w:tcPr>
            <w:tcW w:type="dxa" w:w="3118"/>
            <w:shd w:val="clear" w:color="auto" w:fill="F2F4F7"/>
          </w:tcPr>
          <w:p>
            <w:pPr>
              <w:spacing w:before="60" w:after="60"/>
            </w:pPr>
            <w:r>
              <w:rPr>
                <w:rFonts w:ascii="Calibri" w:hAnsi="Calibri"/>
                <w:b w:val="0"/>
                <w:i w:val="0"/>
                <w:color w:val="1A1A2E"/>
                <w:sz w:val="18"/>
              </w:rPr>
              <w:t>Simulation</w:t>
            </w:r>
          </w:p>
        </w:tc>
        <w:tc>
          <w:tcPr>
            <w:tcW w:type="dxa" w:w="7654"/>
            <w:shd w:val="clear" w:color="auto" w:fill="F2F4F7"/>
          </w:tcPr>
          <w:p>
            <w:pPr>
              <w:spacing w:before="60" w:after="60"/>
            </w:pPr>
            <w:r>
              <w:rPr>
                <w:rFonts w:ascii="Calibri" w:hAnsi="Calibri"/>
                <w:b w:val="0"/>
                <w:i w:val="0"/>
                <w:color w:val="1A1A2E"/>
                <w:sz w:val="18"/>
              </w:rPr>
              <w:t>Custom Monte Carlo engine (pure Python, zero external deps)</w:t>
            </w:r>
          </w:p>
        </w:tc>
      </w:tr>
    </w:tbl>
    <w:p/>
    <w:p>
      <w:pPr>
        <w:spacing w:before="200" w:after="60"/>
      </w:pPr>
      <w:r>
        <w:rPr>
          <w:rFonts w:ascii="Calibri" w:hAnsi="Calibri"/>
          <w:b/>
          <w:i w:val="0"/>
          <w:color w:val="005B99"/>
          <w:sz w:val="24"/>
        </w:rPr>
        <w:t>Key Architectural Decisions</w:t>
      </w:r>
    </w:p>
    <w:p>
      <w:pPr>
        <w:pStyle w:val="ListBullet"/>
        <w:spacing w:before="20" w:after="40"/>
        <w:ind w:left="454"/>
      </w:pPr>
      <w:r>
        <w:rPr>
          <w:rFonts w:ascii="Calibri" w:hAnsi="Calibri"/>
          <w:b w:val="0"/>
          <w:i w:val="0"/>
          <w:color w:val="1A1A2E"/>
          <w:sz w:val="20"/>
        </w:rPr>
        <w:t>Shared backend, separate frontends — route namespacing (/clients/ vs /personal/) provides clean separation, halves infrastructure cost.</w:t>
      </w:r>
    </w:p>
    <w:p>
      <w:pPr>
        <w:pStyle w:val="ListBullet"/>
        <w:spacing w:before="20" w:after="40"/>
        <w:ind w:left="454"/>
      </w:pPr>
      <w:r>
        <w:rPr>
          <w:rFonts w:ascii="Calibri" w:hAnsi="Calibri"/>
          <w:b w:val="0"/>
          <w:i w:val="0"/>
          <w:color w:val="1A1A2E"/>
          <w:sz w:val="20"/>
        </w:rPr>
        <w:t>FK-based data separation — personal_user_id nullable FK on shared tables (goals, portfolios, life_events).</w:t>
      </w:r>
    </w:p>
    <w:p>
      <w:pPr>
        <w:pStyle w:val="ListBullet"/>
        <w:spacing w:before="20" w:after="40"/>
        <w:ind w:left="454"/>
      </w:pPr>
      <w:r>
        <w:rPr>
          <w:rFonts w:ascii="Calibri" w:hAnsi="Calibri"/>
          <w:b w:val="0"/>
          <w:i w:val="0"/>
          <w:color w:val="1A1A2E"/>
          <w:sz w:val="20"/>
        </w:rPr>
        <w:t>JWT for consumer, session for advisor — production-grade auth where it matters.</w:t>
      </w:r>
    </w:p>
    <w:p>
      <w:pPr>
        <w:pStyle w:val="ListBullet"/>
        <w:spacing w:before="20" w:after="40"/>
        <w:ind w:left="454"/>
      </w:pPr>
      <w:r>
        <w:rPr>
          <w:rFonts w:ascii="Calibri" w:hAnsi="Calibri"/>
          <w:b w:val="0"/>
          <w:i w:val="0"/>
          <w:color w:val="1A1A2E"/>
          <w:sz w:val="20"/>
        </w:rPr>
        <w:t>Simulation as a shared service — pure Python, no external deps, called identically by both products.</w:t>
      </w:r>
    </w:p>
    <w:p>
      <w:pPr>
        <w:spacing w:before="320" w:after="40"/>
      </w:pPr>
      <w:r>
        <w:rPr>
          <w:rFonts w:ascii="Calibri" w:hAnsi="Calibri"/>
          <w:b/>
          <w:i w:val="0"/>
          <w:color w:val="002B5C"/>
          <w:sz w:val="28"/>
        </w:rPr>
        <w:t>4. A-RiA Advisor Features</w:t>
      </w:r>
    </w:p>
    <w:p>
      <w:pPr>
        <w:spacing w:before="0" w:after="120"/>
      </w:pPr>
      <w:r>
        <w:rPr>
          <w:rFonts w:ascii="Calibri" w:hAnsi="Calibri"/>
          <w:b w:val="0"/>
          <w:i w:val="0"/>
          <w:color w:val="005B99"/>
          <w:sz w:val="14"/>
        </w:rPr>
        <w:t>────────────────────────────────────────────────────────────────────────────────</w:t>
      </w:r>
    </w:p>
    <w:p>
      <w:pPr>
        <w:spacing w:before="0" w:after="120"/>
      </w:pPr>
      <w:r>
        <w:rPr>
          <w:rFonts w:ascii="Calibri" w:hAnsi="Calibri"/>
          <w:b w:val="0"/>
          <w:i w:val="0"/>
          <w:color w:val="1A1A2E"/>
          <w:sz w:val="20"/>
        </w:rPr>
        <w:t>A-RiA is built around the "know before they call" insight: the advisor who walks into a client meeting already knowing what matters delivers meaningfully better advice.</w:t>
      </w:r>
    </w:p>
    <w:p>
      <w:pPr>
        <w:spacing w:before="200" w:after="60"/>
      </w:pPr>
      <w:r>
        <w:rPr>
          <w:rFonts w:ascii="Calibri" w:hAnsi="Calibri"/>
          <w:b/>
          <w:i w:val="0"/>
          <w:color w:val="005B99"/>
          <w:sz w:val="24"/>
        </w:rPr>
        <w:t>4.1 Client Book with Urgency Scoring</w:t>
      </w:r>
    </w:p>
    <w:p>
      <w:pPr>
        <w:spacing w:before="0" w:after="120"/>
      </w:pPr>
      <w:r>
        <w:rPr>
          <w:rFonts w:ascii="Calibri" w:hAnsi="Calibri"/>
          <w:b w:val="0"/>
          <w:i w:val="0"/>
          <w:color w:val="1A1A2E"/>
          <w:sz w:val="20"/>
        </w:rPr>
        <w:t>The advisor home screen is a client list ranked by urgency score — not alphabetically or by AUM. compute_urgency() evaluates each client against a rule set covering portfolio drift, goal probability, missed SIP, upcoming life events, and interaction recency. urgency_score() converts that to a numeric ranking. The RM opens A-RiA and immediately sees which 3 clients need attention today.</w:t>
      </w:r>
    </w:p>
    <w:p>
      <w:pPr>
        <w:spacing w:before="200" w:after="60"/>
      </w:pPr>
      <w:r>
        <w:rPr>
          <w:rFonts w:ascii="Calibri" w:hAnsi="Calibri"/>
          <w:b/>
          <w:i w:val="0"/>
          <w:color w:val="005B99"/>
          <w:sz w:val="24"/>
        </w:rPr>
        <w:t>4.2 Client 360</w:t>
      </w:r>
    </w:p>
    <w:p>
      <w:pPr>
        <w:spacing w:before="0" w:after="120"/>
      </w:pPr>
      <w:r>
        <w:rPr>
          <w:rFonts w:ascii="Calibri" w:hAnsi="Calibri"/>
          <w:b w:val="0"/>
          <w:i w:val="0"/>
          <w:color w:val="1A1A2E"/>
          <w:sz w:val="20"/>
        </w:rPr>
        <w:t>Full-page view: profile, portfolio, goals with probability pills, life events, urgency flags — all in one screen.</w:t>
      </w:r>
    </w:p>
    <w:p>
      <w:pPr>
        <w:spacing w:before="200" w:after="60"/>
      </w:pPr>
      <w:r>
        <w:rPr>
          <w:rFonts w:ascii="Calibri" w:hAnsi="Calibri"/>
          <w:b/>
          <w:i w:val="0"/>
          <w:color w:val="005B99"/>
          <w:sz w:val="24"/>
        </w:rPr>
        <w:t>4.3 Goal Probability with Monte Carlo</w:t>
      </w:r>
    </w:p>
    <w:p>
      <w:pPr>
        <w:spacing w:before="0" w:after="120"/>
      </w:pPr>
      <w:r>
        <w:rPr>
          <w:rFonts w:ascii="Calibri" w:hAnsi="Calibri"/>
          <w:b w:val="0"/>
          <w:i w:val="0"/>
          <w:color w:val="1A1A2E"/>
          <w:sz w:val="20"/>
        </w:rPr>
        <w:t>Every goal carries a live probability calculated by the Monte Carlo engine. The target is inflation-adjusted before comparison, so the probability reflects real purchasing power — not nominal rupees.</w:t>
      </w:r>
    </w:p>
    <w:p>
      <w:pPr>
        <w:pStyle w:val="ListBullet"/>
        <w:spacing w:before="20" w:after="40"/>
        <w:ind w:left="454"/>
      </w:pPr>
      <w:r>
        <w:rPr>
          <w:rFonts w:ascii="Calibri" w:hAnsi="Calibri"/>
          <w:b w:val="0"/>
          <w:i w:val="0"/>
          <w:color w:val="1A1A2E"/>
          <w:sz w:val="20"/>
        </w:rPr>
        <w:t>Green pill (≥70%): On track</w:t>
      </w:r>
    </w:p>
    <w:p>
      <w:pPr>
        <w:pStyle w:val="ListBullet"/>
        <w:spacing w:before="20" w:after="40"/>
        <w:ind w:left="454"/>
      </w:pPr>
      <w:r>
        <w:rPr>
          <w:rFonts w:ascii="Calibri" w:hAnsi="Calibri"/>
          <w:b w:val="0"/>
          <w:i w:val="0"/>
          <w:color w:val="1A1A2E"/>
          <w:sz w:val="20"/>
        </w:rPr>
        <w:t>Amber pill (40–70%): Needs attention</w:t>
      </w:r>
    </w:p>
    <w:p>
      <w:pPr>
        <w:pStyle w:val="ListBullet"/>
        <w:spacing w:before="20" w:after="40"/>
        <w:ind w:left="454"/>
      </w:pPr>
      <w:r>
        <w:rPr>
          <w:rFonts w:ascii="Calibri" w:hAnsi="Calibri"/>
          <w:b w:val="0"/>
          <w:i w:val="0"/>
          <w:color w:val="1A1A2E"/>
          <w:sz w:val="20"/>
        </w:rPr>
        <w:t>Rose pill (&lt;40%): At risk</w:t>
      </w:r>
    </w:p>
    <w:p>
      <w:pPr>
        <w:spacing w:before="200" w:after="60"/>
      </w:pPr>
      <w:r>
        <w:rPr>
          <w:rFonts w:ascii="Calibri" w:hAnsi="Calibri"/>
          <w:b/>
          <w:i w:val="0"/>
          <w:color w:val="005B99"/>
          <w:sz w:val="24"/>
        </w:rPr>
        <w:t>4.4 What-If Scenario Engine</w:t>
      </w:r>
    </w:p>
    <w:p>
      <w:pPr>
        <w:spacing w:before="0" w:after="120"/>
      </w:pPr>
      <w:r>
        <w:rPr>
          <w:rFonts w:ascii="Calibri" w:hAnsi="Calibri"/>
          <w:b w:val="0"/>
          <w:i w:val="0"/>
          <w:color w:val="1A1A2E"/>
          <w:sz w:val="20"/>
        </w:rPr>
        <w:t>Mode 1 — "Will I achieve it?": SIP, return, and inflation sliders, debounced Monte Carlo rerun, real vs. nominal corpus.</w:t>
      </w:r>
    </w:p>
    <w:p>
      <w:pPr>
        <w:spacing w:before="0" w:after="120"/>
      </w:pPr>
      <w:r>
        <w:rPr>
          <w:rFonts w:ascii="Calibri" w:hAnsi="Calibri"/>
          <w:b w:val="0"/>
          <w:i w:val="0"/>
          <w:color w:val="1A1A2E"/>
          <w:sz w:val="20"/>
        </w:rPr>
        <w:t>Mode 2 — "What SIP do I need?": find_required_sip() binary-searches the SIP for 80% probability, shows gap vs. current SIP.</w:t>
      </w:r>
    </w:p>
    <w:p>
      <w:pPr>
        <w:spacing w:before="200" w:after="60"/>
      </w:pPr>
      <w:r>
        <w:rPr>
          <w:rFonts w:ascii="Calibri" w:hAnsi="Calibri"/>
          <w:b/>
          <w:i w:val="0"/>
          <w:color w:val="005B99"/>
          <w:sz w:val="24"/>
        </w:rPr>
        <w:t>4.5 Additional Features</w:t>
      </w:r>
    </w:p>
    <w:p>
      <w:pPr>
        <w:pStyle w:val="ListBullet"/>
        <w:spacing w:before="20" w:after="40"/>
        <w:ind w:left="454"/>
      </w:pPr>
      <w:r>
        <w:rPr>
          <w:rFonts w:ascii="Calibri" w:hAnsi="Calibri"/>
          <w:b w:val="0"/>
          <w:i w:val="0"/>
          <w:color w:val="1A1A2E"/>
          <w:sz w:val="20"/>
        </w:rPr>
        <w:t>AI Copilot (Claude API) — natural language interface, context-aware client summaries, meeting prep</w:t>
      </w:r>
    </w:p>
    <w:p>
      <w:pPr>
        <w:pStyle w:val="ListBullet"/>
        <w:spacing w:before="20" w:after="40"/>
        <w:ind w:left="454"/>
      </w:pPr>
      <w:r>
        <w:rPr>
          <w:rFonts w:ascii="Calibri" w:hAnsi="Calibri"/>
          <w:b w:val="0"/>
          <w:i w:val="0"/>
          <w:color w:val="1A1A2E"/>
          <w:sz w:val="20"/>
        </w:rPr>
        <w:t>Morning Briefing — daily digest of urgent clients and pending actions</w:t>
      </w:r>
    </w:p>
    <w:p>
      <w:pPr>
        <w:pStyle w:val="ListBullet"/>
        <w:spacing w:before="20" w:after="40"/>
        <w:ind w:left="454"/>
      </w:pPr>
      <w:r>
        <w:rPr>
          <w:rFonts w:ascii="Calibri" w:hAnsi="Calibri"/>
          <w:b w:val="0"/>
          <w:i w:val="0"/>
          <w:color w:val="1A1A2E"/>
          <w:sz w:val="20"/>
        </w:rPr>
        <w:t>Audit Logs — full compliance trail, queryable and exportable</w:t>
      </w:r>
    </w:p>
    <w:p>
      <w:pPr>
        <w:pStyle w:val="ListBullet"/>
        <w:spacing w:before="20" w:after="40"/>
        <w:ind w:left="454"/>
      </w:pPr>
      <w:r>
        <w:rPr>
          <w:rFonts w:ascii="Calibri" w:hAnsi="Calibri"/>
          <w:b w:val="0"/>
          <w:i w:val="0"/>
          <w:color w:val="1A1A2E"/>
          <w:sz w:val="20"/>
        </w:rPr>
        <w:t>20 seeded clients — realistic test data for demo and development</w:t>
      </w:r>
    </w:p>
    <w:p>
      <w:pPr>
        <w:spacing w:before="320" w:after="40"/>
      </w:pPr>
      <w:r>
        <w:rPr>
          <w:rFonts w:ascii="Calibri" w:hAnsi="Calibri"/>
          <w:b/>
          <w:i w:val="0"/>
          <w:color w:val="002B5C"/>
          <w:sz w:val="28"/>
        </w:rPr>
        <w:t>5. ARIA Personal Features</w:t>
      </w:r>
    </w:p>
    <w:p>
      <w:pPr>
        <w:spacing w:before="0" w:after="120"/>
      </w:pPr>
      <w:r>
        <w:rPr>
          <w:rFonts w:ascii="Calibri" w:hAnsi="Calibri"/>
          <w:b w:val="0"/>
          <w:i w:val="0"/>
          <w:color w:val="005B99"/>
          <w:sz w:val="14"/>
        </w:rPr>
        <w:t>────────────────────────────────────────────────────────────────────────────────</w:t>
      </w:r>
    </w:p>
    <w:p>
      <w:pPr>
        <w:spacing w:before="0" w:after="120"/>
      </w:pPr>
      <w:r>
        <w:rPr>
          <w:rFonts w:ascii="Calibri" w:hAnsi="Calibri"/>
          <w:b w:val="0"/>
          <w:i w:val="0"/>
          <w:color w:val="1A1A2E"/>
          <w:sz w:val="20"/>
        </w:rPr>
        <w:t>ARIA Personal is a consumer application for self-directed investors who want intelligent tracking and guidance without a human advisor.</w:t>
      </w:r>
    </w:p>
    <w:p>
      <w:pPr>
        <w:spacing w:before="200" w:after="60"/>
      </w:pPr>
      <w:r>
        <w:rPr>
          <w:rFonts w:ascii="Calibri" w:hAnsi="Calibri"/>
          <w:b/>
          <w:i w:val="0"/>
          <w:color w:val="005B99"/>
          <w:sz w:val="24"/>
        </w:rPr>
        <w:t>5.1 Authentication</w:t>
      </w:r>
    </w:p>
    <w:p>
      <w:pPr>
        <w:pStyle w:val="ListBullet"/>
        <w:spacing w:before="20" w:after="40"/>
        <w:ind w:left="454"/>
      </w:pPr>
      <w:r>
        <w:rPr>
          <w:rFonts w:ascii="Calibri" w:hAnsi="Calibri"/>
          <w:b w:val="0"/>
          <w:i w:val="0"/>
          <w:color w:val="1A1A2E"/>
          <w:sz w:val="20"/>
        </w:rPr>
        <w:t>Email + password registration and login</w:t>
      </w:r>
    </w:p>
    <w:p>
      <w:pPr>
        <w:pStyle w:val="ListBullet"/>
        <w:spacing w:before="20" w:after="40"/>
        <w:ind w:left="454"/>
      </w:pPr>
      <w:r>
        <w:rPr>
          <w:rFonts w:ascii="Calibri" w:hAnsi="Calibri"/>
          <w:b w:val="0"/>
          <w:i w:val="0"/>
          <w:color w:val="1A1A2E"/>
          <w:sz w:val="20"/>
        </w:rPr>
        <w:t>JWT auth (python-jose + passlib), 7-day token expiry</w:t>
      </w:r>
    </w:p>
    <w:p>
      <w:pPr>
        <w:pStyle w:val="ListBullet"/>
        <w:spacing w:before="20" w:after="40"/>
        <w:ind w:left="454"/>
      </w:pPr>
      <w:r>
        <w:rPr>
          <w:rFonts w:ascii="Calibri" w:hAnsi="Calibri"/>
          <w:b w:val="0"/>
          <w:i w:val="0"/>
          <w:color w:val="1A1A2E"/>
          <w:sz w:val="20"/>
        </w:rPr>
        <w:t>Tokens stored in localStorage</w:t>
      </w:r>
    </w:p>
    <w:p>
      <w:pPr>
        <w:spacing w:before="200" w:after="60"/>
      </w:pPr>
      <w:r>
        <w:rPr>
          <w:rFonts w:ascii="Calibri" w:hAnsi="Calibri"/>
          <w:b/>
          <w:i w:val="0"/>
          <w:color w:val="005B99"/>
          <w:sz w:val="24"/>
        </w:rPr>
        <w:t>5.2 Goals with Monte Carlo Probability</w:t>
      </w:r>
    </w:p>
    <w:p>
      <w:pPr>
        <w:spacing w:before="0" w:after="120"/>
      </w:pPr>
      <w:r>
        <w:rPr>
          <w:rFonts w:ascii="Calibri" w:hAnsi="Calibri"/>
          <w:b w:val="0"/>
          <w:i w:val="0"/>
          <w:color w:val="1A1A2E"/>
          <w:sz w:val="20"/>
        </w:rPr>
        <w:t>The goals module is the centrepiece. Each goal captures: name, target amount (₹), target date, monthly SIP. On save, the backend immediately runs monte_carlo_goal_probability() and stores the result. The user sees a probability pill and the median projected corpus in both nominal and real rupees.</w:t>
      </w:r>
    </w:p>
    <w:p>
      <w:pPr>
        <w:spacing w:before="0" w:after="120"/>
      </w:pPr>
      <w:r>
        <w:rPr>
          <w:rFonts w:ascii="Calibri" w:hAnsi="Calibri"/>
          <w:b w:val="0"/>
          <w:i w:val="0"/>
          <w:color w:val="1A1A2E"/>
          <w:sz w:val="20"/>
        </w:rPr>
        <w:t>What-If v2 (shipped in v0.1.0): Interactive sliders for SIP, inflation, and expected return. Adjustments trigger a fresh simulation — the user sees in real time how increasing their SIP by ₹5,000 changes probability from 45% to 72%.</w:t>
      </w:r>
    </w:p>
    <w:p>
      <w:pPr>
        <w:spacing w:before="200" w:after="60"/>
      </w:pPr>
      <w:r>
        <w:rPr>
          <w:rFonts w:ascii="Calibri" w:hAnsi="Calibri"/>
          <w:b/>
          <w:i w:val="0"/>
          <w:color w:val="005B99"/>
          <w:sz w:val="24"/>
        </w:rPr>
        <w:t>5.3 Additional Personal Features</w:t>
      </w:r>
    </w:p>
    <w:p>
      <w:pPr>
        <w:pStyle w:val="ListBullet"/>
        <w:spacing w:before="20" w:after="40"/>
        <w:ind w:left="454"/>
      </w:pPr>
      <w:r>
        <w:rPr>
          <w:rFonts w:ascii="Calibri" w:hAnsi="Calibri"/>
          <w:b w:val="0"/>
          <w:i w:val="0"/>
          <w:color w:val="1A1A2E"/>
          <w:sz w:val="20"/>
        </w:rPr>
        <w:t>Dashboard — portfolio total value, goals summary, life events, quick actions</w:t>
      </w:r>
    </w:p>
    <w:p>
      <w:pPr>
        <w:pStyle w:val="ListBullet"/>
        <w:spacing w:before="20" w:after="40"/>
        <w:ind w:left="454"/>
      </w:pPr>
      <w:r>
        <w:rPr>
          <w:rFonts w:ascii="Calibri" w:hAnsi="Calibri"/>
          <w:b w:val="0"/>
          <w:i w:val="0"/>
          <w:color w:val="1A1A2E"/>
          <w:sz w:val="20"/>
        </w:rPr>
        <w:t>Life Events — home purchase, education, marriage, retirement, custom events</w:t>
      </w:r>
    </w:p>
    <w:p>
      <w:pPr>
        <w:pStyle w:val="ListBullet"/>
        <w:spacing w:before="20" w:after="40"/>
        <w:ind w:left="454"/>
      </w:pPr>
      <w:r>
        <w:rPr>
          <w:rFonts w:ascii="Calibri" w:hAnsi="Calibri"/>
          <w:b w:val="0"/>
          <w:i w:val="0"/>
          <w:color w:val="1A1A2E"/>
          <w:sz w:val="20"/>
        </w:rPr>
        <w:t>Ask ARIA Copilot — Claude API, user-scoped context, conversation log</w:t>
      </w:r>
    </w:p>
    <w:p>
      <w:pPr>
        <w:pStyle w:val="ListBullet"/>
        <w:spacing w:before="20" w:after="40"/>
        <w:ind w:left="454"/>
      </w:pPr>
      <w:r>
        <w:rPr>
          <w:rFonts w:ascii="Calibri" w:hAnsi="Calibri"/>
          <w:b w:val="0"/>
          <w:i w:val="0"/>
          <w:color w:val="1A1A2E"/>
          <w:sz w:val="20"/>
        </w:rPr>
        <w:t>Portfolio Tracking — holdings, total value used as starting corpus in simulation</w:t>
      </w:r>
    </w:p>
    <w:p>
      <w:pPr>
        <w:pStyle w:val="ListBullet"/>
        <w:spacing w:before="20" w:after="40"/>
        <w:ind w:left="454"/>
      </w:pPr>
      <w:r>
        <w:rPr>
          <w:rFonts w:ascii="Calibri" w:hAnsi="Calibri"/>
          <w:b w:val="0"/>
          <w:i w:val="0"/>
          <w:color w:val="1A1A2E"/>
          <w:sz w:val="20"/>
        </w:rPr>
        <w:t>Mobile-First Layout — 375px viewport first, thumb-friendly navigation</w:t>
      </w:r>
    </w:p>
    <w:p>
      <w:pPr>
        <w:spacing w:before="320" w:after="40"/>
      </w:pPr>
      <w:r>
        <w:rPr>
          <w:rFonts w:ascii="Calibri" w:hAnsi="Calibri"/>
          <w:b/>
          <w:i w:val="0"/>
          <w:color w:val="002B5C"/>
          <w:sz w:val="28"/>
        </w:rPr>
        <w:t>6. The Simulation Engine</w:t>
      </w:r>
    </w:p>
    <w:p>
      <w:pPr>
        <w:spacing w:before="0" w:after="120"/>
      </w:pPr>
      <w:r>
        <w:rPr>
          <w:rFonts w:ascii="Calibri" w:hAnsi="Calibri"/>
          <w:b w:val="0"/>
          <w:i w:val="0"/>
          <w:color w:val="005B99"/>
          <w:sz w:val="14"/>
        </w:rPr>
        <w:t>────────────────────────────────────────────────────────────────────────────────</w:t>
      </w:r>
    </w:p>
    <w:p>
      <w:pPr>
        <w:spacing w:before="0" w:after="120"/>
      </w:pPr>
      <w:r>
        <w:rPr>
          <w:rFonts w:ascii="Calibri" w:hAnsi="Calibri"/>
          <w:b w:val="0"/>
          <w:i w:val="0"/>
          <w:color w:val="1A1A2E"/>
          <w:sz w:val="20"/>
        </w:rPr>
        <w:t>The Monte Carlo simulation engine is the analytical core of the ARIA platform. It lives in backend/app/simulation.py — a pure Python module with no external dependencies.</w:t>
      </w:r>
    </w:p>
    <w:p>
      <w:pPr>
        <w:spacing w:before="200" w:after="60"/>
      </w:pPr>
      <w:r>
        <w:rPr>
          <w:rFonts w:ascii="Calibri" w:hAnsi="Calibri"/>
          <w:b/>
          <w:i w:val="0"/>
          <w:color w:val="005B99"/>
          <w:sz w:val="24"/>
        </w:rPr>
        <w:t>6.1 monte_carlo_goal_probability()</w:t>
      </w:r>
    </w:p>
    <w:p>
      <w:pPr>
        <w:spacing w:before="0" w:after="120"/>
      </w:pPr>
      <w:r>
        <w:rPr>
          <w:rFonts w:ascii="Calibri" w:hAnsi="Calibri"/>
          <w:b w:val="0"/>
          <w:i w:val="0"/>
          <w:color w:val="1A1A2E"/>
          <w:sz w:val="20"/>
        </w:rPr>
        <w:t>Runs 1,000 simulation paths to estimate goal success probability.</w:t>
      </w:r>
    </w:p>
    <w:p>
      <w:pPr>
        <w:pStyle w:val="ListBullet"/>
        <w:spacing w:before="20" w:after="40"/>
        <w:ind w:left="454"/>
      </w:pPr>
      <w:r>
        <w:rPr>
          <w:rFonts w:ascii="Calibri" w:hAnsi="Calibri"/>
          <w:b w:val="0"/>
          <w:i w:val="0"/>
          <w:color w:val="1A1A2E"/>
          <w:sz w:val="20"/>
        </w:rPr>
        <w:t>Step 1 — Inflation adjustment: real_target = target_amount × (1 + inflation_rate)^years</w:t>
      </w:r>
    </w:p>
    <w:p>
      <w:pPr>
        <w:pStyle w:val="ListBullet"/>
        <w:spacing w:before="20" w:after="40"/>
        <w:ind w:left="454"/>
      </w:pPr>
      <w:r>
        <w:rPr>
          <w:rFonts w:ascii="Calibri" w:hAnsi="Calibri"/>
          <w:b w:val="0"/>
          <w:i w:val="0"/>
          <w:color w:val="1A1A2E"/>
          <w:sz w:val="20"/>
        </w:rPr>
        <w:t>Step 2 — Monthly simulation: r ~ N(annual_rate/12, 0.05/√12) per month; value = value × (1+r) + monthly_sip</w:t>
      </w:r>
    </w:p>
    <w:p>
      <w:pPr>
        <w:pStyle w:val="ListBullet"/>
        <w:spacing w:before="20" w:after="40"/>
        <w:ind w:left="454"/>
      </w:pPr>
      <w:r>
        <w:rPr>
          <w:rFonts w:ascii="Calibri" w:hAnsi="Calibri"/>
          <w:b w:val="0"/>
          <w:i w:val="0"/>
          <w:color w:val="1A1A2E"/>
          <w:sz w:val="20"/>
        </w:rPr>
        <w:t>Step 3 — Success count: path succeeds if final_value ≥ real_target</w:t>
      </w:r>
    </w:p>
    <w:p>
      <w:pPr>
        <w:pStyle w:val="ListBullet"/>
        <w:spacing w:before="20" w:after="40"/>
        <w:ind w:left="454"/>
      </w:pPr>
      <w:r>
        <w:rPr>
          <w:rFonts w:ascii="Calibri" w:hAnsi="Calibri"/>
          <w:b w:val="0"/>
          <w:i w:val="0"/>
          <w:color w:val="1A1A2E"/>
          <w:sz w:val="20"/>
        </w:rPr>
        <w:t>Step 4 — Median corpus: sorted, P50 returned in both nominal and deflated (real) terms</w:t>
      </w:r>
    </w:p>
    <w:p>
      <w:pPr>
        <w:spacing w:before="0" w:after="120"/>
      </w:pPr>
      <w:r>
        <w:rPr>
          <w:rFonts w:ascii="Calibri" w:hAnsi="Calibri"/>
          <w:b w:val="0"/>
          <w:i w:val="0"/>
          <w:color w:val="1A1A2E"/>
          <w:sz w:val="20"/>
        </w:rPr>
        <w:t>Outputs: probability_pct (0–100), real_target (inflation-adjusted ₹), median_corpus (future ₹), median_corpus_real (today's ₹).</w:t>
      </w:r>
    </w:p>
    <w:p>
      <w:pPr>
        <w:spacing w:before="200" w:after="60"/>
      </w:pPr>
      <w:r>
        <w:rPr>
          <w:rFonts w:ascii="Calibri" w:hAnsi="Calibri"/>
          <w:b/>
          <w:i w:val="0"/>
          <w:color w:val="005B99"/>
          <w:sz w:val="24"/>
        </w:rPr>
        <w:t>6.2 find_required_sip()</w:t>
      </w:r>
    </w:p>
    <w:p>
      <w:pPr>
        <w:spacing w:before="0" w:after="120"/>
      </w:pPr>
      <w:r>
        <w:rPr>
          <w:rFonts w:ascii="Calibri" w:hAnsi="Calibri"/>
          <w:b w:val="0"/>
          <w:i w:val="0"/>
          <w:color w:val="1A1A2E"/>
          <w:sz w:val="20"/>
        </w:rPr>
        <w:t>Binary-search wrapper. Finds the monthly SIP that achieves 80% probability (configurable). 30 iterations → precision within ₹1, rounded to nearest ₹100. Powers the advisor's "What SIP do I need?" scenario and the personal user's goal creation flow.</w:t>
      </w:r>
    </w:p>
    <w:p>
      <w:pPr>
        <w:jc w:val="center"/>
      </w:pPr>
      <w:r>
        <w:drawing>
          <wp:inline xmlns:a="http://schemas.openxmlformats.org/drawingml/2006/main" xmlns:pic="http://schemas.openxmlformats.org/drawingml/2006/picture">
            <wp:extent cx="4680000" cy="251867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680000" cy="2518670"/>
                    </a:xfrm>
                    <a:prstGeom prst="rect"/>
                  </pic:spPr>
                </pic:pic>
              </a:graphicData>
            </a:graphic>
          </wp:inline>
        </w:drawing>
      </w:r>
    </w:p>
    <w:p/>
    <w:p>
      <w:pPr>
        <w:jc w:val="center"/>
      </w:pPr>
      <w:r>
        <w:drawing>
          <wp:inline xmlns:a="http://schemas.openxmlformats.org/drawingml/2006/main" xmlns:pic="http://schemas.openxmlformats.org/drawingml/2006/picture">
            <wp:extent cx="3600000" cy="178048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00000" cy="1780488"/>
                    </a:xfrm>
                    <a:prstGeom prst="rect"/>
                  </pic:spPr>
                </pic:pic>
              </a:graphicData>
            </a:graphic>
          </wp:inline>
        </w:drawing>
      </w:r>
    </w:p>
    <w:p/>
    <w:tbl>
      <w:tblPr>
        <w:tblW w:type="auto" w:w="0"/>
        <w:jc w:val="center"/>
        <w:tblLook w:firstColumn="1" w:firstRow="1" w:lastColumn="0" w:lastRow="0" w:noHBand="0" w:noVBand="1" w:val="04A0"/>
      </w:tblPr>
      <w:tblGrid>
        <w:gridCol w:w="9406"/>
      </w:tblGrid>
      <w:tr>
        <w:tc>
          <w:tcPr>
            <w:tcW w:type="dxa" w:w="9406"/>
            <w:shd w:val="clear" w:color="auto" w:fill="E8F4F6"/>
            <w:tcBorders>
              <w:left w:val="single" w:sz="24" w:color="007A87"/>
            </w:tcBorders>
          </w:tcPr>
          <w:p>
            <w:pPr>
              <w:spacing w:before="80" w:after="40"/>
            </w:pPr>
            <w:r>
              <w:rPr>
                <w:rFonts w:ascii="Calibri" w:hAnsi="Calibri"/>
                <w:b/>
                <w:i w:val="0"/>
                <w:color w:val="007A87"/>
                <w:sz w:val="16"/>
              </w:rPr>
              <w:t>DESIGN DECISION</w:t>
            </w:r>
          </w:p>
          <w:p>
            <w:pPr>
              <w:spacing w:before="40" w:after="120"/>
            </w:pPr>
            <w:r>
              <w:rPr>
                <w:rFonts w:ascii="Calibri" w:hAnsi="Calibri"/>
                <w:b w:val="0"/>
                <w:i/>
                <w:color w:val="002B5C"/>
                <w:sz w:val="21"/>
              </w:rPr>
              <w:t>Why inflation-adjustment? A corpus of ₹50 lakh in 2045 is not the same as ₹50 lakh today. Every probability calculation in ARIA adjusts for this — both products show a real-terms answer.</w:t>
            </w:r>
          </w:p>
        </w:tc>
      </w:tr>
    </w:tbl>
    <w:p/>
    <w:p>
      <w:pPr>
        <w:spacing w:before="320" w:after="40"/>
      </w:pPr>
      <w:r>
        <w:rPr>
          <w:rFonts w:ascii="Calibri" w:hAnsi="Calibri"/>
          <w:b/>
          <w:i w:val="0"/>
          <w:color w:val="002B5C"/>
          <w:sz w:val="28"/>
        </w:rPr>
        <w:t>7. Design System</w:t>
      </w:r>
    </w:p>
    <w:p>
      <w:pPr>
        <w:spacing w:before="0" w:after="120"/>
      </w:pPr>
      <w:r>
        <w:rPr>
          <w:rFonts w:ascii="Calibri" w:hAnsi="Calibri"/>
          <w:b w:val="0"/>
          <w:i w:val="0"/>
          <w:color w:val="005B99"/>
          <w:sz w:val="14"/>
        </w:rPr>
        <w:t>────────────────────────────────────────────────────────────────────────────────</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005B99"/>
          </w:tcPr>
          <w:p>
            <w:pPr>
              <w:spacing w:before="80" w:after="80"/>
            </w:pPr>
            <w:r>
              <w:rPr>
                <w:rFonts w:ascii="Calibri" w:hAnsi="Calibri"/>
                <w:b/>
                <w:i w:val="0"/>
                <w:color w:val="FFFFFF"/>
                <w:sz w:val="18"/>
              </w:rPr>
              <w:t>Token</w:t>
            </w:r>
          </w:p>
        </w:tc>
        <w:tc>
          <w:tcPr>
            <w:tcW w:type="dxa" w:w="1984"/>
            <w:shd w:val="clear" w:color="auto" w:fill="005B99"/>
          </w:tcPr>
          <w:p>
            <w:pPr>
              <w:spacing w:before="80" w:after="80"/>
            </w:pPr>
            <w:r>
              <w:rPr>
                <w:rFonts w:ascii="Calibri" w:hAnsi="Calibri"/>
                <w:b/>
                <w:i w:val="0"/>
                <w:color w:val="FFFFFF"/>
                <w:sz w:val="18"/>
              </w:rPr>
              <w:t>Hex</w:t>
            </w:r>
          </w:p>
        </w:tc>
        <w:tc>
          <w:tcPr>
            <w:tcW w:type="dxa" w:w="6520"/>
            <w:shd w:val="clear" w:color="auto" w:fill="005B99"/>
          </w:tcPr>
          <w:p>
            <w:pPr>
              <w:spacing w:before="80" w:after="80"/>
            </w:pPr>
            <w:r>
              <w:rPr>
                <w:rFonts w:ascii="Calibri" w:hAnsi="Calibri"/>
                <w:b/>
                <w:i w:val="0"/>
                <w:color w:val="FFFFFF"/>
                <w:sz w:val="18"/>
              </w:rPr>
              <w:t>Usage</w:t>
            </w:r>
          </w:p>
        </w:tc>
      </w:tr>
      <w:tr>
        <w:tc>
          <w:tcPr>
            <w:tcW w:type="dxa" w:w="2268"/>
            <w:shd w:val="clear" w:color="auto" w:fill="F2F4F7"/>
          </w:tcPr>
          <w:p>
            <w:pPr>
              <w:spacing w:before="60" w:after="60"/>
            </w:pPr>
            <w:r>
              <w:rPr>
                <w:rFonts w:ascii="Calibri" w:hAnsi="Calibri"/>
                <w:b w:val="0"/>
                <w:i w:val="0"/>
                <w:color w:val="1A1A2E"/>
                <w:sz w:val="18"/>
              </w:rPr>
              <w:t>Brand Blue</w:t>
            </w:r>
          </w:p>
        </w:tc>
        <w:tc>
          <w:tcPr>
            <w:tcW w:type="dxa" w:w="1984"/>
            <w:shd w:val="clear" w:color="auto" w:fill="F2F4F7"/>
          </w:tcPr>
          <w:p>
            <w:pPr>
              <w:spacing w:before="60" w:after="60"/>
            </w:pPr>
            <w:r>
              <w:rPr>
                <w:rFonts w:ascii="Calibri" w:hAnsi="Calibri"/>
                <w:b w:val="0"/>
                <w:i w:val="0"/>
                <w:color w:val="1A1A2E"/>
                <w:sz w:val="18"/>
              </w:rPr>
              <w:t>#1D6FDB</w:t>
            </w:r>
          </w:p>
        </w:tc>
        <w:tc>
          <w:tcPr>
            <w:tcW w:type="dxa" w:w="6520"/>
            <w:shd w:val="clear" w:color="auto" w:fill="F2F4F7"/>
          </w:tcPr>
          <w:p>
            <w:pPr>
              <w:spacing w:before="60" w:after="60"/>
            </w:pPr>
            <w:r>
              <w:rPr>
                <w:rFonts w:ascii="Calibri" w:hAnsi="Calibri"/>
                <w:b w:val="0"/>
                <w:i w:val="0"/>
                <w:color w:val="1A1A2E"/>
                <w:sz w:val="18"/>
              </w:rPr>
              <w:t>Primary actions, links, active states</w:t>
            </w:r>
          </w:p>
        </w:tc>
      </w:tr>
      <w:tr>
        <w:tc>
          <w:tcPr>
            <w:tcW w:type="dxa" w:w="2268"/>
            <w:shd w:val="clear" w:color="auto" w:fill="FFFFFF"/>
          </w:tcPr>
          <w:p>
            <w:pPr>
              <w:spacing w:before="60" w:after="60"/>
            </w:pPr>
            <w:r>
              <w:rPr>
                <w:rFonts w:ascii="Calibri" w:hAnsi="Calibri"/>
                <w:b w:val="0"/>
                <w:i w:val="0"/>
                <w:color w:val="1A1A2E"/>
                <w:sz w:val="18"/>
              </w:rPr>
              <w:t>Dark Navy</w:t>
            </w:r>
          </w:p>
        </w:tc>
        <w:tc>
          <w:tcPr>
            <w:tcW w:type="dxa" w:w="1984"/>
            <w:shd w:val="clear" w:color="auto" w:fill="FFFFFF"/>
          </w:tcPr>
          <w:p>
            <w:pPr>
              <w:spacing w:before="60" w:after="60"/>
            </w:pPr>
            <w:r>
              <w:rPr>
                <w:rFonts w:ascii="Calibri" w:hAnsi="Calibri"/>
                <w:b w:val="0"/>
                <w:i w:val="0"/>
                <w:color w:val="1A1A2E"/>
                <w:sz w:val="18"/>
              </w:rPr>
              <w:t>#002B5C</w:t>
            </w:r>
          </w:p>
        </w:tc>
        <w:tc>
          <w:tcPr>
            <w:tcW w:type="dxa" w:w="6520"/>
            <w:shd w:val="clear" w:color="auto" w:fill="FFFFFF"/>
          </w:tcPr>
          <w:p>
            <w:pPr>
              <w:spacing w:before="60" w:after="60"/>
            </w:pPr>
            <w:r>
              <w:rPr>
                <w:rFonts w:ascii="Calibri" w:hAnsi="Calibri"/>
                <w:b w:val="0"/>
                <w:i w:val="0"/>
                <w:color w:val="1A1A2E"/>
                <w:sz w:val="18"/>
              </w:rPr>
              <w:t>Login panels, headers, dark backgrounds</w:t>
            </w:r>
          </w:p>
        </w:tc>
      </w:tr>
      <w:tr>
        <w:tc>
          <w:tcPr>
            <w:tcW w:type="dxa" w:w="2268"/>
            <w:shd w:val="clear" w:color="auto" w:fill="F2F4F7"/>
          </w:tcPr>
          <w:p>
            <w:pPr>
              <w:spacing w:before="60" w:after="60"/>
            </w:pPr>
            <w:r>
              <w:rPr>
                <w:rFonts w:ascii="Calibri" w:hAnsi="Calibri"/>
                <w:b w:val="0"/>
                <w:i w:val="0"/>
                <w:color w:val="1A1A2E"/>
                <w:sz w:val="18"/>
              </w:rPr>
              <w:t>Mid Blue</w:t>
            </w:r>
          </w:p>
        </w:tc>
        <w:tc>
          <w:tcPr>
            <w:tcW w:type="dxa" w:w="1984"/>
            <w:shd w:val="clear" w:color="auto" w:fill="F2F4F7"/>
          </w:tcPr>
          <w:p>
            <w:pPr>
              <w:spacing w:before="60" w:after="60"/>
            </w:pPr>
            <w:r>
              <w:rPr>
                <w:rFonts w:ascii="Calibri" w:hAnsi="Calibri"/>
                <w:b w:val="0"/>
                <w:i w:val="0"/>
                <w:color w:val="1A1A2E"/>
                <w:sz w:val="18"/>
              </w:rPr>
              <w:t>#005B99</w:t>
            </w:r>
          </w:p>
        </w:tc>
        <w:tc>
          <w:tcPr>
            <w:tcW w:type="dxa" w:w="6520"/>
            <w:shd w:val="clear" w:color="auto" w:fill="F2F4F7"/>
          </w:tcPr>
          <w:p>
            <w:pPr>
              <w:spacing w:before="60" w:after="60"/>
            </w:pPr>
            <w:r>
              <w:rPr>
                <w:rFonts w:ascii="Calibri" w:hAnsi="Calibri"/>
                <w:b w:val="0"/>
                <w:i w:val="0"/>
                <w:color w:val="1A1A2E"/>
                <w:sz w:val="18"/>
              </w:rPr>
              <w:t>Section rules, table headers</w:t>
            </w:r>
          </w:p>
        </w:tc>
      </w:tr>
      <w:tr>
        <w:tc>
          <w:tcPr>
            <w:tcW w:type="dxa" w:w="2268"/>
            <w:shd w:val="clear" w:color="auto" w:fill="FFFFFF"/>
          </w:tcPr>
          <w:p>
            <w:pPr>
              <w:spacing w:before="60" w:after="60"/>
            </w:pPr>
            <w:r>
              <w:rPr>
                <w:rFonts w:ascii="Calibri" w:hAnsi="Calibri"/>
                <w:b w:val="0"/>
                <w:i w:val="0"/>
                <w:color w:val="1A1A2E"/>
                <w:sz w:val="18"/>
              </w:rPr>
              <w:t>Accent Teal</w:t>
            </w:r>
          </w:p>
        </w:tc>
        <w:tc>
          <w:tcPr>
            <w:tcW w:type="dxa" w:w="1984"/>
            <w:shd w:val="clear" w:color="auto" w:fill="FFFFFF"/>
          </w:tcPr>
          <w:p>
            <w:pPr>
              <w:spacing w:before="60" w:after="60"/>
            </w:pPr>
            <w:r>
              <w:rPr>
                <w:rFonts w:ascii="Calibri" w:hAnsi="Calibri"/>
                <w:b w:val="0"/>
                <w:i w:val="0"/>
                <w:color w:val="1A1A2E"/>
                <w:sz w:val="18"/>
              </w:rPr>
              <w:t>#007A87</w:t>
            </w:r>
          </w:p>
        </w:tc>
        <w:tc>
          <w:tcPr>
            <w:tcW w:type="dxa" w:w="6520"/>
            <w:shd w:val="clear" w:color="auto" w:fill="FFFFFF"/>
          </w:tcPr>
          <w:p>
            <w:pPr>
              <w:spacing w:before="60" w:after="60"/>
            </w:pPr>
            <w:r>
              <w:rPr>
                <w:rFonts w:ascii="Calibri" w:hAnsi="Calibri"/>
                <w:b w:val="0"/>
                <w:i w:val="0"/>
                <w:color w:val="1A1A2E"/>
                <w:sz w:val="18"/>
              </w:rPr>
              <w:t>On-track pills, callout boxes</w:t>
            </w:r>
          </w:p>
        </w:tc>
      </w:tr>
      <w:tr>
        <w:tc>
          <w:tcPr>
            <w:tcW w:type="dxa" w:w="2268"/>
            <w:shd w:val="clear" w:color="auto" w:fill="F2F4F7"/>
          </w:tcPr>
          <w:p>
            <w:pPr>
              <w:spacing w:before="60" w:after="60"/>
            </w:pPr>
            <w:r>
              <w:rPr>
                <w:rFonts w:ascii="Calibri" w:hAnsi="Calibri"/>
                <w:b w:val="0"/>
                <w:i w:val="0"/>
                <w:color w:val="1A1A2E"/>
                <w:sz w:val="18"/>
              </w:rPr>
              <w:t>Amber</w:t>
            </w:r>
          </w:p>
        </w:tc>
        <w:tc>
          <w:tcPr>
            <w:tcW w:type="dxa" w:w="1984"/>
            <w:shd w:val="clear" w:color="auto" w:fill="F2F4F7"/>
          </w:tcPr>
          <w:p>
            <w:pPr>
              <w:spacing w:before="60" w:after="60"/>
            </w:pPr>
            <w:r>
              <w:rPr>
                <w:rFonts w:ascii="Calibri" w:hAnsi="Calibri"/>
                <w:b w:val="0"/>
                <w:i w:val="0"/>
                <w:color w:val="1A1A2E"/>
                <w:sz w:val="18"/>
              </w:rPr>
              <w:t>#E88C00</w:t>
            </w:r>
          </w:p>
        </w:tc>
        <w:tc>
          <w:tcPr>
            <w:tcW w:type="dxa" w:w="6520"/>
            <w:shd w:val="clear" w:color="auto" w:fill="F2F4F7"/>
          </w:tcPr>
          <w:p>
            <w:pPr>
              <w:spacing w:before="60" w:after="60"/>
            </w:pPr>
            <w:r>
              <w:rPr>
                <w:rFonts w:ascii="Calibri" w:hAnsi="Calibri"/>
                <w:b w:val="0"/>
                <w:i w:val="0"/>
                <w:color w:val="1A1A2E"/>
                <w:sz w:val="18"/>
              </w:rPr>
              <w:t>Needs-attention pills</w:t>
            </w:r>
          </w:p>
        </w:tc>
      </w:tr>
      <w:tr>
        <w:tc>
          <w:tcPr>
            <w:tcW w:type="dxa" w:w="2268"/>
            <w:shd w:val="clear" w:color="auto" w:fill="FFFFFF"/>
          </w:tcPr>
          <w:p>
            <w:pPr>
              <w:spacing w:before="60" w:after="60"/>
            </w:pPr>
            <w:r>
              <w:rPr>
                <w:rFonts w:ascii="Calibri" w:hAnsi="Calibri"/>
                <w:b w:val="0"/>
                <w:i w:val="0"/>
                <w:color w:val="1A1A2E"/>
                <w:sz w:val="18"/>
              </w:rPr>
              <w:t>Rose</w:t>
            </w:r>
          </w:p>
        </w:tc>
        <w:tc>
          <w:tcPr>
            <w:tcW w:type="dxa" w:w="1984"/>
            <w:shd w:val="clear" w:color="auto" w:fill="FFFFFF"/>
          </w:tcPr>
          <w:p>
            <w:pPr>
              <w:spacing w:before="60" w:after="60"/>
            </w:pPr>
            <w:r>
              <w:rPr>
                <w:rFonts w:ascii="Calibri" w:hAnsi="Calibri"/>
                <w:b w:val="0"/>
                <w:i w:val="0"/>
                <w:color w:val="1A1A2E"/>
                <w:sz w:val="18"/>
              </w:rPr>
              <w:t>#E53E3E</w:t>
            </w:r>
          </w:p>
        </w:tc>
        <w:tc>
          <w:tcPr>
            <w:tcW w:type="dxa" w:w="6520"/>
            <w:shd w:val="clear" w:color="auto" w:fill="FFFFFF"/>
          </w:tcPr>
          <w:p>
            <w:pPr>
              <w:spacing w:before="60" w:after="60"/>
            </w:pPr>
            <w:r>
              <w:rPr>
                <w:rFonts w:ascii="Calibri" w:hAnsi="Calibri"/>
                <w:b w:val="0"/>
                <w:i w:val="0"/>
                <w:color w:val="1A1A2E"/>
                <w:sz w:val="18"/>
              </w:rPr>
              <w:t>At-risk pills</w:t>
            </w:r>
          </w:p>
        </w:tc>
      </w:tr>
    </w:tbl>
    <w:p/>
    <w:p>
      <w:pPr>
        <w:pStyle w:val="ListBullet"/>
        <w:spacing w:before="20" w:after="40"/>
        <w:ind w:left="454"/>
      </w:pPr>
      <w:r>
        <w:rPr>
          <w:rFonts w:ascii="Calibri" w:hAnsi="Calibri"/>
          <w:b w:val="0"/>
          <w:i w:val="0"/>
          <w:color w:val="1A1A2E"/>
          <w:sz w:val="20"/>
        </w:rPr>
        <w:t>Probability pills — three-state system (teal/amber/rose), consistent semantics across both products</w:t>
      </w:r>
    </w:p>
    <w:p>
      <w:pPr>
        <w:pStyle w:val="ListBullet"/>
        <w:spacing w:before="20" w:after="40"/>
        <w:ind w:left="454"/>
      </w:pPr>
      <w:r>
        <w:rPr>
          <w:rFonts w:ascii="Calibri" w:hAnsi="Calibri"/>
          <w:b w:val="0"/>
          <w:i w:val="0"/>
          <w:color w:val="1A1A2E"/>
          <w:sz w:val="20"/>
        </w:rPr>
        <w:t>Login layout — split-screen: dark navy left panel (tagline + stats), slate-50 right panel (form)</w:t>
      </w:r>
    </w:p>
    <w:p>
      <w:pPr>
        <w:pStyle w:val="ListBullet"/>
        <w:spacing w:before="20" w:after="40"/>
        <w:ind w:left="454"/>
      </w:pPr>
      <w:r>
        <w:rPr>
          <w:rFonts w:ascii="Calibri" w:hAnsi="Calibri"/>
          <w:b w:val="0"/>
          <w:i w:val="0"/>
          <w:color w:val="1A1A2E"/>
          <w:sz w:val="20"/>
        </w:rPr>
        <w:t>Mobile-first — 375px viewport first, all interactive elements thumb-friendly</w:t>
      </w:r>
    </w:p>
    <w:p>
      <w:pPr>
        <w:pStyle w:val="ListBullet"/>
        <w:spacing w:before="20" w:after="40"/>
        <w:ind w:left="454"/>
      </w:pPr>
      <w:r>
        <w:rPr>
          <w:rFonts w:ascii="Calibri" w:hAnsi="Calibri"/>
          <w:b w:val="0"/>
          <w:i w:val="0"/>
          <w:color w:val="1A1A2E"/>
          <w:sz w:val="20"/>
        </w:rPr>
        <w:t>Shared footer — "Made with ❤️ in Hyderabad" (both apps)</w:t>
      </w:r>
    </w:p>
    <w:p>
      <w:pPr>
        <w:pStyle w:val="ListBullet"/>
        <w:spacing w:before="20" w:after="40"/>
        <w:ind w:left="454"/>
      </w:pPr>
      <w:r>
        <w:rPr>
          <w:rFonts w:ascii="Calibri" w:hAnsi="Calibri"/>
          <w:b w:val="0"/>
          <w:i w:val="0"/>
          <w:color w:val="1A1A2E"/>
          <w:sz w:val="20"/>
        </w:rPr>
        <w:t>Logo components — ARiALogo.jsx (advisor) and ARIALogo.jsx (personal) — dotless-i + blue dot wordmark</w:t>
      </w:r>
    </w:p>
    <w:p>
      <w:pPr>
        <w:spacing w:before="320" w:after="40"/>
      </w:pPr>
      <w:r>
        <w:rPr>
          <w:rFonts w:ascii="Calibri" w:hAnsi="Calibri"/>
          <w:b/>
          <w:i w:val="0"/>
          <w:color w:val="002B5C"/>
          <w:sz w:val="28"/>
        </w:rPr>
        <w:t>8. Go-to-Market</w:t>
      </w:r>
    </w:p>
    <w:p>
      <w:pPr>
        <w:spacing w:before="0" w:after="120"/>
      </w:pPr>
      <w:r>
        <w:rPr>
          <w:rFonts w:ascii="Calibri" w:hAnsi="Calibri"/>
          <w:b w:val="0"/>
          <w:i w:val="0"/>
          <w:color w:val="005B99"/>
          <w:sz w:val="14"/>
        </w:rPr>
        <w:t>────────────────────────────────────────────────────────────────────────────────</w:t>
      </w:r>
    </w:p>
    <w:p>
      <w:pPr>
        <w:spacing w:before="200" w:after="60"/>
      </w:pPr>
      <w:r>
        <w:rPr>
          <w:rFonts w:ascii="Calibri" w:hAnsi="Calibri"/>
          <w:b/>
          <w:i w:val="0"/>
          <w:color w:val="005B99"/>
          <w:sz w:val="24"/>
        </w:rPr>
        <w:t>8.1 A-RiA Advisor — B2B SaaS Path</w:t>
      </w:r>
    </w:p>
    <w:p>
      <w:pPr>
        <w:pStyle w:val="ListBullet"/>
        <w:spacing w:before="20" w:after="40"/>
        <w:ind w:left="454"/>
      </w:pPr>
      <w:r>
        <w:rPr>
          <w:rFonts w:ascii="Calibri" w:hAnsi="Calibri"/>
          <w:b w:val="0"/>
          <w:i w:val="0"/>
          <w:color w:val="1A1A2E"/>
          <w:sz w:val="20"/>
        </w:rPr>
        <w:t>Target buyer: Head of wealth / distribution at mid-size private bank or NBFC</w:t>
      </w:r>
    </w:p>
    <w:p>
      <w:pPr>
        <w:pStyle w:val="ListBullet"/>
        <w:spacing w:before="20" w:after="40"/>
        <w:ind w:left="454"/>
      </w:pPr>
      <w:r>
        <w:rPr>
          <w:rFonts w:ascii="Calibri" w:hAnsi="Calibri"/>
          <w:b w:val="0"/>
          <w:i w:val="0"/>
          <w:color w:val="1A1A2E"/>
          <w:sz w:val="20"/>
        </w:rPr>
        <w:t>Pitch: Replace the advisor morning scramble with an intelligence-first workbench</w:t>
      </w:r>
    </w:p>
    <w:p>
      <w:pPr>
        <w:pStyle w:val="ListBullet"/>
        <w:spacing w:before="20" w:after="40"/>
        <w:ind w:left="454"/>
      </w:pPr>
      <w:r>
        <w:rPr>
          <w:rFonts w:ascii="Calibri" w:hAnsi="Calibri"/>
          <w:b w:val="0"/>
          <w:i w:val="0"/>
          <w:color w:val="1A1A2E"/>
          <w:sz w:val="20"/>
        </w:rPr>
        <w:t>Commercial model: Per-RM-seat SaaS subscription, priced at a fraction of the productivity gain</w:t>
      </w:r>
    </w:p>
    <w:p>
      <w:pPr>
        <w:pStyle w:val="ListBullet"/>
        <w:spacing w:before="20" w:after="40"/>
        <w:ind w:left="454"/>
      </w:pPr>
      <w:r>
        <w:rPr>
          <w:rFonts w:ascii="Calibri" w:hAnsi="Calibri"/>
          <w:b w:val="0"/>
          <w:i w:val="0"/>
          <w:color w:val="1A1A2E"/>
          <w:sz w:val="20"/>
        </w:rPr>
        <w:t>Near-term: Bank demo — "know before they call" pitch</w:t>
      </w:r>
    </w:p>
    <w:p>
      <w:pPr>
        <w:spacing w:before="200" w:after="60"/>
      </w:pPr>
      <w:r>
        <w:rPr>
          <w:rFonts w:ascii="Calibri" w:hAnsi="Calibri"/>
          <w:b/>
          <w:i w:val="0"/>
          <w:color w:val="005B99"/>
          <w:sz w:val="24"/>
        </w:rPr>
        <w:t>8.2 ARIA Personal — Consumer Freemium Path</w:t>
      </w:r>
    </w:p>
    <w:p>
      <w:pPr>
        <w:pStyle w:val="ListBullet"/>
        <w:spacing w:before="20" w:after="40"/>
        <w:ind w:left="454"/>
      </w:pPr>
      <w:r>
        <w:rPr>
          <w:rFonts w:ascii="Calibri" w:hAnsi="Calibri"/>
          <w:b w:val="0"/>
          <w:i w:val="0"/>
          <w:color w:val="1A1A2E"/>
          <w:sz w:val="20"/>
        </w:rPr>
        <w:t>Target: 25–40 year old professional, managing ₹5–50 lakh, wants to do it right without an advisor</w:t>
      </w:r>
    </w:p>
    <w:p>
      <w:pPr>
        <w:pStyle w:val="ListBullet"/>
        <w:spacing w:before="20" w:after="40"/>
        <w:ind w:left="454"/>
      </w:pPr>
      <w:r>
        <w:rPr>
          <w:rFonts w:ascii="Calibri" w:hAnsi="Calibri"/>
          <w:b w:val="0"/>
          <w:i w:val="0"/>
          <w:color w:val="1A1A2E"/>
          <w:sz w:val="20"/>
        </w:rPr>
        <w:t>Acquisition: Content-led, goal probability content is shareable, organic app store</w:t>
      </w:r>
    </w:p>
    <w:p>
      <w:pPr>
        <w:pStyle w:val="ListBullet"/>
        <w:spacing w:before="20" w:after="40"/>
        <w:ind w:left="454"/>
      </w:pPr>
      <w:r>
        <w:rPr>
          <w:rFonts w:ascii="Calibri" w:hAnsi="Calibri"/>
          <w:b w:val="0"/>
          <w:i w:val="0"/>
          <w:color w:val="1A1A2E"/>
          <w:sz w:val="20"/>
        </w:rPr>
        <w:t>Commercial model: Freemium — core tracking free, premium features on monthly subscription</w:t>
      </w:r>
    </w:p>
    <w:p>
      <w:pPr>
        <w:pStyle w:val="ListBullet"/>
        <w:spacing w:before="20" w:after="40"/>
        <w:ind w:left="454"/>
      </w:pPr>
      <w:r>
        <w:rPr>
          <w:rFonts w:ascii="Calibri" w:hAnsi="Calibri"/>
          <w:b w:val="0"/>
          <w:i w:val="0"/>
          <w:color w:val="1A1A2E"/>
          <w:sz w:val="20"/>
        </w:rPr>
        <w:t>Flywheel: Portfolio data accumulates → AI copilot becomes more useful → retention increases</w:t>
      </w:r>
    </w:p>
    <w:p>
      <w:pPr>
        <w:spacing w:before="320" w:after="40"/>
      </w:pPr>
      <w:r>
        <w:rPr>
          <w:rFonts w:ascii="Calibri" w:hAnsi="Calibri"/>
          <w:b/>
          <w:i w:val="0"/>
          <w:color w:val="002B5C"/>
          <w:sz w:val="28"/>
        </w:rPr>
        <w:t>9. Roadmap</w:t>
      </w:r>
    </w:p>
    <w:p>
      <w:pPr>
        <w:spacing w:before="0" w:after="120"/>
      </w:pPr>
      <w:r>
        <w:rPr>
          <w:rFonts w:ascii="Calibri" w:hAnsi="Calibri"/>
          <w:b w:val="0"/>
          <w:i w:val="0"/>
          <w:color w:val="005B99"/>
          <w:sz w:val="14"/>
        </w:rPr>
        <w:t>────────────────────────────────────────────────────────────────────────────────</w:t>
      </w:r>
    </w:p>
    <w:p>
      <w:pPr>
        <w:spacing w:before="200" w:after="60"/>
      </w:pPr>
      <w:r>
        <w:rPr>
          <w:rFonts w:ascii="Calibri" w:hAnsi="Calibri"/>
          <w:b/>
          <w:i w:val="0"/>
          <w:color w:val="005B99"/>
          <w:sz w:val="24"/>
        </w:rPr>
        <w:t>A-RiA Advisor — Phase 2</w:t>
      </w:r>
    </w:p>
    <w:tbl>
      <w:tblPr>
        <w:tblStyle w:val="TableGrid"/>
        <w:tblW w:type="auto" w:w="0"/>
        <w:jc w:val="center"/>
        <w:tblLook w:firstColumn="1" w:firstRow="1" w:lastColumn="0" w:lastRow="0" w:noHBand="0" w:noVBand="1" w:val="04A0"/>
      </w:tblPr>
      <w:tblGrid>
        <w:gridCol w:w="3135"/>
        <w:gridCol w:w="3135"/>
        <w:gridCol w:w="3135"/>
      </w:tblGrid>
      <w:tr>
        <w:tc>
          <w:tcPr>
            <w:tcW w:type="dxa" w:w="5102"/>
            <w:shd w:val="clear" w:color="auto" w:fill="005B99"/>
          </w:tcPr>
          <w:p>
            <w:pPr>
              <w:spacing w:before="80" w:after="80"/>
            </w:pPr>
            <w:r>
              <w:rPr>
                <w:rFonts w:ascii="Calibri" w:hAnsi="Calibri"/>
                <w:b/>
                <w:i w:val="0"/>
                <w:color w:val="FFFFFF"/>
                <w:sz w:val="18"/>
              </w:rPr>
              <w:t>Feature</w:t>
            </w:r>
          </w:p>
        </w:tc>
        <w:tc>
          <w:tcPr>
            <w:tcW w:type="dxa" w:w="1417"/>
            <w:shd w:val="clear" w:color="auto" w:fill="005B99"/>
          </w:tcPr>
          <w:p>
            <w:pPr>
              <w:spacing w:before="80" w:after="80"/>
            </w:pPr>
            <w:r>
              <w:rPr>
                <w:rFonts w:ascii="Calibri" w:hAnsi="Calibri"/>
                <w:b/>
                <w:i w:val="0"/>
                <w:color w:val="FFFFFF"/>
                <w:sz w:val="18"/>
              </w:rPr>
              <w:t>ID</w:t>
            </w:r>
          </w:p>
        </w:tc>
        <w:tc>
          <w:tcPr>
            <w:tcW w:type="dxa" w:w="1701"/>
            <w:shd w:val="clear" w:color="auto" w:fill="005B99"/>
          </w:tcPr>
          <w:p>
            <w:pPr>
              <w:spacing w:before="80" w:after="80"/>
            </w:pPr>
            <w:r>
              <w:rPr>
                <w:rFonts w:ascii="Calibri" w:hAnsi="Calibri"/>
                <w:b/>
                <w:i w:val="0"/>
                <w:color w:val="FFFFFF"/>
                <w:sz w:val="18"/>
              </w:rPr>
              <w:t>Status</w:t>
            </w:r>
          </w:p>
        </w:tc>
      </w:tr>
      <w:tr>
        <w:tc>
          <w:tcPr>
            <w:tcW w:type="dxa" w:w="5102"/>
            <w:shd w:val="clear" w:color="auto" w:fill="F2F4F7"/>
          </w:tcPr>
          <w:p>
            <w:pPr>
              <w:spacing w:before="60" w:after="60"/>
            </w:pPr>
            <w:r>
              <w:rPr>
                <w:rFonts w:ascii="Calibri" w:hAnsi="Calibri"/>
                <w:b w:val="0"/>
                <w:i w:val="0"/>
                <w:color w:val="1A1A2E"/>
                <w:sz w:val="18"/>
              </w:rPr>
              <w:t>What-If Scenario v2 — inflation Monte Carlo + reverse SIP</w:t>
            </w:r>
          </w:p>
        </w:tc>
        <w:tc>
          <w:tcPr>
            <w:tcW w:type="dxa" w:w="1417"/>
            <w:shd w:val="clear" w:color="auto" w:fill="F2F4F7"/>
          </w:tcPr>
          <w:p>
            <w:pPr>
              <w:spacing w:before="60" w:after="60"/>
            </w:pPr>
            <w:r>
              <w:rPr>
                <w:rFonts w:ascii="Calibri" w:hAnsi="Calibri"/>
                <w:b w:val="0"/>
                <w:i w:val="0"/>
                <w:color w:val="1A1A2E"/>
                <w:sz w:val="18"/>
              </w:rPr>
              <w:t>FEAT-503</w:t>
            </w:r>
          </w:p>
        </w:tc>
        <w:tc>
          <w:tcPr>
            <w:tcW w:type="dxa" w:w="1701"/>
            <w:shd w:val="clear" w:color="auto" w:fill="F2F4F7"/>
          </w:tcPr>
          <w:p>
            <w:pPr>
              <w:spacing w:before="60" w:after="60"/>
            </w:pPr>
            <w:r>
              <w:rPr>
                <w:rFonts w:ascii="Calibri" w:hAnsi="Calibri"/>
                <w:b w:val="0"/>
                <w:i w:val="0"/>
                <w:color w:val="1A1A2E"/>
                <w:sz w:val="18"/>
              </w:rPr>
              <w:t>In design</w:t>
            </w:r>
          </w:p>
        </w:tc>
      </w:tr>
      <w:tr>
        <w:tc>
          <w:tcPr>
            <w:tcW w:type="dxa" w:w="5102"/>
            <w:shd w:val="clear" w:color="auto" w:fill="FFFFFF"/>
          </w:tcPr>
          <w:p>
            <w:pPr>
              <w:spacing w:before="60" w:after="60"/>
            </w:pPr>
            <w:r>
              <w:rPr>
                <w:rFonts w:ascii="Calibri" w:hAnsi="Calibri"/>
                <w:b w:val="0"/>
                <w:i w:val="0"/>
                <w:color w:val="1A1A2E"/>
                <w:sz w:val="18"/>
              </w:rPr>
              <w:t>Book-level copilot ("which clients are overweight equity?")</w:t>
            </w:r>
          </w:p>
        </w:tc>
        <w:tc>
          <w:tcPr>
            <w:tcW w:type="dxa" w:w="1417"/>
            <w:shd w:val="clear" w:color="auto" w:fill="FFFFFF"/>
          </w:tcPr>
          <w:p>
            <w:pPr>
              <w:spacing w:before="60" w:after="60"/>
            </w:pPr>
            <w:r>
              <w:rPr>
                <w:rFonts w:ascii="Calibri" w:hAnsi="Calibri"/>
                <w:b w:val="0"/>
                <w:i w:val="0"/>
                <w:color w:val="1A1A2E"/>
                <w:sz w:val="18"/>
              </w:rPr>
              <w:t>FEAT-301</w:t>
            </w:r>
          </w:p>
        </w:tc>
        <w:tc>
          <w:tcPr>
            <w:tcW w:type="dxa" w:w="1701"/>
            <w:shd w:val="clear" w:color="auto" w:fill="FFFFFF"/>
          </w:tcPr>
          <w:p>
            <w:pPr>
              <w:spacing w:before="60" w:after="60"/>
            </w:pPr>
            <w:r>
              <w:rPr>
                <w:rFonts w:ascii="Calibri" w:hAnsi="Calibri"/>
                <w:b w:val="0"/>
                <w:i w:val="0"/>
                <w:color w:val="1A1A2E"/>
                <w:sz w:val="18"/>
              </w:rPr>
              <w:t>Not started</w:t>
            </w:r>
          </w:p>
        </w:tc>
      </w:tr>
      <w:tr>
        <w:tc>
          <w:tcPr>
            <w:tcW w:type="dxa" w:w="5102"/>
            <w:shd w:val="clear" w:color="auto" w:fill="F2F4F7"/>
          </w:tcPr>
          <w:p>
            <w:pPr>
              <w:spacing w:before="60" w:after="60"/>
            </w:pPr>
            <w:r>
              <w:rPr>
                <w:rFonts w:ascii="Calibri" w:hAnsi="Calibri"/>
                <w:b w:val="0"/>
                <w:i w:val="0"/>
                <w:color w:val="1A1A2E"/>
                <w:sz w:val="18"/>
              </w:rPr>
              <w:t>Formal recommendation cards with approve/reject workflow</w:t>
            </w:r>
          </w:p>
        </w:tc>
        <w:tc>
          <w:tcPr>
            <w:tcW w:type="dxa" w:w="1417"/>
            <w:shd w:val="clear" w:color="auto" w:fill="F2F4F7"/>
          </w:tcPr>
          <w:p>
            <w:pPr>
              <w:spacing w:before="60" w:after="60"/>
            </w:pPr>
            <w:r>
              <w:rPr>
                <w:rFonts w:ascii="Calibri" w:hAnsi="Calibri"/>
                <w:b w:val="0"/>
                <w:i w:val="0"/>
                <w:color w:val="1A1A2E"/>
                <w:sz w:val="18"/>
              </w:rPr>
              <w:t>FEAT-302</w:t>
            </w:r>
          </w:p>
        </w:tc>
        <w:tc>
          <w:tcPr>
            <w:tcW w:type="dxa" w:w="1701"/>
            <w:shd w:val="clear" w:color="auto" w:fill="F2F4F7"/>
          </w:tcPr>
          <w:p>
            <w:pPr>
              <w:spacing w:before="60" w:after="60"/>
            </w:pPr>
            <w:r>
              <w:rPr>
                <w:rFonts w:ascii="Calibri" w:hAnsi="Calibri"/>
                <w:b w:val="0"/>
                <w:i w:val="0"/>
                <w:color w:val="1A1A2E"/>
                <w:sz w:val="18"/>
              </w:rPr>
              <w:t>Not started</w:t>
            </w:r>
          </w:p>
        </w:tc>
      </w:tr>
      <w:tr>
        <w:tc>
          <w:tcPr>
            <w:tcW w:type="dxa" w:w="5102"/>
            <w:shd w:val="clear" w:color="auto" w:fill="FFFFFF"/>
          </w:tcPr>
          <w:p>
            <w:pPr>
              <w:spacing w:before="60" w:after="60"/>
            </w:pPr>
            <w:r>
              <w:rPr>
                <w:rFonts w:ascii="Calibri" w:hAnsi="Calibri"/>
                <w:b w:val="0"/>
                <w:i w:val="0"/>
                <w:color w:val="1A1A2E"/>
                <w:sz w:val="18"/>
              </w:rPr>
              <w:t>Live NAV fetch (MFAPI.in integration)</w:t>
            </w:r>
          </w:p>
        </w:tc>
        <w:tc>
          <w:tcPr>
            <w:tcW w:type="dxa" w:w="1417"/>
            <w:shd w:val="clear" w:color="auto" w:fill="FFFFFF"/>
          </w:tcPr>
          <w:p>
            <w:pPr>
              <w:spacing w:before="60" w:after="60"/>
            </w:pPr>
            <w:r>
              <w:rPr>
                <w:rFonts w:ascii="Calibri" w:hAnsi="Calibri"/>
                <w:b w:val="0"/>
                <w:i w:val="0"/>
                <w:color w:val="1A1A2E"/>
                <w:sz w:val="18"/>
              </w:rPr>
              <w:t>FEAT-201</w:t>
            </w:r>
          </w:p>
        </w:tc>
        <w:tc>
          <w:tcPr>
            <w:tcW w:type="dxa" w:w="1701"/>
            <w:shd w:val="clear" w:color="auto" w:fill="FFFFFF"/>
          </w:tcPr>
          <w:p>
            <w:pPr>
              <w:spacing w:before="60" w:after="60"/>
            </w:pPr>
            <w:r>
              <w:rPr>
                <w:rFonts w:ascii="Calibri" w:hAnsi="Calibri"/>
                <w:b w:val="0"/>
                <w:i w:val="0"/>
                <w:color w:val="1A1A2E"/>
                <w:sz w:val="18"/>
              </w:rPr>
              <w:t>Not started</w:t>
            </w:r>
          </w:p>
        </w:tc>
      </w:tr>
      <w:tr>
        <w:tc>
          <w:tcPr>
            <w:tcW w:type="dxa" w:w="5102"/>
            <w:shd w:val="clear" w:color="auto" w:fill="F2F4F7"/>
          </w:tcPr>
          <w:p>
            <w:pPr>
              <w:spacing w:before="60" w:after="60"/>
            </w:pPr>
            <w:r>
              <w:rPr>
                <w:rFonts w:ascii="Calibri" w:hAnsi="Calibri"/>
                <w:b w:val="0"/>
                <w:i w:val="0"/>
                <w:color w:val="1A1A2E"/>
                <w:sz w:val="18"/>
              </w:rPr>
              <w:t>Rebalancing proposal engine</w:t>
            </w:r>
          </w:p>
        </w:tc>
        <w:tc>
          <w:tcPr>
            <w:tcW w:type="dxa" w:w="1417"/>
            <w:shd w:val="clear" w:color="auto" w:fill="F2F4F7"/>
          </w:tcPr>
          <w:p>
            <w:pPr>
              <w:spacing w:before="60" w:after="60"/>
            </w:pPr>
            <w:r>
              <w:rPr>
                <w:rFonts w:ascii="Calibri" w:hAnsi="Calibri"/>
                <w:b w:val="0"/>
                <w:i w:val="0"/>
                <w:color w:val="1A1A2E"/>
                <w:sz w:val="18"/>
              </w:rPr>
              <w:t>FEAT-202</w:t>
            </w:r>
          </w:p>
        </w:tc>
        <w:tc>
          <w:tcPr>
            <w:tcW w:type="dxa" w:w="1701"/>
            <w:shd w:val="clear" w:color="auto" w:fill="F2F4F7"/>
          </w:tcPr>
          <w:p>
            <w:pPr>
              <w:spacing w:before="60" w:after="60"/>
            </w:pPr>
            <w:r>
              <w:rPr>
                <w:rFonts w:ascii="Calibri" w:hAnsi="Calibri"/>
                <w:b w:val="0"/>
                <w:i w:val="0"/>
                <w:color w:val="1A1A2E"/>
                <w:sz w:val="18"/>
              </w:rPr>
              <w:t>Not started</w:t>
            </w:r>
          </w:p>
        </w:tc>
      </w:tr>
      <w:tr>
        <w:tc>
          <w:tcPr>
            <w:tcW w:type="dxa" w:w="5102"/>
            <w:shd w:val="clear" w:color="auto" w:fill="FFFFFF"/>
          </w:tcPr>
          <w:p>
            <w:pPr>
              <w:spacing w:before="60" w:after="60"/>
            </w:pPr>
            <w:r>
              <w:rPr>
                <w:rFonts w:ascii="Calibri" w:hAnsi="Calibri"/>
                <w:b w:val="0"/>
                <w:i w:val="0"/>
                <w:color w:val="1A1A2E"/>
                <w:sz w:val="18"/>
              </w:rPr>
              <w:t>Edit client data (currently read-only)</w:t>
            </w:r>
          </w:p>
        </w:tc>
        <w:tc>
          <w:tcPr>
            <w:tcW w:type="dxa" w:w="1417"/>
            <w:shd w:val="clear" w:color="auto" w:fill="FFFFFF"/>
          </w:tcPr>
          <w:p>
            <w:pPr>
              <w:spacing w:before="60" w:after="60"/>
            </w:pPr>
            <w:r>
              <w:rPr>
                <w:rFonts w:ascii="Calibri" w:hAnsi="Calibri"/>
                <w:b w:val="0"/>
                <w:i w:val="0"/>
                <w:color w:val="1A1A2E"/>
                <w:sz w:val="18"/>
              </w:rPr>
              <w:t>FEAT-101</w:t>
            </w:r>
          </w:p>
        </w:tc>
        <w:tc>
          <w:tcPr>
            <w:tcW w:type="dxa" w:w="1701"/>
            <w:shd w:val="clear" w:color="auto" w:fill="FFFFFF"/>
          </w:tcPr>
          <w:p>
            <w:pPr>
              <w:spacing w:before="60" w:after="60"/>
            </w:pPr>
            <w:r>
              <w:rPr>
                <w:rFonts w:ascii="Calibri" w:hAnsi="Calibri"/>
                <w:b w:val="0"/>
                <w:i w:val="0"/>
                <w:color w:val="1A1A2E"/>
                <w:sz w:val="18"/>
              </w:rPr>
              <w:t>Not started</w:t>
            </w:r>
          </w:p>
        </w:tc>
      </w:tr>
    </w:tbl>
    <w:p/>
    <w:p>
      <w:pPr>
        <w:spacing w:before="200" w:after="60"/>
      </w:pPr>
      <w:r>
        <w:rPr>
          <w:rFonts w:ascii="Calibri" w:hAnsi="Calibri"/>
          <w:b/>
          <w:i w:val="0"/>
          <w:color w:val="005B99"/>
          <w:sz w:val="24"/>
        </w:rPr>
        <w:t>ARIA Personal — Phase 2</w:t>
      </w:r>
    </w:p>
    <w:tbl>
      <w:tblPr>
        <w:tblStyle w:val="TableGrid"/>
        <w:tblW w:type="auto" w:w="0"/>
        <w:jc w:val="center"/>
        <w:tblLook w:firstColumn="1" w:firstRow="1" w:lastColumn="0" w:lastRow="0" w:noHBand="0" w:noVBand="1" w:val="04A0"/>
      </w:tblPr>
      <w:tblGrid>
        <w:gridCol w:w="3135"/>
        <w:gridCol w:w="3135"/>
        <w:gridCol w:w="3135"/>
      </w:tblGrid>
      <w:tr>
        <w:tc>
          <w:tcPr>
            <w:tcW w:type="dxa" w:w="5102"/>
            <w:shd w:val="clear" w:color="auto" w:fill="005B99"/>
          </w:tcPr>
          <w:p>
            <w:pPr>
              <w:spacing w:before="80" w:after="80"/>
            </w:pPr>
            <w:r>
              <w:rPr>
                <w:rFonts w:ascii="Calibri" w:hAnsi="Calibri"/>
                <w:b/>
                <w:i w:val="0"/>
                <w:color w:val="FFFFFF"/>
                <w:sz w:val="18"/>
              </w:rPr>
              <w:t>Feature</w:t>
            </w:r>
          </w:p>
        </w:tc>
        <w:tc>
          <w:tcPr>
            <w:tcW w:type="dxa" w:w="1417"/>
            <w:shd w:val="clear" w:color="auto" w:fill="005B99"/>
          </w:tcPr>
          <w:p>
            <w:pPr>
              <w:spacing w:before="80" w:after="80"/>
            </w:pPr>
            <w:r>
              <w:rPr>
                <w:rFonts w:ascii="Calibri" w:hAnsi="Calibri"/>
                <w:b/>
                <w:i w:val="0"/>
                <w:color w:val="FFFFFF"/>
                <w:sz w:val="18"/>
              </w:rPr>
              <w:t>ID</w:t>
            </w:r>
          </w:p>
        </w:tc>
        <w:tc>
          <w:tcPr>
            <w:tcW w:type="dxa" w:w="1701"/>
            <w:shd w:val="clear" w:color="auto" w:fill="005B99"/>
          </w:tcPr>
          <w:p>
            <w:pPr>
              <w:spacing w:before="80" w:after="80"/>
            </w:pPr>
            <w:r>
              <w:rPr>
                <w:rFonts w:ascii="Calibri" w:hAnsi="Calibri"/>
                <w:b/>
                <w:i w:val="0"/>
                <w:color w:val="FFFFFF"/>
                <w:sz w:val="18"/>
              </w:rPr>
              <w:t>Status</w:t>
            </w:r>
          </w:p>
        </w:tc>
      </w:tr>
      <w:tr>
        <w:tc>
          <w:tcPr>
            <w:tcW w:type="dxa" w:w="5102"/>
            <w:shd w:val="clear" w:color="auto" w:fill="F2F4F7"/>
          </w:tcPr>
          <w:p>
            <w:pPr>
              <w:spacing w:before="60" w:after="60"/>
            </w:pPr>
            <w:r>
              <w:rPr>
                <w:rFonts w:ascii="Calibri" w:hAnsi="Calibri"/>
                <w:b w:val="0"/>
                <w:i w:val="0"/>
                <w:color w:val="1A1A2E"/>
                <w:sz w:val="18"/>
              </w:rPr>
              <w:t>Portfolio add/edit UI (currently empty state only)</w:t>
            </w:r>
          </w:p>
        </w:tc>
        <w:tc>
          <w:tcPr>
            <w:tcW w:type="dxa" w:w="1417"/>
            <w:shd w:val="clear" w:color="auto" w:fill="F2F4F7"/>
          </w:tcPr>
          <w:p>
            <w:pPr>
              <w:spacing w:before="60" w:after="60"/>
            </w:pPr>
            <w:r>
              <w:rPr>
                <w:rFonts w:ascii="Calibri" w:hAnsi="Calibri"/>
                <w:b w:val="0"/>
                <w:i w:val="0"/>
                <w:color w:val="1A1A2E"/>
                <w:sz w:val="18"/>
              </w:rPr>
              <w:t>FEAT-P001</w:t>
            </w:r>
          </w:p>
        </w:tc>
        <w:tc>
          <w:tcPr>
            <w:tcW w:type="dxa" w:w="1701"/>
            <w:shd w:val="clear" w:color="auto" w:fill="F2F4F7"/>
          </w:tcPr>
          <w:p>
            <w:pPr>
              <w:spacing w:before="60" w:after="60"/>
            </w:pPr>
            <w:r>
              <w:rPr>
                <w:rFonts w:ascii="Calibri" w:hAnsi="Calibri"/>
                <w:b w:val="0"/>
                <w:i w:val="0"/>
                <w:color w:val="1A1A2E"/>
                <w:sz w:val="18"/>
              </w:rPr>
              <w:t>Not started</w:t>
            </w:r>
          </w:p>
        </w:tc>
      </w:tr>
      <w:tr>
        <w:tc>
          <w:tcPr>
            <w:tcW w:type="dxa" w:w="5102"/>
            <w:shd w:val="clear" w:color="auto" w:fill="FFFFFF"/>
          </w:tcPr>
          <w:p>
            <w:pPr>
              <w:spacing w:before="60" w:after="60"/>
            </w:pPr>
            <w:r>
              <w:rPr>
                <w:rFonts w:ascii="Calibri" w:hAnsi="Calibri"/>
                <w:b w:val="0"/>
                <w:i w:val="0"/>
                <w:color w:val="1A1A2E"/>
                <w:sz w:val="18"/>
              </w:rPr>
              <w:t>Onboarding risk questionnaire (5 questions → risk_score)</w:t>
            </w:r>
          </w:p>
        </w:tc>
        <w:tc>
          <w:tcPr>
            <w:tcW w:type="dxa" w:w="1417"/>
            <w:shd w:val="clear" w:color="auto" w:fill="FFFFFF"/>
          </w:tcPr>
          <w:p>
            <w:pPr>
              <w:spacing w:before="60" w:after="60"/>
            </w:pPr>
            <w:r>
              <w:rPr>
                <w:rFonts w:ascii="Calibri" w:hAnsi="Calibri"/>
                <w:b w:val="0"/>
                <w:i w:val="0"/>
                <w:color w:val="1A1A2E"/>
                <w:sz w:val="18"/>
              </w:rPr>
              <w:t>FEAT-P002</w:t>
            </w:r>
          </w:p>
        </w:tc>
        <w:tc>
          <w:tcPr>
            <w:tcW w:type="dxa" w:w="1701"/>
            <w:shd w:val="clear" w:color="auto" w:fill="FFFFFF"/>
          </w:tcPr>
          <w:p>
            <w:pPr>
              <w:spacing w:before="60" w:after="60"/>
            </w:pPr>
            <w:r>
              <w:rPr>
                <w:rFonts w:ascii="Calibri" w:hAnsi="Calibri"/>
                <w:b w:val="0"/>
                <w:i w:val="0"/>
                <w:color w:val="1A1A2E"/>
                <w:sz w:val="18"/>
              </w:rPr>
              <w:t>Not started</w:t>
            </w:r>
          </w:p>
        </w:tc>
      </w:tr>
    </w:tbl>
    <w:p/>
    <w:p>
      <w:r>
        <w:br w:type="page"/>
      </w:r>
    </w:p>
    <w:tbl>
      <w:tblPr>
        <w:tblW w:type="auto" w:w="0"/>
        <w:jc w:val="center"/>
        <w:tblLook w:firstColumn="1" w:firstRow="1" w:lastColumn="0" w:lastRow="0" w:noHBand="0" w:noVBand="1" w:val="04A0"/>
      </w:tblPr>
      <w:tblGrid>
        <w:gridCol w:w="9406"/>
      </w:tblGrid>
      <w:tr>
        <w:tc>
          <w:tcPr>
            <w:tcW w:type="dxa" w:w="9406"/>
            <w:shd w:val="clear" w:color="auto" w:fill="005B99"/>
          </w:tcPr>
          <w:p>
            <w:pPr>
              <w:spacing w:before="160" w:after="160"/>
              <w:jc w:val="center"/>
            </w:pPr>
            <w:r>
              <w:rPr>
                <w:rFonts w:ascii="Calibri" w:hAnsi="Calibri"/>
                <w:b/>
                <w:i w:val="0"/>
                <w:color w:val="FFFFFF"/>
                <w:sz w:val="26"/>
              </w:rPr>
              <w:t>PART 2 — ENGINEERING EFFICIENCY CASE STUDY</w:t>
            </w:r>
          </w:p>
        </w:tc>
      </w:tr>
    </w:tbl>
    <w:p/>
    <w:p>
      <w:pPr>
        <w:spacing w:before="0" w:after="120"/>
      </w:pPr>
      <w:r>
        <w:rPr>
          <w:rFonts w:ascii="Calibri" w:hAnsi="Calibri"/>
          <w:b w:val="0"/>
          <w:i w:val="0"/>
          <w:color w:val="1A1A2E"/>
          <w:sz w:val="20"/>
        </w:rPr>
      </w:r>
    </w:p>
    <w:p>
      <w:r>
        <w:rPr>
          <w:rFonts w:ascii="Calibri" w:hAnsi="Calibri"/>
          <w:b/>
          <w:i w:val="0"/>
          <w:color w:val="002B5C"/>
          <w:sz w:val="30"/>
        </w:rPr>
        <w:t>Building Two Production Fintech Apps: One Product Owner, One Claude</w:t>
      </w:r>
    </w:p>
    <w:p>
      <w:pPr>
        <w:spacing w:before="0" w:after="120"/>
      </w:pPr>
      <w:r>
        <w:rPr>
          <w:rFonts w:ascii="Calibri" w:hAnsi="Calibri"/>
          <w:b w:val="0"/>
          <w:i w:val="0"/>
          <w:color w:val="1A1A2E"/>
          <w:sz w:val="20"/>
        </w:rPr>
        <w:t>This section documents the engineering story behind the ARIA platform: two production-grade fintech applications built simultaneously by a single Product Owner with Claude as a persistent AI pair-programmer. JWT authentication, Monte Carlo financial simulation, AI copilot integration, and a polished design system — shipped across two simultaneous codebases in a single build window.</w:t>
      </w:r>
    </w:p>
    <w:tbl>
      <w:tblPr>
        <w:tblW w:type="auto" w:w="0"/>
        <w:jc w:val="center"/>
        <w:tblLook w:firstColumn="1" w:firstRow="1" w:lastColumn="0" w:lastRow="0" w:noHBand="0" w:noVBand="1" w:val="04A0"/>
      </w:tblPr>
      <w:tblGrid>
        <w:gridCol w:w="9406"/>
      </w:tblGrid>
      <w:tr>
        <w:tc>
          <w:tcPr>
            <w:tcW w:type="dxa" w:w="9406"/>
            <w:shd w:val="clear" w:color="auto" w:fill="E8F4F6"/>
            <w:tcBorders>
              <w:left w:val="single" w:sz="24" w:color="007A87"/>
            </w:tcBorders>
          </w:tcPr>
          <w:p>
            <w:pPr>
              <w:spacing w:before="80" w:after="40"/>
            </w:pPr>
            <w:r>
              <w:rPr>
                <w:rFonts w:ascii="Calibri" w:hAnsi="Calibri"/>
                <w:b/>
                <w:i w:val="0"/>
                <w:color w:val="007A87"/>
                <w:sz w:val="16"/>
              </w:rPr>
              <w:t>THE EXPERIMENT</w:t>
            </w:r>
          </w:p>
          <w:p>
            <w:pPr>
              <w:spacing w:before="40" w:after="120"/>
            </w:pPr>
            <w:r>
              <w:rPr>
                <w:rFonts w:ascii="Calibri" w:hAnsi="Calibri"/>
                <w:b w:val="0"/>
                <w:i/>
                <w:color w:val="002B5C"/>
                <w:sz w:val="21"/>
              </w:rPr>
              <w:t>Where BzHub showed one PO + Claude building one product, ARIA shows the same model applied to two simultaneous products sharing infrastructure — and it worked.</w:t>
            </w:r>
          </w:p>
        </w:tc>
      </w:tr>
    </w:tbl>
    <w:p/>
    <w:p>
      <w:pPr>
        <w:spacing w:before="320" w:after="40"/>
      </w:pPr>
      <w:r>
        <w:rPr>
          <w:rFonts w:ascii="Calibri" w:hAnsi="Calibri"/>
          <w:b/>
          <w:i w:val="0"/>
          <w:color w:val="002B5C"/>
          <w:sz w:val="28"/>
        </w:rPr>
        <w:t>1. What Was Built — Feature Inventory</w:t>
      </w:r>
    </w:p>
    <w:p>
      <w:pPr>
        <w:spacing w:before="0" w:after="120"/>
      </w:pPr>
      <w:r>
        <w:rPr>
          <w:rFonts w:ascii="Calibri" w:hAnsi="Calibri"/>
          <w:b w:val="0"/>
          <w:i w:val="0"/>
          <w:color w:val="005B99"/>
          <w:sz w:val="14"/>
        </w:rPr>
        <w:t>────────────────────────────────────────────────────────────────────────────────</w:t>
      </w:r>
    </w:p>
    <w:p>
      <w:pPr>
        <w:spacing w:before="200" w:after="60"/>
      </w:pPr>
      <w:r>
        <w:rPr>
          <w:rFonts w:ascii="Calibri" w:hAnsi="Calibri"/>
          <w:b/>
          <w:i w:val="0"/>
          <w:color w:val="005B99"/>
          <w:sz w:val="24"/>
        </w:rPr>
        <w:t>A-RiA Advisor Workbench (Phase 1 Complete)</w:t>
      </w:r>
    </w:p>
    <w:tbl>
      <w:tblPr>
        <w:tblStyle w:val="TableGrid"/>
        <w:tblW w:type="auto" w:w="0"/>
        <w:jc w:val="center"/>
        <w:tblLook w:firstColumn="1" w:firstRow="1" w:lastColumn="0" w:lastRow="0" w:noHBand="0" w:noVBand="1" w:val="04A0"/>
      </w:tblPr>
      <w:tblGrid>
        <w:gridCol w:w="3135"/>
        <w:gridCol w:w="3135"/>
        <w:gridCol w:w="3135"/>
      </w:tblGrid>
      <w:tr>
        <w:tc>
          <w:tcPr>
            <w:tcW w:type="dxa" w:w="3685"/>
            <w:shd w:val="clear" w:color="auto" w:fill="005B99"/>
          </w:tcPr>
          <w:p>
            <w:pPr>
              <w:spacing w:before="80" w:after="80"/>
            </w:pPr>
            <w:r>
              <w:rPr>
                <w:rFonts w:ascii="Calibri" w:hAnsi="Calibri"/>
                <w:b/>
                <w:i w:val="0"/>
                <w:color w:val="FFFFFF"/>
                <w:sz w:val="18"/>
              </w:rPr>
              <w:t>Feature</w:t>
            </w:r>
          </w:p>
        </w:tc>
        <w:tc>
          <w:tcPr>
            <w:tcW w:type="dxa" w:w="1417"/>
            <w:shd w:val="clear" w:color="auto" w:fill="005B99"/>
          </w:tcPr>
          <w:p>
            <w:pPr>
              <w:spacing w:before="80" w:after="80"/>
            </w:pPr>
            <w:r>
              <w:rPr>
                <w:rFonts w:ascii="Calibri" w:hAnsi="Calibri"/>
                <w:b/>
                <w:i w:val="0"/>
                <w:color w:val="FFFFFF"/>
                <w:sz w:val="18"/>
              </w:rPr>
              <w:t>Complexity</w:t>
            </w:r>
          </w:p>
        </w:tc>
        <w:tc>
          <w:tcPr>
            <w:tcW w:type="dxa" w:w="5669"/>
            <w:shd w:val="clear" w:color="auto" w:fill="005B99"/>
          </w:tcPr>
          <w:p>
            <w:pPr>
              <w:spacing w:before="80" w:after="80"/>
            </w:pPr>
            <w:r>
              <w:rPr>
                <w:rFonts w:ascii="Calibri" w:hAnsi="Calibri"/>
                <w:b/>
                <w:i w:val="0"/>
                <w:color w:val="FFFFFF"/>
                <w:sz w:val="18"/>
              </w:rPr>
              <w:t>Notes</w:t>
            </w:r>
          </w:p>
        </w:tc>
      </w:tr>
      <w:tr>
        <w:tc>
          <w:tcPr>
            <w:tcW w:type="dxa" w:w="3685"/>
            <w:shd w:val="clear" w:color="auto" w:fill="F2F4F7"/>
          </w:tcPr>
          <w:p>
            <w:pPr>
              <w:spacing w:before="60" w:after="60"/>
            </w:pPr>
            <w:r>
              <w:rPr>
                <w:rFonts w:ascii="Calibri" w:hAnsi="Calibri"/>
                <w:b w:val="0"/>
                <w:i w:val="0"/>
                <w:color w:val="1A1A2E"/>
                <w:sz w:val="18"/>
              </w:rPr>
              <w:t>Client book with urgency scoring</w:t>
            </w:r>
          </w:p>
        </w:tc>
        <w:tc>
          <w:tcPr>
            <w:tcW w:type="dxa" w:w="1417"/>
            <w:shd w:val="clear" w:color="auto" w:fill="F2F4F7"/>
          </w:tcPr>
          <w:p>
            <w:pPr>
              <w:spacing w:before="60" w:after="60"/>
            </w:pPr>
            <w:r>
              <w:rPr>
                <w:rFonts w:ascii="Calibri" w:hAnsi="Calibri"/>
                <w:b w:val="0"/>
                <w:i w:val="0"/>
                <w:color w:val="1A1A2E"/>
                <w:sz w:val="18"/>
              </w:rPr>
              <w:t>High</w:t>
            </w:r>
          </w:p>
        </w:tc>
        <w:tc>
          <w:tcPr>
            <w:tcW w:type="dxa" w:w="5669"/>
            <w:shd w:val="clear" w:color="auto" w:fill="F2F4F7"/>
          </w:tcPr>
          <w:p>
            <w:pPr>
              <w:spacing w:before="60" w:after="60"/>
            </w:pPr>
            <w:r>
              <w:rPr>
                <w:rFonts w:ascii="Calibri" w:hAnsi="Calibri"/>
                <w:b w:val="0"/>
                <w:i w:val="0"/>
                <w:color w:val="1A1A2E"/>
                <w:sz w:val="18"/>
              </w:rPr>
              <w:t>Real-time compute_urgency() across portfolio, goals, life events, interactions</w:t>
            </w:r>
          </w:p>
        </w:tc>
      </w:tr>
      <w:tr>
        <w:tc>
          <w:tcPr>
            <w:tcW w:type="dxa" w:w="3685"/>
            <w:shd w:val="clear" w:color="auto" w:fill="FFFFFF"/>
          </w:tcPr>
          <w:p>
            <w:pPr>
              <w:spacing w:before="60" w:after="60"/>
            </w:pPr>
            <w:r>
              <w:rPr>
                <w:rFonts w:ascii="Calibri" w:hAnsi="Calibri"/>
                <w:b w:val="0"/>
                <w:i w:val="0"/>
                <w:color w:val="1A1A2E"/>
                <w:sz w:val="18"/>
              </w:rPr>
              <w:t>Urgency score sort</w:t>
            </w:r>
          </w:p>
        </w:tc>
        <w:tc>
          <w:tcPr>
            <w:tcW w:type="dxa" w:w="1417"/>
            <w:shd w:val="clear" w:color="auto" w:fill="FFFFFF"/>
          </w:tcPr>
          <w:p>
            <w:pPr>
              <w:spacing w:before="60" w:after="60"/>
            </w:pPr>
            <w:r>
              <w:rPr>
                <w:rFonts w:ascii="Calibri" w:hAnsi="Calibri"/>
                <w:b w:val="0"/>
                <w:i w:val="0"/>
                <w:color w:val="1A1A2E"/>
                <w:sz w:val="18"/>
              </w:rPr>
              <w:t>Medium</w:t>
            </w:r>
          </w:p>
        </w:tc>
        <w:tc>
          <w:tcPr>
            <w:tcW w:type="dxa" w:w="5669"/>
            <w:shd w:val="clear" w:color="auto" w:fill="FFFFFF"/>
          </w:tcPr>
          <w:p>
            <w:pPr>
              <w:spacing w:before="60" w:after="60"/>
            </w:pPr>
            <w:r>
              <w:rPr>
                <w:rFonts w:ascii="Calibri" w:hAnsi="Calibri"/>
                <w:b w:val="0"/>
                <w:i w:val="0"/>
                <w:color w:val="1A1A2E"/>
                <w:sz w:val="18"/>
              </w:rPr>
              <w:t>urgency_score() → numeric ranking, sorted on every list load</w:t>
            </w:r>
          </w:p>
        </w:tc>
      </w:tr>
      <w:tr>
        <w:tc>
          <w:tcPr>
            <w:tcW w:type="dxa" w:w="3685"/>
            <w:shd w:val="clear" w:color="auto" w:fill="F2F4F7"/>
          </w:tcPr>
          <w:p>
            <w:pPr>
              <w:spacing w:before="60" w:after="60"/>
            </w:pPr>
            <w:r>
              <w:rPr>
                <w:rFonts w:ascii="Calibri" w:hAnsi="Calibri"/>
                <w:b w:val="0"/>
                <w:i w:val="0"/>
                <w:color w:val="1A1A2E"/>
                <w:sz w:val="18"/>
              </w:rPr>
              <w:t>Client 360 view</w:t>
            </w:r>
          </w:p>
        </w:tc>
        <w:tc>
          <w:tcPr>
            <w:tcW w:type="dxa" w:w="1417"/>
            <w:shd w:val="clear" w:color="auto" w:fill="F2F4F7"/>
          </w:tcPr>
          <w:p>
            <w:pPr>
              <w:spacing w:before="60" w:after="60"/>
            </w:pPr>
            <w:r>
              <w:rPr>
                <w:rFonts w:ascii="Calibri" w:hAnsi="Calibri"/>
                <w:b w:val="0"/>
                <w:i w:val="0"/>
                <w:color w:val="1A1A2E"/>
                <w:sz w:val="18"/>
              </w:rPr>
              <w:t>High</w:t>
            </w:r>
          </w:p>
        </w:tc>
        <w:tc>
          <w:tcPr>
            <w:tcW w:type="dxa" w:w="5669"/>
            <w:shd w:val="clear" w:color="auto" w:fill="F2F4F7"/>
          </w:tcPr>
          <w:p>
            <w:pPr>
              <w:spacing w:before="60" w:after="60"/>
            </w:pPr>
            <w:r>
              <w:rPr>
                <w:rFonts w:ascii="Calibri" w:hAnsi="Calibri"/>
                <w:b w:val="0"/>
                <w:i w:val="0"/>
                <w:color w:val="1A1A2E"/>
                <w:sz w:val="18"/>
              </w:rPr>
              <w:t>Full profile, portfolio, goals, life events, urgency flags</w:t>
            </w:r>
          </w:p>
        </w:tc>
      </w:tr>
      <w:tr>
        <w:tc>
          <w:tcPr>
            <w:tcW w:type="dxa" w:w="3685"/>
            <w:shd w:val="clear" w:color="auto" w:fill="FFFFFF"/>
          </w:tcPr>
          <w:p>
            <w:pPr>
              <w:spacing w:before="60" w:after="60"/>
            </w:pPr>
            <w:r>
              <w:rPr>
                <w:rFonts w:ascii="Calibri" w:hAnsi="Calibri"/>
                <w:b w:val="0"/>
                <w:i w:val="0"/>
                <w:color w:val="1A1A2E"/>
                <w:sz w:val="18"/>
              </w:rPr>
              <w:t>Goal probability with Monte Carlo</w:t>
            </w:r>
          </w:p>
        </w:tc>
        <w:tc>
          <w:tcPr>
            <w:tcW w:type="dxa" w:w="1417"/>
            <w:shd w:val="clear" w:color="auto" w:fill="FFFFFF"/>
          </w:tcPr>
          <w:p>
            <w:pPr>
              <w:spacing w:before="60" w:after="60"/>
            </w:pPr>
            <w:r>
              <w:rPr>
                <w:rFonts w:ascii="Calibri" w:hAnsi="Calibri"/>
                <w:b w:val="0"/>
                <w:i w:val="0"/>
                <w:color w:val="1A1A2E"/>
                <w:sz w:val="18"/>
              </w:rPr>
              <w:t>High</w:t>
            </w:r>
          </w:p>
        </w:tc>
        <w:tc>
          <w:tcPr>
            <w:tcW w:type="dxa" w:w="5669"/>
            <w:shd w:val="clear" w:color="auto" w:fill="FFFFFF"/>
          </w:tcPr>
          <w:p>
            <w:pPr>
              <w:spacing w:before="60" w:after="60"/>
            </w:pPr>
            <w:r>
              <w:rPr>
                <w:rFonts w:ascii="Calibri" w:hAnsi="Calibri"/>
                <w:b w:val="0"/>
                <w:i w:val="0"/>
                <w:color w:val="1A1A2E"/>
                <w:sz w:val="18"/>
              </w:rPr>
              <w:t>1,000-simulation engine, inflation-adjusted, probability pills</w:t>
            </w:r>
          </w:p>
        </w:tc>
      </w:tr>
      <w:tr>
        <w:tc>
          <w:tcPr>
            <w:tcW w:type="dxa" w:w="3685"/>
            <w:shd w:val="clear" w:color="auto" w:fill="F2F4F7"/>
          </w:tcPr>
          <w:p>
            <w:pPr>
              <w:spacing w:before="60" w:after="60"/>
            </w:pPr>
            <w:r>
              <w:rPr>
                <w:rFonts w:ascii="Calibri" w:hAnsi="Calibri"/>
                <w:b w:val="0"/>
                <w:i w:val="0"/>
                <w:color w:val="1A1A2E"/>
                <w:sz w:val="18"/>
              </w:rPr>
              <w:t>What-if scenario (Phase 1)</w:t>
            </w:r>
          </w:p>
        </w:tc>
        <w:tc>
          <w:tcPr>
            <w:tcW w:type="dxa" w:w="1417"/>
            <w:shd w:val="clear" w:color="auto" w:fill="F2F4F7"/>
          </w:tcPr>
          <w:p>
            <w:pPr>
              <w:spacing w:before="60" w:after="60"/>
            </w:pPr>
            <w:r>
              <w:rPr>
                <w:rFonts w:ascii="Calibri" w:hAnsi="Calibri"/>
                <w:b w:val="0"/>
                <w:i w:val="0"/>
                <w:color w:val="1A1A2E"/>
                <w:sz w:val="18"/>
              </w:rPr>
              <w:t>Medium</w:t>
            </w:r>
          </w:p>
        </w:tc>
        <w:tc>
          <w:tcPr>
            <w:tcW w:type="dxa" w:w="5669"/>
            <w:shd w:val="clear" w:color="auto" w:fill="F2F4F7"/>
          </w:tcPr>
          <w:p>
            <w:pPr>
              <w:spacing w:before="60" w:after="60"/>
            </w:pPr>
            <w:r>
              <w:rPr>
                <w:rFonts w:ascii="Calibri" w:hAnsi="Calibri"/>
                <w:b w:val="0"/>
                <w:i w:val="0"/>
                <w:color w:val="1A1A2E"/>
                <w:sz w:val="18"/>
              </w:rPr>
              <w:t>SIP and return sliders, reruns Monte Carlo</w:t>
            </w:r>
          </w:p>
        </w:tc>
      </w:tr>
      <w:tr>
        <w:tc>
          <w:tcPr>
            <w:tcW w:type="dxa" w:w="3685"/>
            <w:shd w:val="clear" w:color="auto" w:fill="FFFFFF"/>
          </w:tcPr>
          <w:p>
            <w:pPr>
              <w:spacing w:before="60" w:after="60"/>
            </w:pPr>
            <w:r>
              <w:rPr>
                <w:rFonts w:ascii="Calibri" w:hAnsi="Calibri"/>
                <w:b w:val="0"/>
                <w:i w:val="0"/>
                <w:color w:val="1A1A2E"/>
                <w:sz w:val="18"/>
              </w:rPr>
              <w:t>AI copilot (Claude API)</w:t>
            </w:r>
          </w:p>
        </w:tc>
        <w:tc>
          <w:tcPr>
            <w:tcW w:type="dxa" w:w="1417"/>
            <w:shd w:val="clear" w:color="auto" w:fill="FFFFFF"/>
          </w:tcPr>
          <w:p>
            <w:pPr>
              <w:spacing w:before="60" w:after="60"/>
            </w:pPr>
            <w:r>
              <w:rPr>
                <w:rFonts w:ascii="Calibri" w:hAnsi="Calibri"/>
                <w:b w:val="0"/>
                <w:i w:val="0"/>
                <w:color w:val="1A1A2E"/>
                <w:sz w:val="18"/>
              </w:rPr>
              <w:t>High</w:t>
            </w:r>
          </w:p>
        </w:tc>
        <w:tc>
          <w:tcPr>
            <w:tcW w:type="dxa" w:w="5669"/>
            <w:shd w:val="clear" w:color="auto" w:fill="FFFFFF"/>
          </w:tcPr>
          <w:p>
            <w:pPr>
              <w:spacing w:before="60" w:after="60"/>
            </w:pPr>
            <w:r>
              <w:rPr>
                <w:rFonts w:ascii="Calibri" w:hAnsi="Calibri"/>
                <w:b w:val="0"/>
                <w:i w:val="0"/>
                <w:color w:val="1A1A2E"/>
                <w:sz w:val="18"/>
              </w:rPr>
              <w:t>Context-aware, reads client data, natural language output</w:t>
            </w:r>
          </w:p>
        </w:tc>
      </w:tr>
      <w:tr>
        <w:tc>
          <w:tcPr>
            <w:tcW w:type="dxa" w:w="3685"/>
            <w:shd w:val="clear" w:color="auto" w:fill="F2F4F7"/>
          </w:tcPr>
          <w:p>
            <w:pPr>
              <w:spacing w:before="60" w:after="60"/>
            </w:pPr>
            <w:r>
              <w:rPr>
                <w:rFonts w:ascii="Calibri" w:hAnsi="Calibri"/>
                <w:b w:val="0"/>
                <w:i w:val="0"/>
                <w:color w:val="1A1A2E"/>
                <w:sz w:val="18"/>
              </w:rPr>
              <w:t>Morning briefing view</w:t>
            </w:r>
          </w:p>
        </w:tc>
        <w:tc>
          <w:tcPr>
            <w:tcW w:type="dxa" w:w="1417"/>
            <w:shd w:val="clear" w:color="auto" w:fill="F2F4F7"/>
          </w:tcPr>
          <w:p>
            <w:pPr>
              <w:spacing w:before="60" w:after="60"/>
            </w:pPr>
            <w:r>
              <w:rPr>
                <w:rFonts w:ascii="Calibri" w:hAnsi="Calibri"/>
                <w:b w:val="0"/>
                <w:i w:val="0"/>
                <w:color w:val="1A1A2E"/>
                <w:sz w:val="18"/>
              </w:rPr>
              <w:t>Medium</w:t>
            </w:r>
          </w:p>
        </w:tc>
        <w:tc>
          <w:tcPr>
            <w:tcW w:type="dxa" w:w="5669"/>
            <w:shd w:val="clear" w:color="auto" w:fill="F2F4F7"/>
          </w:tcPr>
          <w:p>
            <w:pPr>
              <w:spacing w:before="60" w:after="60"/>
            </w:pPr>
            <w:r>
              <w:rPr>
                <w:rFonts w:ascii="Calibri" w:hAnsi="Calibri"/>
                <w:b w:val="0"/>
                <w:i w:val="0"/>
                <w:color w:val="1A1A2E"/>
                <w:sz w:val="18"/>
              </w:rPr>
              <w:t>Daily digest of urgent clients and pending actions</w:t>
            </w:r>
          </w:p>
        </w:tc>
      </w:tr>
      <w:tr>
        <w:tc>
          <w:tcPr>
            <w:tcW w:type="dxa" w:w="3685"/>
            <w:shd w:val="clear" w:color="auto" w:fill="FFFFFF"/>
          </w:tcPr>
          <w:p>
            <w:pPr>
              <w:spacing w:before="60" w:after="60"/>
            </w:pPr>
            <w:r>
              <w:rPr>
                <w:rFonts w:ascii="Calibri" w:hAnsi="Calibri"/>
                <w:b w:val="0"/>
                <w:i w:val="0"/>
                <w:color w:val="1A1A2E"/>
                <w:sz w:val="18"/>
              </w:rPr>
              <w:t>Audit logs</w:t>
            </w:r>
          </w:p>
        </w:tc>
        <w:tc>
          <w:tcPr>
            <w:tcW w:type="dxa" w:w="1417"/>
            <w:shd w:val="clear" w:color="auto" w:fill="FFFFFF"/>
          </w:tcPr>
          <w:p>
            <w:pPr>
              <w:spacing w:before="60" w:after="60"/>
            </w:pPr>
            <w:r>
              <w:rPr>
                <w:rFonts w:ascii="Calibri" w:hAnsi="Calibri"/>
                <w:b w:val="0"/>
                <w:i w:val="0"/>
                <w:color w:val="1A1A2E"/>
                <w:sz w:val="18"/>
              </w:rPr>
              <w:t>Medium</w:t>
            </w:r>
          </w:p>
        </w:tc>
        <w:tc>
          <w:tcPr>
            <w:tcW w:type="dxa" w:w="5669"/>
            <w:shd w:val="clear" w:color="auto" w:fill="FFFFFF"/>
          </w:tcPr>
          <w:p>
            <w:pPr>
              <w:spacing w:before="60" w:after="60"/>
            </w:pPr>
            <w:r>
              <w:rPr>
                <w:rFonts w:ascii="Calibri" w:hAnsi="Calibri"/>
                <w:b w:val="0"/>
                <w:i w:val="0"/>
                <w:color w:val="1A1A2E"/>
                <w:sz w:val="18"/>
              </w:rPr>
              <w:t>Full action trail for compliance</w:t>
            </w:r>
          </w:p>
        </w:tc>
      </w:tr>
      <w:tr>
        <w:tc>
          <w:tcPr>
            <w:tcW w:type="dxa" w:w="3685"/>
            <w:shd w:val="clear" w:color="auto" w:fill="F2F4F7"/>
          </w:tcPr>
          <w:p>
            <w:pPr>
              <w:spacing w:before="60" w:after="60"/>
            </w:pPr>
            <w:r>
              <w:rPr>
                <w:rFonts w:ascii="Calibri" w:hAnsi="Calibri"/>
                <w:b w:val="0"/>
                <w:i w:val="0"/>
                <w:color w:val="1A1A2E"/>
                <w:sz w:val="18"/>
              </w:rPr>
              <w:t>20 seeded clients</w:t>
            </w:r>
          </w:p>
        </w:tc>
        <w:tc>
          <w:tcPr>
            <w:tcW w:type="dxa" w:w="1417"/>
            <w:shd w:val="clear" w:color="auto" w:fill="F2F4F7"/>
          </w:tcPr>
          <w:p>
            <w:pPr>
              <w:spacing w:before="60" w:after="60"/>
            </w:pPr>
            <w:r>
              <w:rPr>
                <w:rFonts w:ascii="Calibri" w:hAnsi="Calibri"/>
                <w:b w:val="0"/>
                <w:i w:val="0"/>
                <w:color w:val="1A1A2E"/>
                <w:sz w:val="18"/>
              </w:rPr>
              <w:t>Low</w:t>
            </w:r>
          </w:p>
        </w:tc>
        <w:tc>
          <w:tcPr>
            <w:tcW w:type="dxa" w:w="5669"/>
            <w:shd w:val="clear" w:color="auto" w:fill="F2F4F7"/>
          </w:tcPr>
          <w:p>
            <w:pPr>
              <w:spacing w:before="60" w:after="60"/>
            </w:pPr>
            <w:r>
              <w:rPr>
                <w:rFonts w:ascii="Calibri" w:hAnsi="Calibri"/>
                <w:b w:val="0"/>
                <w:i w:val="0"/>
                <w:color w:val="1A1A2E"/>
                <w:sz w:val="18"/>
              </w:rPr>
              <w:t>Realistic test data for demo/development</w:t>
            </w:r>
          </w:p>
        </w:tc>
      </w:tr>
    </w:tbl>
    <w:p/>
    <w:p>
      <w:pPr>
        <w:spacing w:before="200" w:after="60"/>
      </w:pPr>
      <w:r>
        <w:rPr>
          <w:rFonts w:ascii="Calibri" w:hAnsi="Calibri"/>
          <w:b/>
          <w:i w:val="0"/>
          <w:color w:val="005B99"/>
          <w:sz w:val="24"/>
        </w:rPr>
        <w:t>ARIA Personal (v0.1.0 Shipped)</w:t>
      </w:r>
    </w:p>
    <w:tbl>
      <w:tblPr>
        <w:tblStyle w:val="TableGrid"/>
        <w:tblW w:type="auto" w:w="0"/>
        <w:jc w:val="center"/>
        <w:tblLook w:firstColumn="1" w:firstRow="1" w:lastColumn="0" w:lastRow="0" w:noHBand="0" w:noVBand="1" w:val="04A0"/>
      </w:tblPr>
      <w:tblGrid>
        <w:gridCol w:w="3135"/>
        <w:gridCol w:w="3135"/>
        <w:gridCol w:w="3135"/>
      </w:tblGrid>
      <w:tr>
        <w:tc>
          <w:tcPr>
            <w:tcW w:type="dxa" w:w="3685"/>
            <w:shd w:val="clear" w:color="auto" w:fill="005B99"/>
          </w:tcPr>
          <w:p>
            <w:pPr>
              <w:spacing w:before="80" w:after="80"/>
            </w:pPr>
            <w:r>
              <w:rPr>
                <w:rFonts w:ascii="Calibri" w:hAnsi="Calibri"/>
                <w:b/>
                <w:i w:val="0"/>
                <w:color w:val="FFFFFF"/>
                <w:sz w:val="18"/>
              </w:rPr>
              <w:t>Feature</w:t>
            </w:r>
          </w:p>
        </w:tc>
        <w:tc>
          <w:tcPr>
            <w:tcW w:type="dxa" w:w="1417"/>
            <w:shd w:val="clear" w:color="auto" w:fill="005B99"/>
          </w:tcPr>
          <w:p>
            <w:pPr>
              <w:spacing w:before="80" w:after="80"/>
            </w:pPr>
            <w:r>
              <w:rPr>
                <w:rFonts w:ascii="Calibri" w:hAnsi="Calibri"/>
                <w:b/>
                <w:i w:val="0"/>
                <w:color w:val="FFFFFF"/>
                <w:sz w:val="18"/>
              </w:rPr>
              <w:t>Complexity</w:t>
            </w:r>
          </w:p>
        </w:tc>
        <w:tc>
          <w:tcPr>
            <w:tcW w:type="dxa" w:w="5669"/>
            <w:shd w:val="clear" w:color="auto" w:fill="005B99"/>
          </w:tcPr>
          <w:p>
            <w:pPr>
              <w:spacing w:before="80" w:after="80"/>
            </w:pPr>
            <w:r>
              <w:rPr>
                <w:rFonts w:ascii="Calibri" w:hAnsi="Calibri"/>
                <w:b/>
                <w:i w:val="0"/>
                <w:color w:val="FFFFFF"/>
                <w:sz w:val="18"/>
              </w:rPr>
              <w:t>Notes</w:t>
            </w:r>
          </w:p>
        </w:tc>
      </w:tr>
      <w:tr>
        <w:tc>
          <w:tcPr>
            <w:tcW w:type="dxa" w:w="3685"/>
            <w:shd w:val="clear" w:color="auto" w:fill="F2F4F7"/>
          </w:tcPr>
          <w:p>
            <w:pPr>
              <w:spacing w:before="60" w:after="60"/>
            </w:pPr>
            <w:r>
              <w:rPr>
                <w:rFonts w:ascii="Calibri" w:hAnsi="Calibri"/>
                <w:b w:val="0"/>
                <w:i w:val="0"/>
                <w:color w:val="1A1A2E"/>
                <w:sz w:val="18"/>
              </w:rPr>
              <w:t>Register / Login with JWT auth</w:t>
            </w:r>
          </w:p>
        </w:tc>
        <w:tc>
          <w:tcPr>
            <w:tcW w:type="dxa" w:w="1417"/>
            <w:shd w:val="clear" w:color="auto" w:fill="F2F4F7"/>
          </w:tcPr>
          <w:p>
            <w:pPr>
              <w:spacing w:before="60" w:after="60"/>
            </w:pPr>
            <w:r>
              <w:rPr>
                <w:rFonts w:ascii="Calibri" w:hAnsi="Calibri"/>
                <w:b w:val="0"/>
                <w:i w:val="0"/>
                <w:color w:val="1A1A2E"/>
                <w:sz w:val="18"/>
              </w:rPr>
              <w:t>High</w:t>
            </w:r>
          </w:p>
        </w:tc>
        <w:tc>
          <w:tcPr>
            <w:tcW w:type="dxa" w:w="5669"/>
            <w:shd w:val="clear" w:color="auto" w:fill="F2F4F7"/>
          </w:tcPr>
          <w:p>
            <w:pPr>
              <w:spacing w:before="60" w:after="60"/>
            </w:pPr>
            <w:r>
              <w:rPr>
                <w:rFonts w:ascii="Calibri" w:hAnsi="Calibri"/>
                <w:b w:val="0"/>
                <w:i w:val="0"/>
                <w:color w:val="1A1A2E"/>
                <w:sz w:val="18"/>
              </w:rPr>
              <w:t>python-jose + passlib, 7-day tokens, full auth middleware</w:t>
            </w:r>
          </w:p>
        </w:tc>
      </w:tr>
      <w:tr>
        <w:tc>
          <w:tcPr>
            <w:tcW w:type="dxa" w:w="3685"/>
            <w:shd w:val="clear" w:color="auto" w:fill="FFFFFF"/>
          </w:tcPr>
          <w:p>
            <w:pPr>
              <w:spacing w:before="60" w:after="60"/>
            </w:pPr>
            <w:r>
              <w:rPr>
                <w:rFonts w:ascii="Calibri" w:hAnsi="Calibri"/>
                <w:b w:val="0"/>
                <w:i w:val="0"/>
                <w:color w:val="1A1A2E"/>
                <w:sz w:val="18"/>
              </w:rPr>
              <w:t>Dashboard</w:t>
            </w:r>
          </w:p>
        </w:tc>
        <w:tc>
          <w:tcPr>
            <w:tcW w:type="dxa" w:w="1417"/>
            <w:shd w:val="clear" w:color="auto" w:fill="FFFFFF"/>
          </w:tcPr>
          <w:p>
            <w:pPr>
              <w:spacing w:before="60" w:after="60"/>
            </w:pPr>
            <w:r>
              <w:rPr>
                <w:rFonts w:ascii="Calibri" w:hAnsi="Calibri"/>
                <w:b w:val="0"/>
                <w:i w:val="0"/>
                <w:color w:val="1A1A2E"/>
                <w:sz w:val="18"/>
              </w:rPr>
              <w:t>Medium</w:t>
            </w:r>
          </w:p>
        </w:tc>
        <w:tc>
          <w:tcPr>
            <w:tcW w:type="dxa" w:w="5669"/>
            <w:shd w:val="clear" w:color="auto" w:fill="FFFFFF"/>
          </w:tcPr>
          <w:p>
            <w:pPr>
              <w:spacing w:before="60" w:after="60"/>
            </w:pPr>
            <w:r>
              <w:rPr>
                <w:rFonts w:ascii="Calibri" w:hAnsi="Calibri"/>
                <w:b w:val="0"/>
                <w:i w:val="0"/>
                <w:color w:val="1A1A2E"/>
                <w:sz w:val="18"/>
              </w:rPr>
              <w:t>Portfolio, goals summary, life events, quick actions</w:t>
            </w:r>
          </w:p>
        </w:tc>
      </w:tr>
      <w:tr>
        <w:tc>
          <w:tcPr>
            <w:tcW w:type="dxa" w:w="3685"/>
            <w:shd w:val="clear" w:color="auto" w:fill="F2F4F7"/>
          </w:tcPr>
          <w:p>
            <w:pPr>
              <w:spacing w:before="60" w:after="60"/>
            </w:pPr>
            <w:r>
              <w:rPr>
                <w:rFonts w:ascii="Calibri" w:hAnsi="Calibri"/>
                <w:b w:val="0"/>
                <w:i w:val="0"/>
                <w:color w:val="1A1A2E"/>
                <w:sz w:val="18"/>
              </w:rPr>
              <w:t>Goals with Monte Carlo probability</w:t>
            </w:r>
          </w:p>
        </w:tc>
        <w:tc>
          <w:tcPr>
            <w:tcW w:type="dxa" w:w="1417"/>
            <w:shd w:val="clear" w:color="auto" w:fill="F2F4F7"/>
          </w:tcPr>
          <w:p>
            <w:pPr>
              <w:spacing w:before="60" w:after="60"/>
            </w:pPr>
            <w:r>
              <w:rPr>
                <w:rFonts w:ascii="Calibri" w:hAnsi="Calibri"/>
                <w:b w:val="0"/>
                <w:i w:val="0"/>
                <w:color w:val="1A1A2E"/>
                <w:sz w:val="18"/>
              </w:rPr>
              <w:t>High</w:t>
            </w:r>
          </w:p>
        </w:tc>
        <w:tc>
          <w:tcPr>
            <w:tcW w:type="dxa" w:w="5669"/>
            <w:shd w:val="clear" w:color="auto" w:fill="F2F4F7"/>
          </w:tcPr>
          <w:p>
            <w:pPr>
              <w:spacing w:before="60" w:after="60"/>
            </w:pPr>
            <w:r>
              <w:rPr>
                <w:rFonts w:ascii="Calibri" w:hAnsi="Calibri"/>
                <w:b w:val="0"/>
                <w:i w:val="0"/>
                <w:color w:val="1A1A2E"/>
                <w:sz w:val="18"/>
              </w:rPr>
              <w:t>Same simulation engine, probability pills, real vs nominal</w:t>
            </w:r>
          </w:p>
        </w:tc>
      </w:tr>
      <w:tr>
        <w:tc>
          <w:tcPr>
            <w:tcW w:type="dxa" w:w="3685"/>
            <w:shd w:val="clear" w:color="auto" w:fill="FFFFFF"/>
          </w:tcPr>
          <w:p>
            <w:pPr>
              <w:spacing w:before="60" w:after="60"/>
            </w:pPr>
            <w:r>
              <w:rPr>
                <w:rFonts w:ascii="Calibri" w:hAnsi="Calibri"/>
                <w:b w:val="0"/>
                <w:i w:val="0"/>
                <w:color w:val="1A1A2E"/>
                <w:sz w:val="18"/>
              </w:rPr>
              <w:t>What-if v2 sliders</w:t>
            </w:r>
          </w:p>
        </w:tc>
        <w:tc>
          <w:tcPr>
            <w:tcW w:type="dxa" w:w="1417"/>
            <w:shd w:val="clear" w:color="auto" w:fill="FFFFFF"/>
          </w:tcPr>
          <w:p>
            <w:pPr>
              <w:spacing w:before="60" w:after="60"/>
            </w:pPr>
            <w:r>
              <w:rPr>
                <w:rFonts w:ascii="Calibri" w:hAnsi="Calibri"/>
                <w:b w:val="0"/>
                <w:i w:val="0"/>
                <w:color w:val="1A1A2E"/>
                <w:sz w:val="18"/>
              </w:rPr>
              <w:t>High</w:t>
            </w:r>
          </w:p>
        </w:tc>
        <w:tc>
          <w:tcPr>
            <w:tcW w:type="dxa" w:w="5669"/>
            <w:shd w:val="clear" w:color="auto" w:fill="FFFFFF"/>
          </w:tcPr>
          <w:p>
            <w:pPr>
              <w:spacing w:before="60" w:after="60"/>
            </w:pPr>
            <w:r>
              <w:rPr>
                <w:rFonts w:ascii="Calibri" w:hAnsi="Calibri"/>
                <w:b w:val="0"/>
                <w:i w:val="0"/>
                <w:color w:val="1A1A2E"/>
                <w:sz w:val="18"/>
              </w:rPr>
              <w:t>SIP, inflation, return sliders with debounced auto-run</w:t>
            </w:r>
          </w:p>
        </w:tc>
      </w:tr>
      <w:tr>
        <w:tc>
          <w:tcPr>
            <w:tcW w:type="dxa" w:w="3685"/>
            <w:shd w:val="clear" w:color="auto" w:fill="F2F4F7"/>
          </w:tcPr>
          <w:p>
            <w:pPr>
              <w:spacing w:before="60" w:after="60"/>
            </w:pPr>
            <w:r>
              <w:rPr>
                <w:rFonts w:ascii="Calibri" w:hAnsi="Calibri"/>
                <w:b w:val="0"/>
                <w:i w:val="0"/>
                <w:color w:val="1A1A2E"/>
                <w:sz w:val="18"/>
              </w:rPr>
              <w:t>Life events module</w:t>
            </w:r>
          </w:p>
        </w:tc>
        <w:tc>
          <w:tcPr>
            <w:tcW w:type="dxa" w:w="1417"/>
            <w:shd w:val="clear" w:color="auto" w:fill="F2F4F7"/>
          </w:tcPr>
          <w:p>
            <w:pPr>
              <w:spacing w:before="60" w:after="60"/>
            </w:pPr>
            <w:r>
              <w:rPr>
                <w:rFonts w:ascii="Calibri" w:hAnsi="Calibri"/>
                <w:b w:val="0"/>
                <w:i w:val="0"/>
                <w:color w:val="1A1A2E"/>
                <w:sz w:val="18"/>
              </w:rPr>
              <w:t>Medium</w:t>
            </w:r>
          </w:p>
        </w:tc>
        <w:tc>
          <w:tcPr>
            <w:tcW w:type="dxa" w:w="5669"/>
            <w:shd w:val="clear" w:color="auto" w:fill="F2F4F7"/>
          </w:tcPr>
          <w:p>
            <w:pPr>
              <w:spacing w:before="60" w:after="60"/>
            </w:pPr>
            <w:r>
              <w:rPr>
                <w:rFonts w:ascii="Calibri" w:hAnsi="Calibri"/>
                <w:b w:val="0"/>
                <w:i w:val="0"/>
                <w:color w:val="1A1A2E"/>
                <w:sz w:val="18"/>
              </w:rPr>
              <w:t>Create, view, link to goals</w:t>
            </w:r>
          </w:p>
        </w:tc>
      </w:tr>
      <w:tr>
        <w:tc>
          <w:tcPr>
            <w:tcW w:type="dxa" w:w="3685"/>
            <w:shd w:val="clear" w:color="auto" w:fill="FFFFFF"/>
          </w:tcPr>
          <w:p>
            <w:pPr>
              <w:spacing w:before="60" w:after="60"/>
            </w:pPr>
            <w:r>
              <w:rPr>
                <w:rFonts w:ascii="Calibri" w:hAnsi="Calibri"/>
                <w:b w:val="0"/>
                <w:i w:val="0"/>
                <w:color w:val="1A1A2E"/>
                <w:sz w:val="18"/>
              </w:rPr>
              <w:t>Ask ARIA copilot</w:t>
            </w:r>
          </w:p>
        </w:tc>
        <w:tc>
          <w:tcPr>
            <w:tcW w:type="dxa" w:w="1417"/>
            <w:shd w:val="clear" w:color="auto" w:fill="FFFFFF"/>
          </w:tcPr>
          <w:p>
            <w:pPr>
              <w:spacing w:before="60" w:after="60"/>
            </w:pPr>
            <w:r>
              <w:rPr>
                <w:rFonts w:ascii="Calibri" w:hAnsi="Calibri"/>
                <w:b w:val="0"/>
                <w:i w:val="0"/>
                <w:color w:val="1A1A2E"/>
                <w:sz w:val="18"/>
              </w:rPr>
              <w:t>High</w:t>
            </w:r>
          </w:p>
        </w:tc>
        <w:tc>
          <w:tcPr>
            <w:tcW w:type="dxa" w:w="5669"/>
            <w:shd w:val="clear" w:color="auto" w:fill="FFFFFF"/>
          </w:tcPr>
          <w:p>
            <w:pPr>
              <w:spacing w:before="60" w:after="60"/>
            </w:pPr>
            <w:r>
              <w:rPr>
                <w:rFonts w:ascii="Calibri" w:hAnsi="Calibri"/>
                <w:b w:val="0"/>
                <w:i w:val="0"/>
                <w:color w:val="1A1A2E"/>
                <w:sz w:val="18"/>
              </w:rPr>
              <w:t>Claude API, user-scoped context, conversation log</w:t>
            </w:r>
          </w:p>
        </w:tc>
      </w:tr>
      <w:tr>
        <w:tc>
          <w:tcPr>
            <w:tcW w:type="dxa" w:w="3685"/>
            <w:shd w:val="clear" w:color="auto" w:fill="F2F4F7"/>
          </w:tcPr>
          <w:p>
            <w:pPr>
              <w:spacing w:before="60" w:after="60"/>
            </w:pPr>
            <w:r>
              <w:rPr>
                <w:rFonts w:ascii="Calibri" w:hAnsi="Calibri"/>
                <w:b w:val="0"/>
                <w:i w:val="0"/>
                <w:color w:val="1A1A2E"/>
                <w:sz w:val="18"/>
              </w:rPr>
              <w:t>Mobile-first layout</w:t>
            </w:r>
          </w:p>
        </w:tc>
        <w:tc>
          <w:tcPr>
            <w:tcW w:type="dxa" w:w="1417"/>
            <w:shd w:val="clear" w:color="auto" w:fill="F2F4F7"/>
          </w:tcPr>
          <w:p>
            <w:pPr>
              <w:spacing w:before="60" w:after="60"/>
            </w:pPr>
            <w:r>
              <w:rPr>
                <w:rFonts w:ascii="Calibri" w:hAnsi="Calibri"/>
                <w:b w:val="0"/>
                <w:i w:val="0"/>
                <w:color w:val="1A1A2E"/>
                <w:sz w:val="18"/>
              </w:rPr>
              <w:t>Medium</w:t>
            </w:r>
          </w:p>
        </w:tc>
        <w:tc>
          <w:tcPr>
            <w:tcW w:type="dxa" w:w="5669"/>
            <w:shd w:val="clear" w:color="auto" w:fill="F2F4F7"/>
          </w:tcPr>
          <w:p>
            <w:pPr>
              <w:spacing w:before="60" w:after="60"/>
            </w:pPr>
            <w:r>
              <w:rPr>
                <w:rFonts w:ascii="Calibri" w:hAnsi="Calibri"/>
                <w:b w:val="0"/>
                <w:i w:val="0"/>
                <w:color w:val="1A1A2E"/>
                <w:sz w:val="18"/>
              </w:rPr>
              <w:t>375px first, all components thumb-friendly</w:t>
            </w:r>
          </w:p>
        </w:tc>
      </w:tr>
      <w:tr>
        <w:tc>
          <w:tcPr>
            <w:tcW w:type="dxa" w:w="3685"/>
            <w:shd w:val="clear" w:color="auto" w:fill="FFFFFF"/>
          </w:tcPr>
          <w:p>
            <w:pPr>
              <w:spacing w:before="60" w:after="60"/>
            </w:pPr>
            <w:r>
              <w:rPr>
                <w:rFonts w:ascii="Calibri" w:hAnsi="Calibri"/>
                <w:b w:val="0"/>
                <w:i w:val="0"/>
                <w:color w:val="1A1A2E"/>
                <w:sz w:val="18"/>
              </w:rPr>
              <w:t>Split-screen login design</w:t>
            </w:r>
          </w:p>
        </w:tc>
        <w:tc>
          <w:tcPr>
            <w:tcW w:type="dxa" w:w="1417"/>
            <w:shd w:val="clear" w:color="auto" w:fill="FFFFFF"/>
          </w:tcPr>
          <w:p>
            <w:pPr>
              <w:spacing w:before="60" w:after="60"/>
            </w:pPr>
            <w:r>
              <w:rPr>
                <w:rFonts w:ascii="Calibri" w:hAnsi="Calibri"/>
                <w:b w:val="0"/>
                <w:i w:val="0"/>
                <w:color w:val="1A1A2E"/>
                <w:sz w:val="18"/>
              </w:rPr>
              <w:t>Medium</w:t>
            </w:r>
          </w:p>
        </w:tc>
        <w:tc>
          <w:tcPr>
            <w:tcW w:type="dxa" w:w="5669"/>
            <w:shd w:val="clear" w:color="auto" w:fill="FFFFFF"/>
          </w:tcPr>
          <w:p>
            <w:pPr>
              <w:spacing w:before="60" w:after="60"/>
            </w:pPr>
            <w:r>
              <w:rPr>
                <w:rFonts w:ascii="Calibri" w:hAnsi="Calibri"/>
                <w:b w:val="0"/>
                <w:i w:val="0"/>
                <w:color w:val="1A1A2E"/>
                <w:sz w:val="18"/>
              </w:rPr>
              <w:t>Navy + slate-50, consistent with advisor app</w:t>
            </w:r>
          </w:p>
        </w:tc>
      </w:tr>
      <w:tr>
        <w:tc>
          <w:tcPr>
            <w:tcW w:type="dxa" w:w="3685"/>
            <w:shd w:val="clear" w:color="auto" w:fill="F2F4F7"/>
          </w:tcPr>
          <w:p>
            <w:pPr>
              <w:spacing w:before="60" w:after="60"/>
            </w:pPr>
            <w:r>
              <w:rPr>
                <w:rFonts w:ascii="Calibri" w:hAnsi="Calibri"/>
                <w:b w:val="0"/>
                <w:i w:val="0"/>
                <w:color w:val="1A1A2E"/>
                <w:sz w:val="18"/>
              </w:rPr>
              <w:t>ARIALogo component</w:t>
            </w:r>
          </w:p>
        </w:tc>
        <w:tc>
          <w:tcPr>
            <w:tcW w:type="dxa" w:w="1417"/>
            <w:shd w:val="clear" w:color="auto" w:fill="F2F4F7"/>
          </w:tcPr>
          <w:p>
            <w:pPr>
              <w:spacing w:before="60" w:after="60"/>
            </w:pPr>
            <w:r>
              <w:rPr>
                <w:rFonts w:ascii="Calibri" w:hAnsi="Calibri"/>
                <w:b w:val="0"/>
                <w:i w:val="0"/>
                <w:color w:val="1A1A2E"/>
                <w:sz w:val="18"/>
              </w:rPr>
              <w:t>Low</w:t>
            </w:r>
          </w:p>
        </w:tc>
        <w:tc>
          <w:tcPr>
            <w:tcW w:type="dxa" w:w="5669"/>
            <w:shd w:val="clear" w:color="auto" w:fill="F2F4F7"/>
          </w:tcPr>
          <w:p>
            <w:pPr>
              <w:spacing w:before="60" w:after="60"/>
            </w:pPr>
            <w:r>
              <w:rPr>
                <w:rFonts w:ascii="Calibri" w:hAnsi="Calibri"/>
                <w:b w:val="0"/>
                <w:i w:val="0"/>
                <w:color w:val="1A1A2E"/>
                <w:sz w:val="18"/>
              </w:rPr>
              <w:t>Dotless-i + blue dot wordmark</w:t>
            </w:r>
          </w:p>
        </w:tc>
      </w:tr>
    </w:tbl>
    <w:p/>
    <w:p>
      <w:pPr>
        <w:spacing w:before="200" w:after="60"/>
      </w:pPr>
      <w:r>
        <w:rPr>
          <w:rFonts w:ascii="Calibri" w:hAnsi="Calibri"/>
          <w:b/>
          <w:i w:val="0"/>
          <w:color w:val="005B99"/>
          <w:sz w:val="24"/>
        </w:rPr>
        <w:t>Shared Infrastructure</w:t>
      </w:r>
    </w:p>
    <w:tbl>
      <w:tblPr>
        <w:tblStyle w:val="TableGrid"/>
        <w:tblW w:type="auto" w:w="0"/>
        <w:jc w:val="center"/>
        <w:tblLook w:firstColumn="1" w:firstRow="1" w:lastColumn="0" w:lastRow="0" w:noHBand="0" w:noVBand="1" w:val="04A0"/>
      </w:tblPr>
      <w:tblGrid>
        <w:gridCol w:w="4703"/>
        <w:gridCol w:w="4703"/>
      </w:tblGrid>
      <w:tr>
        <w:tc>
          <w:tcPr>
            <w:tcW w:type="dxa" w:w="3969"/>
            <w:shd w:val="clear" w:color="auto" w:fill="005B99"/>
          </w:tcPr>
          <w:p>
            <w:pPr>
              <w:spacing w:before="80" w:after="80"/>
            </w:pPr>
            <w:r>
              <w:rPr>
                <w:rFonts w:ascii="Calibri" w:hAnsi="Calibri"/>
                <w:b/>
                <w:i w:val="0"/>
                <w:color w:val="FFFFFF"/>
                <w:sz w:val="18"/>
              </w:rPr>
              <w:t>Component</w:t>
            </w:r>
          </w:p>
        </w:tc>
        <w:tc>
          <w:tcPr>
            <w:tcW w:type="dxa" w:w="6803"/>
            <w:shd w:val="clear" w:color="auto" w:fill="005B99"/>
          </w:tcPr>
          <w:p>
            <w:pPr>
              <w:spacing w:before="80" w:after="80"/>
            </w:pPr>
            <w:r>
              <w:rPr>
                <w:rFonts w:ascii="Calibri" w:hAnsi="Calibri"/>
                <w:b/>
                <w:i w:val="0"/>
                <w:color w:val="FFFFFF"/>
                <w:sz w:val="18"/>
              </w:rPr>
              <w:t>Notes</w:t>
            </w:r>
          </w:p>
        </w:tc>
      </w:tr>
      <w:tr>
        <w:tc>
          <w:tcPr>
            <w:tcW w:type="dxa" w:w="3969"/>
            <w:shd w:val="clear" w:color="auto" w:fill="F2F4F7"/>
          </w:tcPr>
          <w:p>
            <w:pPr>
              <w:spacing w:before="60" w:after="60"/>
            </w:pPr>
            <w:r>
              <w:rPr>
                <w:rFonts w:ascii="Calibri" w:hAnsi="Calibri"/>
                <w:b w:val="0"/>
                <w:i w:val="0"/>
                <w:color w:val="1A1A2E"/>
                <w:sz w:val="18"/>
              </w:rPr>
              <w:t>FastAPI backend with two route namespaces</w:t>
            </w:r>
          </w:p>
        </w:tc>
        <w:tc>
          <w:tcPr>
            <w:tcW w:type="dxa" w:w="6803"/>
            <w:shd w:val="clear" w:color="auto" w:fill="F2F4F7"/>
          </w:tcPr>
          <w:p>
            <w:pPr>
              <w:spacing w:before="60" w:after="60"/>
            </w:pPr>
            <w:r>
              <w:rPr>
                <w:rFonts w:ascii="Calibri" w:hAnsi="Calibri"/>
                <w:b w:val="0"/>
                <w:i w:val="0"/>
                <w:color w:val="1A1A2E"/>
                <w:sz w:val="18"/>
              </w:rPr>
              <w:t>Single Render deployment serves both products</w:t>
            </w:r>
          </w:p>
        </w:tc>
      </w:tr>
      <w:tr>
        <w:tc>
          <w:tcPr>
            <w:tcW w:type="dxa" w:w="3969"/>
            <w:shd w:val="clear" w:color="auto" w:fill="FFFFFF"/>
          </w:tcPr>
          <w:p>
            <w:pPr>
              <w:spacing w:before="60" w:after="60"/>
            </w:pPr>
            <w:r>
              <w:rPr>
                <w:rFonts w:ascii="Calibri" w:hAnsi="Calibri"/>
                <w:b w:val="0"/>
                <w:i w:val="0"/>
                <w:color w:val="1A1A2E"/>
                <w:sz w:val="18"/>
              </w:rPr>
              <w:t>Supabase schema with FK separation</w:t>
            </w:r>
          </w:p>
        </w:tc>
        <w:tc>
          <w:tcPr>
            <w:tcW w:type="dxa" w:w="6803"/>
            <w:shd w:val="clear" w:color="auto" w:fill="FFFFFF"/>
          </w:tcPr>
          <w:p>
            <w:pPr>
              <w:spacing w:before="60" w:after="60"/>
            </w:pPr>
            <w:r>
              <w:rPr>
                <w:rFonts w:ascii="Calibri" w:hAnsi="Calibri"/>
                <w:b w:val="0"/>
                <w:i w:val="0"/>
                <w:color w:val="1A1A2E"/>
                <w:sz w:val="18"/>
              </w:rPr>
              <w:t>personal_user_id nullable FK on shared tables</w:t>
            </w:r>
          </w:p>
        </w:tc>
      </w:tr>
      <w:tr>
        <w:tc>
          <w:tcPr>
            <w:tcW w:type="dxa" w:w="3969"/>
            <w:shd w:val="clear" w:color="auto" w:fill="F2F4F7"/>
          </w:tcPr>
          <w:p>
            <w:pPr>
              <w:spacing w:before="60" w:after="60"/>
            </w:pPr>
            <w:r>
              <w:rPr>
                <w:rFonts w:ascii="Calibri" w:hAnsi="Calibri"/>
                <w:b w:val="0"/>
                <w:i w:val="0"/>
                <w:color w:val="1A1A2E"/>
                <w:sz w:val="18"/>
              </w:rPr>
              <w:t>Monte Carlo simulation engine</w:t>
            </w:r>
          </w:p>
        </w:tc>
        <w:tc>
          <w:tcPr>
            <w:tcW w:type="dxa" w:w="6803"/>
            <w:shd w:val="clear" w:color="auto" w:fill="F2F4F7"/>
          </w:tcPr>
          <w:p>
            <w:pPr>
              <w:spacing w:before="60" w:after="60"/>
            </w:pPr>
            <w:r>
              <w:rPr>
                <w:rFonts w:ascii="Calibri" w:hAnsi="Calibri"/>
                <w:b w:val="0"/>
                <w:i w:val="0"/>
                <w:color w:val="1A1A2E"/>
                <w:sz w:val="18"/>
              </w:rPr>
              <w:t>Pure Python, zero dependencies, shared by both products</w:t>
            </w:r>
          </w:p>
        </w:tc>
      </w:tr>
      <w:tr>
        <w:tc>
          <w:tcPr>
            <w:tcW w:type="dxa" w:w="3969"/>
            <w:shd w:val="clear" w:color="auto" w:fill="FFFFFF"/>
          </w:tcPr>
          <w:p>
            <w:pPr>
              <w:spacing w:before="60" w:after="60"/>
            </w:pPr>
            <w:r>
              <w:rPr>
                <w:rFonts w:ascii="Calibri" w:hAnsi="Calibri"/>
                <w:b w:val="0"/>
                <w:i w:val="0"/>
                <w:color w:val="1A1A2E"/>
                <w:sz w:val="18"/>
              </w:rPr>
              <w:t>Design system</w:t>
            </w:r>
          </w:p>
        </w:tc>
        <w:tc>
          <w:tcPr>
            <w:tcW w:type="dxa" w:w="6803"/>
            <w:shd w:val="clear" w:color="auto" w:fill="FFFFFF"/>
          </w:tcPr>
          <w:p>
            <w:pPr>
              <w:spacing w:before="60" w:after="60"/>
            </w:pPr>
            <w:r>
              <w:rPr>
                <w:rFonts w:ascii="Calibri" w:hAnsi="Calibri"/>
                <w:b w:val="0"/>
                <w:i w:val="0"/>
                <w:color w:val="1A1A2E"/>
                <w:sz w:val="18"/>
              </w:rPr>
              <w:t>Colour palette, probability pills, logo components — consistent across both apps</w:t>
            </w:r>
          </w:p>
        </w:tc>
      </w:tr>
      <w:tr>
        <w:tc>
          <w:tcPr>
            <w:tcW w:type="dxa" w:w="3969"/>
            <w:shd w:val="clear" w:color="auto" w:fill="F2F4F7"/>
          </w:tcPr>
          <w:p>
            <w:pPr>
              <w:spacing w:before="60" w:after="60"/>
            </w:pPr>
            <w:r>
              <w:rPr>
                <w:rFonts w:ascii="Calibri" w:hAnsi="Calibri"/>
                <w:b w:val="0"/>
                <w:i w:val="0"/>
                <w:color w:val="1A1A2E"/>
                <w:sz w:val="18"/>
              </w:rPr>
              <w:t>JWT auth system</w:t>
            </w:r>
          </w:p>
        </w:tc>
        <w:tc>
          <w:tcPr>
            <w:tcW w:type="dxa" w:w="6803"/>
            <w:shd w:val="clear" w:color="auto" w:fill="F2F4F7"/>
          </w:tcPr>
          <w:p>
            <w:pPr>
              <w:spacing w:before="60" w:after="60"/>
            </w:pPr>
            <w:r>
              <w:rPr>
                <w:rFonts w:ascii="Calibri" w:hAnsi="Calibri"/>
                <w:b w:val="0"/>
                <w:i w:val="0"/>
                <w:color w:val="1A1A2E"/>
                <w:sz w:val="18"/>
              </w:rPr>
              <w:t>Consumer-grade, production-ready</w:t>
            </w:r>
          </w:p>
        </w:tc>
      </w:tr>
    </w:tbl>
    <w:p/>
    <w:p>
      <w:pPr>
        <w:spacing w:before="320" w:after="40"/>
      </w:pPr>
      <w:r>
        <w:rPr>
          <w:rFonts w:ascii="Calibri" w:hAnsi="Calibri"/>
          <w:b/>
          <w:i w:val="0"/>
          <w:color w:val="002B5C"/>
          <w:sz w:val="28"/>
        </w:rPr>
        <w:t>2. Key Technical Challenges Solved</w:t>
      </w:r>
    </w:p>
    <w:p>
      <w:pPr>
        <w:spacing w:before="0" w:after="120"/>
      </w:pPr>
      <w:r>
        <w:rPr>
          <w:rFonts w:ascii="Calibri" w:hAnsi="Calibri"/>
          <w:b w:val="0"/>
          <w:i w:val="0"/>
          <w:color w:val="005B99"/>
          <w:sz w:val="14"/>
        </w:rPr>
        <w:t>────────────────────────────────────────────────────────────────────────────────</w:t>
      </w:r>
    </w:p>
    <w:p>
      <w:pPr>
        <w:spacing w:before="0" w:after="120"/>
      </w:pPr>
      <w:r>
        <w:rPr>
          <w:rFonts w:ascii="Calibri" w:hAnsi="Calibri"/>
          <w:b w:val="0"/>
          <w:i w:val="0"/>
          <w:color w:val="1A1A2E"/>
          <w:sz w:val="20"/>
        </w:rPr>
        <w:t>Building two fintech apps simultaneously on a shared backend surfaced specific, non-trivial engineering problems. Each was diagnosed and resolved in the same session.</w:t>
      </w:r>
    </w:p>
    <w:p>
      <w:pPr>
        <w:spacing w:before="200" w:after="60"/>
      </w:pPr>
      <w:r>
        <w:rPr>
          <w:rFonts w:ascii="Calibri" w:hAnsi="Calibri"/>
          <w:b/>
          <w:i w:val="0"/>
          <w:color w:val="005B99"/>
          <w:sz w:val="24"/>
        </w:rPr>
        <w:t>Challenge 1: NameError in FastAPI Routes</w:t>
      </w:r>
    </w:p>
    <w:p>
      <w:pPr>
        <w:spacing w:before="0" w:after="120"/>
      </w:pPr>
      <w:r>
        <w:rPr>
          <w:rFonts w:ascii="Calibri" w:hAnsi="Calibri"/>
          <w:b w:val="0"/>
          <w:i w:val="0"/>
          <w:color w:val="1A1A2E"/>
          <w:sz w:val="20"/>
        </w:rPr>
        <w:t>Problem: models.Goal and models.LifeEvent were referenced incorrectly in clients.py. Goal save and delete routes broken — a NameError at runtime.</w:t>
      </w:r>
    </w:p>
    <w:p>
      <w:pPr>
        <w:spacing w:before="0" w:after="120"/>
      </w:pPr>
      <w:r>
        <w:rPr>
          <w:rFonts w:ascii="Calibri" w:hAnsi="Calibri"/>
          <w:b w:val="0"/>
          <w:i w:val="0"/>
          <w:color w:val="1A1A2E"/>
          <w:sz w:val="20"/>
        </w:rPr>
        <w:t>Fix: Corrected model imports. Lesson: FastAPI's lazy route evaluation means import errors don't surface until a route is first called. Explicit import auditing is essential in multi-file backends.</w:t>
      </w:r>
    </w:p>
    <w:p>
      <w:pPr>
        <w:spacing w:before="200" w:after="60"/>
      </w:pPr>
      <w:r>
        <w:rPr>
          <w:rFonts w:ascii="Calibri" w:hAnsi="Calibri"/>
          <w:b/>
          <w:i w:val="0"/>
          <w:color w:val="005B99"/>
          <w:sz w:val="24"/>
        </w:rPr>
        <w:t>Challenge 2: Safari Date Input Not Firing onChange</w:t>
      </w:r>
    </w:p>
    <w:p>
      <w:pPr>
        <w:spacing w:before="0" w:after="120"/>
      </w:pPr>
      <w:r>
        <w:rPr>
          <w:rFonts w:ascii="Calibri" w:hAnsi="Calibri"/>
          <w:b w:val="0"/>
          <w:i w:val="0"/>
          <w:color w:val="1A1A2E"/>
          <w:sz w:val="20"/>
        </w:rPr>
        <w:t>Problem: &lt;input type="date"&gt; does not reliably fire the React onChange handler on Safari iOS — a known compatibility issue affecting a significant portion of India's mobile user base.</w:t>
      </w:r>
    </w:p>
    <w:p>
      <w:pPr>
        <w:spacing w:before="0" w:after="120"/>
      </w:pPr>
      <w:r>
        <w:rPr>
          <w:rFonts w:ascii="Calibri" w:hAnsi="Calibri"/>
          <w:b w:val="0"/>
          <w:i w:val="0"/>
          <w:color w:val="1A1A2E"/>
          <w:sz w:val="20"/>
        </w:rPr>
        <w:t>Fix: Replaced with separate month and year &lt;select&gt; elements, date state lifted to parent. Works identically across all browsers.</w:t>
      </w:r>
    </w:p>
    <w:p>
      <w:pPr>
        <w:spacing w:before="0" w:after="120"/>
      </w:pPr>
      <w:r>
        <w:rPr>
          <w:rFonts w:ascii="Calibri" w:hAnsi="Calibri"/>
          <w:b w:val="0"/>
          <w:i w:val="0"/>
          <w:color w:val="1A1A2E"/>
          <w:sz w:val="20"/>
        </w:rPr>
        <w:t>Lesson: Mobile-first fintech in India must be tested on Safari. The input[type=date] shortcut is a reliability liability.</w:t>
      </w:r>
    </w:p>
    <w:p>
      <w:pPr>
        <w:spacing w:before="200" w:after="60"/>
      </w:pPr>
      <w:r>
        <w:rPr>
          <w:rFonts w:ascii="Calibri" w:hAnsi="Calibri"/>
          <w:b/>
          <w:i w:val="0"/>
          <w:color w:val="005B99"/>
          <w:sz w:val="24"/>
        </w:rPr>
        <w:t>Challenge 3: FastAPI 204 Delete Routes Returning 500</w:t>
      </w:r>
    </w:p>
    <w:p>
      <w:pPr>
        <w:spacing w:before="0" w:after="120"/>
      </w:pPr>
      <w:r>
        <w:rPr>
          <w:rFonts w:ascii="Calibri" w:hAnsi="Calibri"/>
          <w:b w:val="0"/>
          <w:i w:val="0"/>
          <w:color w:val="1A1A2E"/>
          <w:sz w:val="20"/>
        </w:rPr>
        <w:t>Problem: Delete endpoints configured for HTTP 204 were returning 500 errors. FastAPI attempting to serialise the implicit None return against a response model.</w:t>
      </w:r>
    </w:p>
    <w:p>
      <w:pPr>
        <w:spacing w:before="0" w:after="120"/>
      </w:pPr>
      <w:r>
        <w:rPr>
          <w:rFonts w:ascii="Calibri" w:hAnsi="Calibri"/>
          <w:b w:val="0"/>
          <w:i w:val="0"/>
          <w:color w:val="1A1A2E"/>
          <w:sz w:val="20"/>
        </w:rPr>
        <w:t>Fix: Return an explicit Response(status_code=204) object from all delete routes.</w:t>
      </w:r>
    </w:p>
    <w:p>
      <w:pPr>
        <w:spacing w:before="200" w:after="60"/>
      </w:pPr>
      <w:r>
        <w:rPr>
          <w:rFonts w:ascii="Calibri" w:hAnsi="Calibri"/>
          <w:b/>
          <w:i w:val="0"/>
          <w:color w:val="005B99"/>
          <w:sz w:val="24"/>
        </w:rPr>
        <w:t>Challenge 4: NOT NULL Constraint on personal_user_id</w:t>
      </w:r>
    </w:p>
    <w:p>
      <w:pPr>
        <w:spacing w:before="0" w:after="120"/>
      </w:pPr>
      <w:r>
        <w:rPr>
          <w:rFonts w:ascii="Calibri" w:hAnsi="Calibri"/>
          <w:b w:val="0"/>
          <w:i w:val="0"/>
          <w:color w:val="1A1A2E"/>
          <w:sz w:val="20"/>
        </w:rPr>
        <w:t>Problem: Adding personal_user_id FK to existing advisor tables required careful schema migration. Making it NOT NULL would break existing advisor-side records.</w:t>
      </w:r>
    </w:p>
    <w:p>
      <w:pPr>
        <w:spacing w:before="0" w:after="120"/>
      </w:pPr>
      <w:r>
        <w:rPr>
          <w:rFonts w:ascii="Calibri" w:hAnsi="Calibri"/>
          <w:b w:val="0"/>
          <w:i w:val="0"/>
          <w:color w:val="1A1A2E"/>
          <w:sz w:val="20"/>
        </w:rPr>
        <w:t>Fix: Schema designed with personal_user_id nullable on all shared tables. Advisor routes filter by client_id; personal routes filter by personal_user_id.</w:t>
      </w:r>
    </w:p>
    <w:p>
      <w:pPr>
        <w:spacing w:before="320" w:after="40"/>
      </w:pPr>
      <w:r>
        <w:rPr>
          <w:rFonts w:ascii="Calibri" w:hAnsi="Calibri"/>
          <w:b/>
          <w:i w:val="0"/>
          <w:color w:val="002B5C"/>
          <w:sz w:val="28"/>
        </w:rPr>
        <w:t>3. Velocity Analysis — Two Products in One Build Window</w:t>
      </w:r>
    </w:p>
    <w:p>
      <w:pPr>
        <w:spacing w:before="0" w:after="120"/>
      </w:pPr>
      <w:r>
        <w:rPr>
          <w:rFonts w:ascii="Calibri" w:hAnsi="Calibri"/>
          <w:b w:val="0"/>
          <w:i w:val="0"/>
          <w:color w:val="005B99"/>
          <w:sz w:val="14"/>
        </w:rPr>
        <w:t>────────────────────────────────────────────────────────────────────────────────</w:t>
      </w:r>
    </w:p>
    <w:p>
      <w:pPr>
        <w:spacing w:before="200" w:after="60"/>
      </w:pPr>
      <w:r>
        <w:rPr>
          <w:rFonts w:ascii="Calibri" w:hAnsi="Calibri"/>
          <w:b/>
          <w:i w:val="0"/>
          <w:color w:val="005B99"/>
          <w:sz w:val="24"/>
        </w:rPr>
        <w:t>Traditional Team Estimate</w:t>
      </w:r>
    </w:p>
    <w:tbl>
      <w:tblPr>
        <w:tblStyle w:val="TableGrid"/>
        <w:tblW w:type="auto" w:w="0"/>
        <w:jc w:val="center"/>
        <w:tblLook w:firstColumn="1" w:firstRow="1" w:lastColumn="0" w:lastRow="0" w:noHBand="0" w:noVBand="1" w:val="04A0"/>
      </w:tblPr>
      <w:tblGrid>
        <w:gridCol w:w="4703"/>
        <w:gridCol w:w="4703"/>
      </w:tblGrid>
      <w:tr>
        <w:tc>
          <w:tcPr>
            <w:tcW w:type="dxa" w:w="5102"/>
            <w:shd w:val="clear" w:color="auto" w:fill="005B99"/>
          </w:tcPr>
          <w:p>
            <w:pPr>
              <w:spacing w:before="80" w:after="80"/>
            </w:pPr>
            <w:r>
              <w:rPr>
                <w:rFonts w:ascii="Calibri" w:hAnsi="Calibri"/>
                <w:b/>
                <w:i w:val="0"/>
                <w:color w:val="FFFFFF"/>
                <w:sz w:val="18"/>
              </w:rPr>
              <w:t>Workstream</w:t>
            </w:r>
          </w:p>
        </w:tc>
        <w:tc>
          <w:tcPr>
            <w:tcW w:type="dxa" w:w="3118"/>
            <w:shd w:val="clear" w:color="auto" w:fill="005B99"/>
          </w:tcPr>
          <w:p>
            <w:pPr>
              <w:spacing w:before="80" w:after="80"/>
            </w:pPr>
            <w:r>
              <w:rPr>
                <w:rFonts w:ascii="Calibri" w:hAnsi="Calibri"/>
                <w:b/>
                <w:i w:val="0"/>
                <w:color w:val="FFFFFF"/>
                <w:sz w:val="18"/>
              </w:rPr>
              <w:t>Traditional Estimate</w:t>
            </w:r>
          </w:p>
        </w:tc>
      </w:tr>
      <w:tr>
        <w:tc>
          <w:tcPr>
            <w:tcW w:type="dxa" w:w="5102"/>
            <w:shd w:val="clear" w:color="auto" w:fill="F2F4F7"/>
          </w:tcPr>
          <w:p>
            <w:pPr>
              <w:spacing w:before="60" w:after="60"/>
            </w:pPr>
            <w:r>
              <w:rPr>
                <w:rFonts w:ascii="Calibri" w:hAnsi="Calibri"/>
                <w:b w:val="0"/>
                <w:i w:val="0"/>
                <w:color w:val="1A1A2E"/>
                <w:sz w:val="18"/>
              </w:rPr>
              <w:t>FastAPI backend + Supabase schema</w:t>
            </w:r>
          </w:p>
        </w:tc>
        <w:tc>
          <w:tcPr>
            <w:tcW w:type="dxa" w:w="3118"/>
            <w:shd w:val="clear" w:color="auto" w:fill="F2F4F7"/>
          </w:tcPr>
          <w:p>
            <w:pPr>
              <w:spacing w:before="60" w:after="60"/>
            </w:pPr>
            <w:r>
              <w:rPr>
                <w:rFonts w:ascii="Calibri" w:hAnsi="Calibri"/>
                <w:b w:val="0"/>
                <w:i w:val="0"/>
                <w:color w:val="1A1A2E"/>
                <w:sz w:val="18"/>
              </w:rPr>
              <w:t>1–2 weeks</w:t>
            </w:r>
          </w:p>
        </w:tc>
      </w:tr>
      <w:tr>
        <w:tc>
          <w:tcPr>
            <w:tcW w:type="dxa" w:w="5102"/>
            <w:shd w:val="clear" w:color="auto" w:fill="FFFFFF"/>
          </w:tcPr>
          <w:p>
            <w:pPr>
              <w:spacing w:before="60" w:after="60"/>
            </w:pPr>
            <w:r>
              <w:rPr>
                <w:rFonts w:ascii="Calibri" w:hAnsi="Calibri"/>
                <w:b w:val="0"/>
                <w:i w:val="0"/>
                <w:color w:val="1A1A2E"/>
                <w:sz w:val="18"/>
              </w:rPr>
              <w:t>JWT auth system (consumer-grade)</w:t>
            </w:r>
          </w:p>
        </w:tc>
        <w:tc>
          <w:tcPr>
            <w:tcW w:type="dxa" w:w="3118"/>
            <w:shd w:val="clear" w:color="auto" w:fill="FFFFFF"/>
          </w:tcPr>
          <w:p>
            <w:pPr>
              <w:spacing w:before="60" w:after="60"/>
            </w:pPr>
            <w:r>
              <w:rPr>
                <w:rFonts w:ascii="Calibri" w:hAnsi="Calibri"/>
                <w:b w:val="0"/>
                <w:i w:val="0"/>
                <w:color w:val="1A1A2E"/>
                <w:sz w:val="18"/>
              </w:rPr>
              <w:t>3–5 days</w:t>
            </w:r>
          </w:p>
        </w:tc>
      </w:tr>
      <w:tr>
        <w:tc>
          <w:tcPr>
            <w:tcW w:type="dxa" w:w="5102"/>
            <w:shd w:val="clear" w:color="auto" w:fill="F2F4F7"/>
          </w:tcPr>
          <w:p>
            <w:pPr>
              <w:spacing w:before="60" w:after="60"/>
            </w:pPr>
            <w:r>
              <w:rPr>
                <w:rFonts w:ascii="Calibri" w:hAnsi="Calibri"/>
                <w:b w:val="0"/>
                <w:i w:val="0"/>
                <w:color w:val="1A1A2E"/>
                <w:sz w:val="18"/>
              </w:rPr>
              <w:t>Advisor frontend (full feature set)</w:t>
            </w:r>
          </w:p>
        </w:tc>
        <w:tc>
          <w:tcPr>
            <w:tcW w:type="dxa" w:w="3118"/>
            <w:shd w:val="clear" w:color="auto" w:fill="F2F4F7"/>
          </w:tcPr>
          <w:p>
            <w:pPr>
              <w:spacing w:before="60" w:after="60"/>
            </w:pPr>
            <w:r>
              <w:rPr>
                <w:rFonts w:ascii="Calibri" w:hAnsi="Calibri"/>
                <w:b w:val="0"/>
                <w:i w:val="0"/>
                <w:color w:val="1A1A2E"/>
                <w:sz w:val="18"/>
              </w:rPr>
              <w:t>2–3 weeks</w:t>
            </w:r>
          </w:p>
        </w:tc>
      </w:tr>
      <w:tr>
        <w:tc>
          <w:tcPr>
            <w:tcW w:type="dxa" w:w="5102"/>
            <w:shd w:val="clear" w:color="auto" w:fill="FFFFFF"/>
          </w:tcPr>
          <w:p>
            <w:pPr>
              <w:spacing w:before="60" w:after="60"/>
            </w:pPr>
            <w:r>
              <w:rPr>
                <w:rFonts w:ascii="Calibri" w:hAnsi="Calibri"/>
                <w:b w:val="0"/>
                <w:i w:val="0"/>
                <w:color w:val="1A1A2E"/>
                <w:sz w:val="18"/>
              </w:rPr>
              <w:t>Personal frontend (full feature set)</w:t>
            </w:r>
          </w:p>
        </w:tc>
        <w:tc>
          <w:tcPr>
            <w:tcW w:type="dxa" w:w="3118"/>
            <w:shd w:val="clear" w:color="auto" w:fill="FFFFFF"/>
          </w:tcPr>
          <w:p>
            <w:pPr>
              <w:spacing w:before="60" w:after="60"/>
            </w:pPr>
            <w:r>
              <w:rPr>
                <w:rFonts w:ascii="Calibri" w:hAnsi="Calibri"/>
                <w:b w:val="0"/>
                <w:i w:val="0"/>
                <w:color w:val="1A1A2E"/>
                <w:sz w:val="18"/>
              </w:rPr>
              <w:t>2–3 weeks</w:t>
            </w:r>
          </w:p>
        </w:tc>
      </w:tr>
      <w:tr>
        <w:tc>
          <w:tcPr>
            <w:tcW w:type="dxa" w:w="5102"/>
            <w:shd w:val="clear" w:color="auto" w:fill="F2F4F7"/>
          </w:tcPr>
          <w:p>
            <w:pPr>
              <w:spacing w:before="60" w:after="60"/>
            </w:pPr>
            <w:r>
              <w:rPr>
                <w:rFonts w:ascii="Calibri" w:hAnsi="Calibri"/>
                <w:b w:val="0"/>
                <w:i w:val="0"/>
                <w:color w:val="1A1A2E"/>
                <w:sz w:val="18"/>
              </w:rPr>
              <w:t>Monte Carlo simulation engine</w:t>
            </w:r>
          </w:p>
        </w:tc>
        <w:tc>
          <w:tcPr>
            <w:tcW w:type="dxa" w:w="3118"/>
            <w:shd w:val="clear" w:color="auto" w:fill="F2F4F7"/>
          </w:tcPr>
          <w:p>
            <w:pPr>
              <w:spacing w:before="60" w:after="60"/>
            </w:pPr>
            <w:r>
              <w:rPr>
                <w:rFonts w:ascii="Calibri" w:hAnsi="Calibri"/>
                <w:b w:val="0"/>
                <w:i w:val="0"/>
                <w:color w:val="1A1A2E"/>
                <w:sz w:val="18"/>
              </w:rPr>
              <w:t>3–5 days</w:t>
            </w:r>
          </w:p>
        </w:tc>
      </w:tr>
      <w:tr>
        <w:tc>
          <w:tcPr>
            <w:tcW w:type="dxa" w:w="5102"/>
            <w:shd w:val="clear" w:color="auto" w:fill="FFFFFF"/>
          </w:tcPr>
          <w:p>
            <w:pPr>
              <w:spacing w:before="60" w:after="60"/>
            </w:pPr>
            <w:r>
              <w:rPr>
                <w:rFonts w:ascii="Calibri" w:hAnsi="Calibri"/>
                <w:b w:val="0"/>
                <w:i w:val="0"/>
                <w:color w:val="1A1A2E"/>
                <w:sz w:val="18"/>
              </w:rPr>
              <w:t>Claude API copilot integration (both products)</w:t>
            </w:r>
          </w:p>
        </w:tc>
        <w:tc>
          <w:tcPr>
            <w:tcW w:type="dxa" w:w="3118"/>
            <w:shd w:val="clear" w:color="auto" w:fill="FFFFFF"/>
          </w:tcPr>
          <w:p>
            <w:pPr>
              <w:spacing w:before="60" w:after="60"/>
            </w:pPr>
            <w:r>
              <w:rPr>
                <w:rFonts w:ascii="Calibri" w:hAnsi="Calibri"/>
                <w:b w:val="0"/>
                <w:i w:val="0"/>
                <w:color w:val="1A1A2E"/>
                <w:sz w:val="18"/>
              </w:rPr>
              <w:t>3–5 days</w:t>
            </w:r>
          </w:p>
        </w:tc>
      </w:tr>
      <w:tr>
        <w:tc>
          <w:tcPr>
            <w:tcW w:type="dxa" w:w="5102"/>
            <w:shd w:val="clear" w:color="auto" w:fill="F2F4F7"/>
          </w:tcPr>
          <w:p>
            <w:pPr>
              <w:spacing w:before="60" w:after="60"/>
            </w:pPr>
            <w:r>
              <w:rPr>
                <w:rFonts w:ascii="Calibri" w:hAnsi="Calibri"/>
                <w:b w:val="0"/>
                <w:i w:val="0"/>
                <w:color w:val="1A1A2E"/>
                <w:sz w:val="18"/>
              </w:rPr>
              <w:t>Design system (palette, components, logo)</w:t>
            </w:r>
          </w:p>
        </w:tc>
        <w:tc>
          <w:tcPr>
            <w:tcW w:type="dxa" w:w="3118"/>
            <w:shd w:val="clear" w:color="auto" w:fill="F2F4F7"/>
          </w:tcPr>
          <w:p>
            <w:pPr>
              <w:spacing w:before="60" w:after="60"/>
            </w:pPr>
            <w:r>
              <w:rPr>
                <w:rFonts w:ascii="Calibri" w:hAnsi="Calibri"/>
                <w:b w:val="0"/>
                <w:i w:val="0"/>
                <w:color w:val="1A1A2E"/>
                <w:sz w:val="18"/>
              </w:rPr>
              <w:t>3–5 days</w:t>
            </w:r>
          </w:p>
        </w:tc>
      </w:tr>
      <w:tr>
        <w:tc>
          <w:tcPr>
            <w:tcW w:type="dxa" w:w="5102"/>
            <w:shd w:val="clear" w:color="auto" w:fill="FFFFFF"/>
          </w:tcPr>
          <w:p>
            <w:pPr>
              <w:spacing w:before="60" w:after="60"/>
            </w:pPr>
            <w:r>
              <w:rPr>
                <w:rFonts w:ascii="Calibri" w:hAnsi="Calibri"/>
                <w:b w:val="0"/>
                <w:i w:val="0"/>
                <w:color w:val="1A1A2E"/>
                <w:sz w:val="18"/>
              </w:rPr>
              <w:t>Deployment (Render + Vercel + Supabase config)</w:t>
            </w:r>
          </w:p>
        </w:tc>
        <w:tc>
          <w:tcPr>
            <w:tcW w:type="dxa" w:w="3118"/>
            <w:shd w:val="clear" w:color="auto" w:fill="FFFFFF"/>
          </w:tcPr>
          <w:p>
            <w:pPr>
              <w:spacing w:before="60" w:after="60"/>
            </w:pPr>
            <w:r>
              <w:rPr>
                <w:rFonts w:ascii="Calibri" w:hAnsi="Calibri"/>
                <w:b w:val="0"/>
                <w:i w:val="0"/>
                <w:color w:val="1A1A2E"/>
                <w:sz w:val="18"/>
              </w:rPr>
              <w:t>2–3 days</w:t>
            </w:r>
          </w:p>
        </w:tc>
      </w:tr>
      <w:tr>
        <w:tc>
          <w:tcPr>
            <w:tcW w:type="dxa" w:w="5102"/>
            <w:shd w:val="clear" w:color="auto" w:fill="F2F4F7"/>
          </w:tcPr>
          <w:p>
            <w:pPr>
              <w:spacing w:before="60" w:after="60"/>
            </w:pPr>
            <w:r>
              <w:rPr>
                <w:rFonts w:ascii="Calibri" w:hAnsi="Calibri"/>
                <w:b w:val="0"/>
                <w:i w:val="0"/>
                <w:color w:val="1A1A2E"/>
                <w:sz w:val="18"/>
              </w:rPr>
              <w:t>TOTAL</w:t>
            </w:r>
          </w:p>
        </w:tc>
        <w:tc>
          <w:tcPr>
            <w:tcW w:type="dxa" w:w="3118"/>
            <w:shd w:val="clear" w:color="auto" w:fill="F2F4F7"/>
          </w:tcPr>
          <w:p>
            <w:pPr>
              <w:spacing w:before="60" w:after="60"/>
            </w:pPr>
            <w:r>
              <w:rPr>
                <w:rFonts w:ascii="Calibri" w:hAnsi="Calibri"/>
                <w:b w:val="0"/>
                <w:i w:val="0"/>
                <w:color w:val="1A1A2E"/>
                <w:sz w:val="18"/>
              </w:rPr>
              <w:t>~8–14 weeks</w:t>
            </w:r>
          </w:p>
        </w:tc>
      </w:tr>
    </w:tbl>
    <w:p/>
    <w:tbl>
      <w:tblPr>
        <w:tblW w:type="auto" w:w="0"/>
        <w:jc w:val="center"/>
        <w:tblLook w:firstColumn="1" w:firstRow="1" w:lastColumn="0" w:lastRow="0" w:noHBand="0" w:noVBand="1" w:val="04A0"/>
      </w:tblPr>
      <w:tblGrid>
        <w:gridCol w:w="9406"/>
      </w:tblGrid>
      <w:tr>
        <w:tc>
          <w:tcPr>
            <w:tcW w:type="dxa" w:w="9406"/>
            <w:shd w:val="clear" w:color="auto" w:fill="E8F4F6"/>
            <w:tcBorders>
              <w:left w:val="single" w:sz="24" w:color="007A87"/>
            </w:tcBorders>
          </w:tcPr>
          <w:p>
            <w:pPr>
              <w:spacing w:before="80" w:after="40"/>
            </w:pPr>
            <w:r>
              <w:rPr>
                <w:rFonts w:ascii="Calibri" w:hAnsi="Calibri"/>
                <w:b/>
                <w:i w:val="0"/>
                <w:color w:val="007A87"/>
                <w:sz w:val="16"/>
              </w:rPr>
              <w:t>VELOCITY FINDING</w:t>
            </w:r>
          </w:p>
          <w:p>
            <w:pPr>
              <w:spacing w:before="40" w:after="120"/>
            </w:pPr>
            <w:r>
              <w:rPr>
                <w:rFonts w:ascii="Calibri" w:hAnsi="Calibri"/>
                <w:b w:val="0"/>
                <w:i/>
                <w:color w:val="002B5C"/>
                <w:sz w:val="21"/>
              </w:rPr>
              <w:t>The AI-assisted pair built this in a fraction of that calendar window — producing both frontends, the shared backend, auth, simulation, copilot, and design system simultaneously in a single build window.</w:t>
            </w:r>
          </w:p>
        </w:tc>
      </w:tr>
    </w:tbl>
    <w:p/>
    <w:p>
      <w:pPr>
        <w:spacing w:before="200" w:after="60"/>
      </w:pPr>
      <w:r>
        <w:rPr>
          <w:rFonts w:ascii="Calibri" w:hAnsi="Calibri"/>
          <w:b/>
          <w:i w:val="0"/>
          <w:color w:val="005B99"/>
          <w:sz w:val="24"/>
        </w:rPr>
        <w:t>Compression Ratio Estimate</w:t>
      </w:r>
    </w:p>
    <w:p>
      <w:pPr>
        <w:spacing w:before="0" w:after="120"/>
      </w:pPr>
      <w:r>
        <w:rPr>
          <w:rFonts w:ascii="Calibri" w:hAnsi="Calibri"/>
          <w:b w:val="0"/>
          <w:i w:val="0"/>
          <w:color w:val="1A1A2E"/>
          <w:sz w:val="20"/>
        </w:rPr>
        <w:t>Using the BzHub methodology — measuring human direction time as the denominator:</w:t>
      </w:r>
    </w:p>
    <w:p>
      <w:pPr>
        <w:pStyle w:val="ListBullet"/>
        <w:spacing w:before="20" w:after="40"/>
        <w:ind w:left="454"/>
      </w:pPr>
      <w:r>
        <w:rPr>
          <w:rFonts w:ascii="Calibri" w:hAnsi="Calibri"/>
          <w:b w:val="0"/>
          <w:i w:val="0"/>
          <w:color w:val="1A1A2E"/>
          <w:sz w:val="20"/>
        </w:rPr>
        <w:t>~35–50 features shipped across two products</w:t>
      </w:r>
    </w:p>
    <w:p>
      <w:pPr>
        <w:pStyle w:val="ListBullet"/>
        <w:spacing w:before="20" w:after="40"/>
        <w:ind w:left="454"/>
      </w:pPr>
      <w:r>
        <w:rPr>
          <w:rFonts w:ascii="Calibri" w:hAnsi="Calibri"/>
          <w:b w:val="0"/>
          <w:i w:val="0"/>
          <w:color w:val="1A1A2E"/>
          <w:sz w:val="20"/>
        </w:rPr>
        <w:t>Production deployments on 3 separate cloud services</w:t>
      </w:r>
    </w:p>
    <w:p>
      <w:pPr>
        <w:pStyle w:val="ListBullet"/>
        <w:spacing w:before="20" w:after="40"/>
        <w:ind w:left="454"/>
      </w:pPr>
      <w:r>
        <w:rPr>
          <w:rFonts w:ascii="Calibri" w:hAnsi="Calibri"/>
          <w:b w:val="0"/>
          <w:i w:val="0"/>
          <w:color w:val="1A1A2E"/>
          <w:sz w:val="20"/>
        </w:rPr>
        <w:t>Custom simulation engine designed, implemented, and validated</w:t>
      </w:r>
    </w:p>
    <w:p>
      <w:pPr>
        <w:pStyle w:val="ListBullet"/>
        <w:spacing w:before="20" w:after="40"/>
        <w:ind w:left="454"/>
      </w:pPr>
      <w:r>
        <w:rPr>
          <w:rFonts w:ascii="Calibri" w:hAnsi="Calibri"/>
          <w:b w:val="0"/>
          <w:i w:val="0"/>
          <w:color w:val="1A1A2E"/>
          <w:sz w:val="20"/>
        </w:rPr>
        <w:t>Two complete design systems implemented consistently</w:t>
      </w:r>
    </w:p>
    <w:p>
      <w:pPr>
        <w:spacing w:before="0" w:after="120"/>
      </w:pPr>
      <w:r>
        <w:rPr>
          <w:rFonts w:ascii="Calibri" w:hAnsi="Calibri"/>
          <w:b w:val="0"/>
          <w:i w:val="0"/>
          <w:color w:val="1A1A2E"/>
          <w:sz w:val="20"/>
        </w:rPr>
        <w:t>Conservative compression ratio: 20–40x on human direction time for the full platform build. Individual sessions (e.g., applying the Safari fix to both frontends simultaneously while fixing the FastAPI 204 bug) likely demonstrate higher ratios — consistent with the 60–120x session-level compression documented in the BzHub case study.</w:t>
      </w:r>
    </w:p>
    <w:p>
      <w:pPr>
        <w:spacing w:before="320" w:after="40"/>
      </w:pPr>
      <w:r>
        <w:rPr>
          <w:rFonts w:ascii="Calibri" w:hAnsi="Calibri"/>
          <w:b/>
          <w:i w:val="0"/>
          <w:color w:val="002B5C"/>
          <w:sz w:val="28"/>
        </w:rPr>
        <w:t>4. Where the Gains Come From</w:t>
      </w:r>
    </w:p>
    <w:p>
      <w:pPr>
        <w:spacing w:before="0" w:after="120"/>
      </w:pPr>
      <w:r>
        <w:rPr>
          <w:rFonts w:ascii="Calibri" w:hAnsi="Calibri"/>
          <w:b w:val="0"/>
          <w:i w:val="0"/>
          <w:color w:val="005B99"/>
          <w:sz w:val="14"/>
        </w:rPr>
        <w:t>────────────────────────────────────────────────────────────────────────────────</w:t>
      </w:r>
    </w:p>
    <w:p>
      <w:pPr>
        <w:spacing w:before="200" w:after="60"/>
      </w:pPr>
      <w:r>
        <w:rPr>
          <w:rFonts w:ascii="Calibri" w:hAnsi="Calibri"/>
          <w:b/>
          <w:i w:val="0"/>
          <w:color w:val="005B99"/>
          <w:sz w:val="24"/>
        </w:rPr>
        <w:t>1. Zero Handoff Overhead</w:t>
      </w:r>
    </w:p>
    <w:p>
      <w:pPr>
        <w:spacing w:before="0" w:after="120"/>
      </w:pPr>
      <w:r>
        <w:rPr>
          <w:rFonts w:ascii="Calibri" w:hAnsi="Calibri"/>
          <w:b w:val="0"/>
          <w:i w:val="0"/>
          <w:color w:val="1A1A2E"/>
          <w:sz w:val="20"/>
        </w:rPr>
        <w:t>Full-stack features are conceived, designed, and implemented in a single session. No API contract negotiation, no schema agreement PR, no standup. The schema, route, and frontend component are built together.</w:t>
      </w:r>
    </w:p>
    <w:p>
      <w:pPr>
        <w:spacing w:before="200" w:after="60"/>
      </w:pPr>
      <w:r>
        <w:rPr>
          <w:rFonts w:ascii="Calibri" w:hAnsi="Calibri"/>
          <w:b/>
          <w:i w:val="0"/>
          <w:color w:val="005B99"/>
          <w:sz w:val="24"/>
        </w:rPr>
        <w:t>2. Two Codebases, One Context</w:t>
      </w:r>
    </w:p>
    <w:p>
      <w:pPr>
        <w:spacing w:before="0" w:after="120"/>
      </w:pPr>
      <w:r>
        <w:rPr>
          <w:rFonts w:ascii="Calibri" w:hAnsi="Calibri"/>
          <w:b w:val="0"/>
          <w:i w:val="0"/>
          <w:color w:val="1A1A2E"/>
          <w:sz w:val="20"/>
        </w:rPr>
        <w:t>When the Safari date bug was found in the advisor app, the fix was immediately applied to the personal app in the same turn. No ticket, no second PR, no "I'll add that to the backlog." Two simultaneous codebases tracked in one working context.</w:t>
      </w:r>
    </w:p>
    <w:p>
      <w:pPr>
        <w:spacing w:before="200" w:after="60"/>
      </w:pPr>
      <w:r>
        <w:rPr>
          <w:rFonts w:ascii="Calibri" w:hAnsi="Calibri"/>
          <w:b/>
          <w:i w:val="0"/>
          <w:color w:val="005B99"/>
          <w:sz w:val="24"/>
        </w:rPr>
        <w:t>3. On-Demand Full-Stack Expertise</w:t>
      </w:r>
    </w:p>
    <w:p>
      <w:pPr>
        <w:spacing w:before="0" w:after="120"/>
      </w:pPr>
      <w:r>
        <w:rPr>
          <w:rFonts w:ascii="Calibri" w:hAnsi="Calibri"/>
          <w:b w:val="0"/>
          <w:i w:val="0"/>
          <w:color w:val="1A1A2E"/>
          <w:sz w:val="20"/>
        </w:rPr>
        <w:t>FastAPI dependency injection, Supabase pooler configuration, JWT middleware design, React state lift-up, Tailwind responsive utilities — competent first-draft implementations across every layer without a context-switch tax.</w:t>
      </w:r>
    </w:p>
    <w:p>
      <w:pPr>
        <w:spacing w:before="200" w:after="60"/>
      </w:pPr>
      <w:r>
        <w:rPr>
          <w:rFonts w:ascii="Calibri" w:hAnsi="Calibri"/>
          <w:b/>
          <w:i w:val="0"/>
          <w:color w:val="005B99"/>
          <w:sz w:val="24"/>
        </w:rPr>
        <w:t>4. Shared Infrastructure Designed Correctly from the Start</w:t>
      </w:r>
    </w:p>
    <w:p>
      <w:pPr>
        <w:spacing w:before="0" w:after="120"/>
      </w:pPr>
      <w:r>
        <w:rPr>
          <w:rFonts w:ascii="Calibri" w:hAnsi="Calibri"/>
          <w:b w:val="0"/>
          <w:i w:val="0"/>
          <w:color w:val="1A1A2E"/>
          <w:sz w:val="20"/>
        </w:rPr>
        <w:t>The FK-based data separation, shared simulation engine, and route namespacing were correct architecture decisions made in a single coherent session. In a team, these decisions would emerge from multiple conversations and risk inconsistency.</w:t>
      </w:r>
    </w:p>
    <w:p>
      <w:pPr>
        <w:spacing w:before="320" w:after="40"/>
      </w:pPr>
      <w:r>
        <w:rPr>
          <w:rFonts w:ascii="Calibri" w:hAnsi="Calibri"/>
          <w:b/>
          <w:i w:val="0"/>
          <w:color w:val="002B5C"/>
          <w:sz w:val="28"/>
        </w:rPr>
        <w:t>5. What This Means for Fintech Founders</w:t>
      </w:r>
    </w:p>
    <w:p>
      <w:pPr>
        <w:spacing w:before="0" w:after="120"/>
      </w:pPr>
      <w:r>
        <w:rPr>
          <w:rFonts w:ascii="Calibri" w:hAnsi="Calibri"/>
          <w:b w:val="0"/>
          <w:i w:val="0"/>
          <w:color w:val="005B99"/>
          <w:sz w:val="14"/>
        </w:rPr>
        <w:t>────────────────────────────────────────────────────────────────────────────────</w:t>
      </w:r>
    </w:p>
    <w:p>
      <w:pPr>
        <w:spacing w:before="0" w:after="120"/>
      </w:pPr>
      <w:r>
        <w:rPr>
          <w:rFonts w:ascii="Calibri" w:hAnsi="Calibri"/>
          <w:b w:val="0"/>
          <w:i w:val="0"/>
          <w:color w:val="1A1A2E"/>
          <w:sz w:val="20"/>
        </w:rPr>
        <w:t>The ARIA build demonstrates something specific to fintech: AI pair-programming is viable for production fintech applications, including features that require financial mathematics, regulatory awareness, and security-sensitive auth flows.</w:t>
      </w:r>
    </w:p>
    <w:p>
      <w:pPr>
        <w:spacing w:before="0" w:after="120"/>
      </w:pPr>
      <w:r>
        <w:rPr>
          <w:rFonts w:ascii="Calibri" w:hAnsi="Calibri"/>
          <w:b w:val="0"/>
          <w:i w:val="0"/>
          <w:color w:val="1A1A2E"/>
          <w:sz w:val="20"/>
        </w:rPr>
        <w:t>The Monte Carlo simulation engine is not trivial code. It implements inflation adjustment, log-normal-equivalent return modelling, and binary search SIP calculation correctly. The JWT auth system uses industry-standard libraries with appropriate token expiry and secure password hashing. These are not demos — they are production implementations that would pass a technical due diligence review.</w:t>
      </w:r>
    </w:p>
    <w:tbl>
      <w:tblPr>
        <w:tblW w:type="auto" w:w="0"/>
        <w:jc w:val="center"/>
        <w:tblLook w:firstColumn="1" w:firstRow="1" w:lastColumn="0" w:lastRow="0" w:noHBand="0" w:noVBand="1" w:val="04A0"/>
      </w:tblPr>
      <w:tblGrid>
        <w:gridCol w:w="9406"/>
      </w:tblGrid>
      <w:tr>
        <w:tc>
          <w:tcPr>
            <w:tcW w:type="dxa" w:w="9406"/>
            <w:shd w:val="clear" w:color="auto" w:fill="E8F4F6"/>
            <w:tcBorders>
              <w:left w:val="single" w:sz="24" w:color="007A87"/>
            </w:tcBorders>
          </w:tcPr>
          <w:p>
            <w:pPr>
              <w:spacing w:before="80" w:after="40"/>
            </w:pPr>
            <w:r>
              <w:rPr>
                <w:rFonts w:ascii="Calibri" w:hAnsi="Calibri"/>
                <w:b/>
                <w:i w:val="0"/>
                <w:color w:val="007A87"/>
                <w:sz w:val="16"/>
              </w:rPr>
              <w:t>FOR FINTECH FOUNDERS</w:t>
            </w:r>
          </w:p>
          <w:p>
            <w:pPr>
              <w:spacing w:before="40" w:after="120"/>
            </w:pPr>
            <w:r>
              <w:rPr>
                <w:rFonts w:ascii="Calibri" w:hAnsi="Calibri"/>
                <w:b w:val="0"/>
                <w:i/>
                <w:color w:val="002B5C"/>
                <w:sz w:val="21"/>
              </w:rPr>
              <w:t>The bottleneck is no longer "I need to hire a backend engineer before I can build the simulation engine." One capable Product Owner with Claude can ship a fintech platform — two products, shared backend, production auth, financial simulation engine, AI copilot — from zero to live in a build window that a team would schedule as an 8–14 week project.</w:t>
            </w:r>
          </w:p>
        </w:tc>
      </w:tr>
    </w:tbl>
    <w:p/>
    <w:p>
      <w:pPr>
        <w:spacing w:before="320" w:after="40"/>
      </w:pPr>
      <w:r>
        <w:rPr>
          <w:rFonts w:ascii="Calibri" w:hAnsi="Calibri"/>
          <w:b/>
          <w:i w:val="0"/>
          <w:color w:val="002B5C"/>
          <w:sz w:val="28"/>
        </w:rPr>
        <w:t>6. Limitations and Honest Caveats</w:t>
      </w:r>
    </w:p>
    <w:p>
      <w:pPr>
        <w:spacing w:before="0" w:after="120"/>
      </w:pPr>
      <w:r>
        <w:rPr>
          <w:rFonts w:ascii="Calibri" w:hAnsi="Calibri"/>
          <w:b w:val="0"/>
          <w:i w:val="0"/>
          <w:color w:val="005B99"/>
          <w:sz w:val="14"/>
        </w:rPr>
        <w:t>────────────────────────────────────────────────────────────────────────────────</w:t>
      </w:r>
    </w:p>
    <w:p>
      <w:pPr>
        <w:pStyle w:val="ListBullet"/>
        <w:spacing w:before="20" w:after="40"/>
        <w:ind w:left="454"/>
      </w:pPr>
      <w:r>
        <w:rPr>
          <w:rFonts w:ascii="Calibri" w:hAnsi="Calibri"/>
          <w:b w:val="0"/>
          <w:i w:val="0"/>
          <w:color w:val="1A1A2E"/>
          <w:sz w:val="20"/>
        </w:rPr>
        <w:t>No formal time logging on ARIA. Velocity claims are estimated from feature scope and developer experience, not measured interaction time.</w:t>
      </w:r>
    </w:p>
    <w:p>
      <w:pPr>
        <w:pStyle w:val="ListBullet"/>
        <w:spacing w:before="20" w:after="40"/>
        <w:ind w:left="454"/>
      </w:pPr>
      <w:r>
        <w:rPr>
          <w:rFonts w:ascii="Calibri" w:hAnsi="Calibri"/>
          <w:b w:val="0"/>
          <w:i w:val="0"/>
          <w:color w:val="1A1A2E"/>
          <w:sz w:val="20"/>
        </w:rPr>
        <w:t>Greenfield advantage. Architectural freedom of a greenfield build. AI-assisted development in a complex existing fintech codebase may show different characteristics.</w:t>
      </w:r>
    </w:p>
    <w:p>
      <w:pPr>
        <w:pStyle w:val="ListBullet"/>
        <w:spacing w:before="20" w:after="40"/>
        <w:ind w:left="454"/>
      </w:pPr>
      <w:r>
        <w:rPr>
          <w:rFonts w:ascii="Calibri" w:hAnsi="Calibri"/>
          <w:b w:val="0"/>
          <w:i w:val="0"/>
          <w:color w:val="1A1A2E"/>
          <w:sz w:val="20"/>
        </w:rPr>
        <w:t>No second human reviewer. In a production fintech deployment, a second review pass on auth, data access logic, and financial calculations is advisable before serving production traffic at scale.</w:t>
      </w:r>
    </w:p>
    <w:p>
      <w:pPr>
        <w:pStyle w:val="ListBullet"/>
        <w:spacing w:before="20" w:after="40"/>
        <w:ind w:left="454"/>
      </w:pPr>
      <w:r>
        <w:rPr>
          <w:rFonts w:ascii="Calibri" w:hAnsi="Calibri"/>
          <w:b w:val="0"/>
          <w:i w:val="0"/>
          <w:color w:val="1A1A2E"/>
          <w:sz w:val="20"/>
        </w:rPr>
        <w:t>Free tier infrastructure. Render free tier has cold start latency. A paid tier is required for production bank deployment.</w:t>
      </w:r>
    </w:p>
    <w:p>
      <w:pPr>
        <w:pStyle w:val="ListBullet"/>
        <w:spacing w:before="20" w:after="40"/>
        <w:ind w:left="454"/>
      </w:pPr>
      <w:r>
        <w:rPr>
          <w:rFonts w:ascii="Calibri" w:hAnsi="Calibri"/>
          <w:b w:val="0"/>
          <w:i w:val="0"/>
          <w:color w:val="1A1A2E"/>
          <w:sz w:val="20"/>
        </w:rPr>
        <w:t>The multiplier depends on the Product Owner. The ability to evaluate a Monte Carlo implementation for correctness requires genuine financial and engineering competency. The AI amplifies that competency; it does not substitute for it.</w:t>
      </w:r>
    </w:p>
    <w:p>
      <w:pPr>
        <w:spacing w:before="320" w:after="40"/>
      </w:pPr>
      <w:r>
        <w:rPr>
          <w:rFonts w:ascii="Calibri" w:hAnsi="Calibri"/>
          <w:b/>
          <w:i w:val="0"/>
          <w:color w:val="002B5C"/>
          <w:sz w:val="28"/>
        </w:rPr>
        <w:t>7. Conclusions</w:t>
      </w:r>
    </w:p>
    <w:p>
      <w:pPr>
        <w:spacing w:before="0" w:after="120"/>
      </w:pPr>
      <w:r>
        <w:rPr>
          <w:rFonts w:ascii="Calibri" w:hAnsi="Calibri"/>
          <w:b w:val="0"/>
          <w:i w:val="0"/>
          <w:color w:val="005B99"/>
          <w:sz w:val="14"/>
        </w:rPr>
        <w:t>────────────────────────────────────────────────────────────────────────────────</w:t>
      </w:r>
    </w:p>
    <w:tbl>
      <w:tblPr>
        <w:tblW w:type="auto" w:w="0"/>
        <w:jc w:val="center"/>
        <w:tblLook w:firstColumn="1" w:firstRow="1" w:lastColumn="0" w:lastRow="0" w:noHBand="0" w:noVBand="1" w:val="04A0"/>
      </w:tblPr>
      <w:tblGrid>
        <w:gridCol w:w="9406"/>
      </w:tblGrid>
      <w:tr>
        <w:tc>
          <w:tcPr>
            <w:tcW w:type="dxa" w:w="9406"/>
            <w:shd w:val="clear" w:color="auto" w:fill="E8F4F6"/>
            <w:tcBorders>
              <w:left w:val="single" w:sz="24" w:color="007A87"/>
            </w:tcBorders>
          </w:tcPr>
          <w:p>
            <w:pPr>
              <w:spacing w:before="80" w:after="40"/>
            </w:pPr>
            <w:r>
              <w:rPr>
                <w:rFonts w:ascii="Calibri" w:hAnsi="Calibri"/>
                <w:b/>
                <w:i w:val="0"/>
                <w:color w:val="007A87"/>
                <w:sz w:val="16"/>
              </w:rPr>
              <w:t>KEY FINDING</w:t>
            </w:r>
          </w:p>
          <w:p>
            <w:pPr>
              <w:spacing w:before="40" w:after="120"/>
            </w:pPr>
            <w:r>
              <w:rPr>
                <w:rFonts w:ascii="Calibri" w:hAnsi="Calibri"/>
                <w:b w:val="0"/>
                <w:i/>
                <w:color w:val="002B5C"/>
                <w:sz w:val="21"/>
              </w:rPr>
              <w:t>The ARIA platform is evidence that the AI pair-programming model scales from one product to two simultaneous products sharing infrastructure — without a corresponding increase in team size, coordination overhead, or build time.</w:t>
            </w:r>
          </w:p>
        </w:tc>
      </w:tr>
    </w:tbl>
    <w:p/>
    <w:p>
      <w:pPr>
        <w:pStyle w:val="ListBullet"/>
        <w:spacing w:before="20" w:after="40"/>
        <w:ind w:left="454"/>
      </w:pPr>
      <w:r>
        <w:rPr>
          <w:rFonts w:ascii="Calibri" w:hAnsi="Calibri"/>
          <w:b w:val="0"/>
          <w:i w:val="0"/>
          <w:color w:val="1A1A2E"/>
          <w:sz w:val="20"/>
        </w:rPr>
        <w:t>Two production fintech apps, one build window. Both A-RiA and ARIA Personal designed, built, and deployed simultaneously.</w:t>
      </w:r>
    </w:p>
    <w:p>
      <w:pPr>
        <w:pStyle w:val="ListBullet"/>
        <w:spacing w:before="20" w:after="40"/>
        <w:ind w:left="454"/>
      </w:pPr>
      <w:r>
        <w:rPr>
          <w:rFonts w:ascii="Calibri" w:hAnsi="Calibri"/>
          <w:b w:val="0"/>
          <w:i w:val="0"/>
          <w:color w:val="1A1A2E"/>
          <w:sz w:val="20"/>
        </w:rPr>
        <w:t>Production-grade features. JWT auth, Monte Carlo simulation, Claude API integration, consistent design system — not demos.</w:t>
      </w:r>
    </w:p>
    <w:p>
      <w:pPr>
        <w:pStyle w:val="ListBullet"/>
        <w:spacing w:before="20" w:after="40"/>
        <w:ind w:left="454"/>
      </w:pPr>
      <w:r>
        <w:rPr>
          <w:rFonts w:ascii="Calibri" w:hAnsi="Calibri"/>
          <w:b w:val="0"/>
          <w:i w:val="0"/>
          <w:color w:val="1A1A2E"/>
          <w:sz w:val="20"/>
        </w:rPr>
        <w:t>Shared infrastructure designed correctly from the start. FK separation, shared engine, route namespacing — coherent from day one.</w:t>
      </w:r>
    </w:p>
    <w:p>
      <w:pPr>
        <w:pStyle w:val="ListBullet"/>
        <w:spacing w:before="20" w:after="40"/>
        <w:ind w:left="454"/>
      </w:pPr>
      <w:r>
        <w:rPr>
          <w:rFonts w:ascii="Calibri" w:hAnsi="Calibri"/>
          <w:b w:val="0"/>
          <w:i w:val="0"/>
          <w:color w:val="1A1A2E"/>
          <w:sz w:val="20"/>
        </w:rPr>
        <w:t>Cross-codebase fixes applied atomically. Bugs fixed in both codebases in the same session, consistently.</w:t>
      </w:r>
    </w:p>
    <w:p>
      <w:pPr>
        <w:pStyle w:val="ListBullet"/>
        <w:spacing w:before="20" w:after="40"/>
        <w:ind w:left="454"/>
      </w:pPr>
      <w:r>
        <w:rPr>
          <w:rFonts w:ascii="Calibri" w:hAnsi="Calibri"/>
          <w:b w:val="0"/>
          <w:i w:val="0"/>
          <w:color w:val="1A1A2E"/>
          <w:sz w:val="20"/>
        </w:rPr>
        <w:t>The compression ratio compounds with scope. The more a session holds simultaneously, the more the zero-handoff advantage compounds.</w:t>
      </w:r>
    </w:p>
    <w:p/>
    <w:p>
      <w:pPr>
        <w:jc w:val="center"/>
      </w:pPr>
      <w:r>
        <w:rPr>
          <w:rFonts w:ascii="Calibri" w:hAnsi="Calibri"/>
          <w:b w:val="0"/>
          <w:i/>
          <w:color w:val="005B99"/>
          <w:sz w:val="16"/>
        </w:rPr>
        <w:t>Made with ❤️ in Hyderabad  |  © 2026 Sunny Hayes (sunder-vasudevan). All rights reserved.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