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drawing>
          <wp:inline distT="0" distB="0" distL="0" distR="0">
            <wp:extent cx="20002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542925"/>
                    </a:xfrm>
                    <a:prstGeom prst="rect">
                      <a:avLst/>
                    </a:prstGeom>
                  </pic:spPr>
                </pic:pic>
              </a:graphicData>
            </a:graphic>
          </wp:inline>
        </w:drawing>
      </w:r>
    </w:p>
    <w:p>
      <w:pPr>
        <w:spacing w:after="60" w:before="1200"/>
      </w:pPr>
      <w:r>
        <w:rPr>
          <w:rFonts w:ascii="Calibri" w:cs="Calibri" w:eastAsia="Calibri" w:hAnsi="Calibri"/>
          <w:b/>
          <w:bCs/>
          <w:color w:val="0F3B57"/>
          <w:sz w:val="68"/>
          <w:szCs w:val="68"/>
        </w:rPr>
        <w:t xml:space="preserve">CyberRange</w:t>
      </w:r>
    </w:p>
    <w:p>
      <w:pPr>
        <w:pBdr>
          <w:bottom w:val="single" w:color="1F7A8C" w:sz="12" w:space="10"/>
        </w:pBdr>
        <w:spacing w:after="240"/>
      </w:pPr>
      <w:r>
        <w:rPr>
          <w:rFonts w:ascii="Calibri" w:cs="Calibri" w:eastAsia="Calibri" w:hAnsi="Calibri"/>
          <w:color w:val="1F7A8C"/>
          <w:sz w:val="34"/>
          <w:szCs w:val="34"/>
        </w:rPr>
        <w:t xml:space="preserve">Technical Capabilities Document</w:t>
      </w:r>
    </w:p>
    <w:p>
      <w:pPr>
        <w:spacing w:after="900" w:before="0" w:line="276"/>
        <w:jc w:val="left"/>
      </w:pPr>
      <w:r>
        <w:rPr>
          <w:rFonts w:ascii="Calibri" w:cs="Calibri" w:eastAsia="Calibri" w:hAnsi="Calibri"/>
          <w:b w:val="false"/>
          <w:bCs w:val="false"/>
          <w:i w:val="false"/>
          <w:iCs w:val="false"/>
          <w:color w:val="5A6672"/>
          <w:sz w:val="23"/>
          <w:szCs w:val="23"/>
        </w:rPr>
        <w:t xml:space="preserve">Red, Blue and Purple team training and security control validation, delivered as a single platform with real adversary execution, automatic detection, explainable scoring, and audit-grade evidence.</w:t>
      </w: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2600"/>
        <w:gridCol w:w="6760"/>
      </w:tblGrid>
      <w:tr>
        <w:trPr>
          <w:tblHeader/>
        </w:trPr>
        <w:tc>
          <w:tcPr>
            <w:tcW w:type="dxa" w:w="26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Field</w:t>
            </w:r>
          </w:p>
        </w:tc>
        <w:tc>
          <w:tcPr>
            <w:tcW w:type="dxa" w:w="67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Value</w:t>
            </w:r>
          </w:p>
        </w:tc>
      </w:tr>
      <w:tr>
        <w:trPr>
          <w:tblHeader w:val="false"/>
        </w:trPr>
        <w:tc>
          <w:tcPr>
            <w:tcW w:type="dxa" w:w="26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Document</w:t>
            </w:r>
          </w:p>
        </w:tc>
        <w:tc>
          <w:tcPr>
            <w:tcW w:type="dxa" w:w="67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CyberRange Technical Capabilities</w:t>
            </w:r>
          </w:p>
        </w:tc>
      </w:tr>
      <w:tr>
        <w:trPr>
          <w:tblHeader w:val="false"/>
        </w:trPr>
        <w:tc>
          <w:tcPr>
            <w:tcW w:type="dxa" w:w="26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Version</w:t>
            </w:r>
          </w:p>
        </w:tc>
        <w:tc>
          <w:tcPr>
            <w:tcW w:type="dxa" w:w="67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1.0</w:t>
            </w:r>
          </w:p>
        </w:tc>
      </w:tr>
      <w:tr>
        <w:trPr>
          <w:tblHeader w:val="false"/>
        </w:trPr>
        <w:tc>
          <w:tcPr>
            <w:tcW w:type="dxa" w:w="26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Prepared for</w:t>
            </w:r>
          </w:p>
        </w:tc>
        <w:tc>
          <w:tcPr>
            <w:tcW w:type="dxa" w:w="67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Customer technical evaluation</w:t>
            </w:r>
          </w:p>
        </w:tc>
      </w:tr>
      <w:tr>
        <w:trPr>
          <w:tblHeader w:val="false"/>
        </w:trPr>
        <w:tc>
          <w:tcPr>
            <w:tcW w:type="dxa" w:w="26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Scope</w:t>
            </w:r>
          </w:p>
        </w:tc>
        <w:tc>
          <w:tcPr>
            <w:tcW w:type="dxa" w:w="67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Shipping capability of the current build. Roadmap items are labelled explicitly and are not presented as available today.</w:t>
            </w:r>
          </w:p>
        </w:tc>
      </w:tr>
    </w:tbl>
    <w:p>
      <w:pPr>
        <w:spacing w:after="600"/>
      </w:pPr>
    </w:p>
    <w:p>
      <w:pPr>
        <w:spacing w:after="120" w:before="0" w:line="276"/>
        <w:jc w:val="left"/>
      </w:pPr>
      <w:r>
        <w:rPr>
          <w:rFonts w:ascii="Calibri" w:cs="Calibri" w:eastAsia="Calibri" w:hAnsi="Calibri"/>
          <w:b w:val="false"/>
          <w:bCs w:val="false"/>
          <w:i/>
          <w:iCs/>
          <w:color w:val="5A6672"/>
          <w:sz w:val="18"/>
          <w:szCs w:val="18"/>
        </w:rPr>
        <w:t xml:space="preserve">All counts and capabilities in this document were verified directly against the platform content catalog, API surface, and automated test suite at the time of writing.</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1. Executive summary</w:t>
      </w:r>
    </w:p>
    <w:p>
      <w:pPr>
        <w:spacing w:after="120" w:before="0" w:line="276"/>
        <w:jc w:val="left"/>
      </w:pPr>
      <w:r>
        <w:rPr>
          <w:rFonts w:ascii="Calibri" w:cs="Calibri" w:eastAsia="Calibri" w:hAnsi="Calibri"/>
          <w:b w:val="false"/>
          <w:bCs w:val="false"/>
          <w:i w:val="false"/>
          <w:iCs w:val="false"/>
          <w:color w:val="20303C"/>
          <w:sz w:val="21"/>
          <w:szCs w:val="21"/>
        </w:rPr>
        <w:t xml:space="preserve">CyberRange gives security teams and academic programs a safe, repeatable environment in which adversary behavior is actually executed, telemetry is actually produced, detections actually fire, and readiness is measured with an explainable score.</w:t>
      </w:r>
    </w:p>
    <w:p>
      <w:pPr>
        <w:spacing w:after="120" w:before="0" w:line="276"/>
        <w:jc w:val="left"/>
      </w:pPr>
      <w:r>
        <w:rPr>
          <w:rFonts w:ascii="Calibri" w:cs="Calibri" w:eastAsia="Calibri" w:hAnsi="Calibri"/>
          <w:b w:val="false"/>
          <w:bCs w:val="false"/>
          <w:i w:val="false"/>
          <w:iCs w:val="false"/>
          <w:color w:val="20303C"/>
          <w:sz w:val="21"/>
          <w:szCs w:val="21"/>
        </w:rPr>
        <w:t xml:space="preserve">It is not a slide-deck simulator and not a video course. A red operator launches a technique; that technique runs a real command inside an isolated target; the output becomes real log lines; and a defender hunts those log lines in a SOC-style search console without being told what was run.</w:t>
      </w:r>
    </w:p>
    <w:p>
      <w:pPr>
        <w:spacing w:after="120"/>
      </w:pPr>
    </w:p>
    <w:p>
      <w:pPr>
        <w:pStyle w:val="Heading2"/>
        <w:spacing w:after="100" w:before="260"/>
      </w:pPr>
      <w:r>
        <w:rPr>
          <w:rFonts w:ascii="Calibri" w:cs="Calibri" w:eastAsia="Calibri" w:hAnsi="Calibri"/>
          <w:b/>
          <w:bCs/>
          <w:color w:val="1F7A8C"/>
          <w:sz w:val="24"/>
          <w:szCs w:val="24"/>
        </w:rPr>
        <w:t xml:space="preserve">The exercise loop, covered end to end</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1900"/>
        <w:gridCol w:w="7460"/>
      </w:tblGrid>
      <w:tr>
        <w:trPr>
          <w:tblHeader/>
        </w:trPr>
        <w:tc>
          <w:tcPr>
            <w:tcW w:type="dxa" w:w="19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Stage</w:t>
            </w:r>
          </w:p>
        </w:tc>
        <w:tc>
          <w:tcPr>
            <w:tcW w:type="dxa" w:w="74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What the platform does</w:t>
            </w:r>
          </w:p>
        </w:tc>
      </w:tr>
      <w:tr>
        <w:trPr>
          <w:tblHeader w:val="false"/>
        </w:trPr>
        <w:tc>
          <w:tcPr>
            <w:tcW w:type="dxa" w:w="1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Plan</w:t>
            </w:r>
          </w:p>
        </w:tc>
        <w:tc>
          <w:tcPr>
            <w:tcW w:type="dxa" w:w="74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Scenario and TTP catalog mapped to MITRE ATT&amp;CK, with topology templates</w:t>
            </w:r>
          </w:p>
        </w:tc>
      </w:tr>
      <w:tr>
        <w:trPr>
          <w:tblHeader w:val="false"/>
        </w:trPr>
        <w:tc>
          <w:tcPr>
            <w:tcW w:type="dxa" w:w="1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Provision</w:t>
            </w:r>
          </w:p>
        </w:tc>
        <w:tc>
          <w:tcPr>
            <w:tcW w:type="dxa" w:w="74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Lifecycle state machine stands up an isolated, egress-denied range</w:t>
            </w:r>
          </w:p>
        </w:tc>
      </w:tr>
      <w:tr>
        <w:trPr>
          <w:tblHeader w:val="false"/>
        </w:trPr>
        <w:tc>
          <w:tcPr>
            <w:tcW w:type="dxa" w:w="1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Execute</w:t>
            </w:r>
          </w:p>
        </w:tc>
        <w:tc>
          <w:tcPr>
            <w:tcW w:type="dxa" w:w="74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Signed behavior modules run for real (container-backed) or degrade to simulation</w:t>
            </w:r>
          </w:p>
        </w:tc>
      </w:tr>
      <w:tr>
        <w:trPr>
          <w:tblHeader w:val="false"/>
        </w:trPr>
        <w:tc>
          <w:tcPr>
            <w:tcW w:type="dxa" w:w="1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Observe</w:t>
            </w:r>
          </w:p>
        </w:tc>
        <w:tc>
          <w:tcPr>
            <w:tcW w:type="dxa" w:w="74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Synchronized UTC evidence timeline, hash-stamped, plus SOC log search</w:t>
            </w:r>
          </w:p>
        </w:tc>
      </w:tr>
      <w:tr>
        <w:trPr>
          <w:tblHeader w:val="false"/>
        </w:trPr>
        <w:tc>
          <w:tcPr>
            <w:tcW w:type="dxa" w:w="1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Detect</w:t>
            </w:r>
          </w:p>
        </w:tc>
        <w:tc>
          <w:tcPr>
            <w:tcW w:type="dxa" w:w="74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Versioned Sigma-style rules fire automatically and record mean time to detect</w:t>
            </w:r>
          </w:p>
        </w:tc>
      </w:tr>
      <w:tr>
        <w:trPr>
          <w:tblHeader w:val="false"/>
        </w:trPr>
        <w:tc>
          <w:tcPr>
            <w:tcW w:type="dxa" w:w="1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Measure</w:t>
            </w:r>
          </w:p>
        </w:tc>
        <w:tc>
          <w:tcPr>
            <w:tcW w:type="dxa" w:w="74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Weighted, explainable, override-audited scoring across five dimensions</w:t>
            </w:r>
          </w:p>
        </w:tc>
      </w:tr>
      <w:tr>
        <w:trPr>
          <w:tblHeader w:val="false"/>
        </w:trPr>
        <w:tc>
          <w:tcPr>
            <w:tcW w:type="dxa" w:w="1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Improve</w:t>
            </w:r>
          </w:p>
        </w:tc>
        <w:tc>
          <w:tcPr>
            <w:tcW w:type="dxa" w:w="74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Purple baseline-to-replay coverage delta, never win or lose</w:t>
            </w:r>
          </w:p>
        </w:tc>
      </w:tr>
      <w:tr>
        <w:trPr>
          <w:tblHeader w:val="false"/>
        </w:trPr>
        <w:tc>
          <w:tcPr>
            <w:tcW w:type="dxa" w:w="1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Report</w:t>
            </w:r>
          </w:p>
        </w:tc>
        <w:tc>
          <w:tcPr>
            <w:tcW w:type="dxa" w:w="74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After-action report exportable as JSON, CSV, HTML and DOCX</w:t>
            </w:r>
          </w:p>
        </w:tc>
      </w:tr>
      <w:tr>
        <w:trPr>
          <w:tblHeader w:val="false"/>
        </w:trPr>
        <w:tc>
          <w:tcPr>
            <w:tcW w:type="dxa" w:w="1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Govern</w:t>
            </w:r>
          </w:p>
        </w:tc>
        <w:tc>
          <w:tcPr>
            <w:tcW w:type="dxa" w:w="74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Role-based access control, safety classes, append-only audit ledger</w:t>
            </w:r>
          </w:p>
        </w:tc>
      </w:tr>
    </w:tbl>
    <w:p>
      <w:pPr>
        <w:spacing w:after="200"/>
      </w:pPr>
    </w:p>
    <w:tbl>
      <w:tblPr>
        <w:tblW w:type="dxa" w:w="9360"/>
        <w:tblBorders>
          <w:top w:val="single" w:color="C9D6DE" w:sz="2"/>
          <w:left w:val="single" w:color="1F7A8C" w:sz="18"/>
          <w:bottom w:val="single" w:color="C9D6DE" w:sz="2"/>
          <w:right w:val="single" w:color="C9D6DE" w:sz="2"/>
          <w:insideH w:val="none"/>
          <w:insideV w:val="none"/>
        </w:tblBorders>
      </w:tblPr>
      <w:tblGrid>
        <w:gridCol w:w="9360"/>
      </w:tblGrid>
      <w:tr>
        <w:tc>
          <w:tcPr>
            <w:tcW w:type="dxa" w:w="9360"/>
            <w:shd w:fill="F6FAFB" w:color="auto" w:val="clear"/>
            <w:tcMar>
              <w:top w:type="dxa" w:w="120"/>
              <w:left w:type="dxa" w:w="180"/>
              <w:bottom w:type="dxa" w:w="120"/>
              <w:right w:type="dxa" w:w="160"/>
            </w:tcMar>
          </w:tcPr>
          <w:p>
            <w:pPr>
              <w:spacing w:after="60" w:before="60"/>
            </w:pPr>
            <w:r>
              <w:rPr>
                <w:rFonts w:ascii="Calibri" w:cs="Calibri" w:eastAsia="Calibri" w:hAnsi="Calibri"/>
                <w:b/>
                <w:bCs/>
                <w:color w:val="0F3B57"/>
                <w:sz w:val="20"/>
                <w:szCs w:val="20"/>
              </w:rPr>
              <w:t xml:space="preserve">Deployment reality check</w:t>
            </w:r>
          </w:p>
          <w:p>
            <w:pPr>
              <w:spacing w:after="60" w:line="264"/>
            </w:pPr>
            <w:r>
              <w:rPr>
                <w:rFonts w:ascii="Calibri" w:cs="Calibri" w:eastAsia="Calibri" w:hAnsi="Calibri"/>
                <w:color w:val="20303C"/>
                <w:sz w:val="20"/>
                <w:szCs w:val="20"/>
              </w:rPr>
              <w:t xml:space="preserve">The control plane runs on the Python standard library with SQLite by default. There is no build step and no mandatory external dependency, so an evaluation deployment takes minutes rather than a project plan.</w:t>
            </w:r>
          </w:p>
        </w:tc>
      </w:tr>
    </w:tbl>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2. Architecture</w:t>
      </w:r>
    </w:p>
    <w:p>
      <w:pPr>
        <w:spacing w:after="120" w:before="0" w:line="276"/>
        <w:jc w:val="left"/>
      </w:pPr>
      <w:r>
        <w:rPr>
          <w:rFonts w:ascii="Calibri" w:cs="Calibri" w:eastAsia="Calibri" w:hAnsi="Calibri"/>
          <w:b w:val="false"/>
          <w:bCs w:val="false"/>
          <w:i w:val="false"/>
          <w:iCs w:val="false"/>
          <w:color w:val="20303C"/>
          <w:sz w:val="21"/>
          <w:szCs w:val="21"/>
        </w:rPr>
        <w:t xml:space="preserve">Three deliberate seams make the platform portable into a customer environment. Each is an interface that already exists in the product, not a plan.</w:t>
      </w:r>
    </w:p>
    <w:p>
      <w:pPr>
        <w:spacing w:after="60"/>
      </w:pPr>
    </w:p>
    <w:tbl>
      <w:tblPr>
        <w:tblW w:type="dxa" w:w="9360"/>
        <w:tblBorders>
          <w:top w:val="single" w:color="C9D6DE" w:sz="2"/>
          <w:left w:val="single" w:color="C9D6DE" w:sz="2"/>
          <w:bottom w:val="single" w:color="C9D6DE" w:sz="2"/>
          <w:right w:val="single" w:color="C9D6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0" w:line="240"/>
            </w:pPr>
            <w:r>
              <w:rPr>
                <w:rFonts w:ascii="Consolas" w:cs="Consolas" w:eastAsia="Consolas" w:hAnsi="Consolas"/>
                <w:color w:val="253340"/>
                <w:sz w:val="17"/>
                <w:szCs w:val="17"/>
              </w:rPr>
              <w:t xml:space="preserve">  Operator web dashboard        REST / JSON        Control plane (stdlib HTTP server)</w:t>
            </w:r>
          </w:p>
          <w:p>
            <w:pPr>
              <w:spacing w:after="0" w:line="240"/>
            </w:pPr>
            <w:r>
              <w:rPr>
                <w:rFonts w:ascii="Consolas" w:cs="Consolas" w:eastAsia="Consolas" w:hAnsi="Consolas"/>
                <w:color w:val="253340"/>
                <w:sz w:val="17"/>
                <w:szCs w:val="17"/>
              </w:rPr>
              <w:t xml:space="preserve">  (no build step)          &lt;--------------------&gt;  catalog . lifecycle . RBAC . scoring</w:t>
            </w:r>
          </w:p>
          <w:p>
            <w:pPr>
              <w:spacing w:after="0" w:line="240"/>
            </w:pPr>
            <w:r>
              <w:rPr>
                <w:rFonts w:ascii="Consolas" w:cs="Consolas" w:eastAsia="Consolas" w:hAnsi="Consolas"/>
                <w:color w:val="253340"/>
                <w:sz w:val="17"/>
                <w:szCs w:val="17"/>
              </w:rPr>
              <w:t xml:space="preserve">                                                   detection engine . reporting . audit</w:t>
            </w:r>
          </w:p>
          <w:p>
            <w:pPr>
              <w:spacing w:after="0" w:line="240"/>
            </w:pPr>
            <w:r>
              <w:rPr>
                <w:rFonts w:ascii="Consolas" w:cs="Consolas" w:eastAsia="Consolas" w:hAnsi="Consolas"/>
                <w:color w:val="253340"/>
                <w:sz w:val="17"/>
                <w:szCs w:val="17"/>
              </w:rPr>
              <w:t xml:space="preserve">                                                                |</w:t>
            </w:r>
          </w:p>
          <w:p>
            <w:pPr>
              <w:spacing w:after="0" w:line="240"/>
            </w:pPr>
            <w:r>
              <w:rPr>
                <w:rFonts w:ascii="Consolas" w:cs="Consolas" w:eastAsia="Consolas" w:hAnsi="Consolas"/>
                <w:color w:val="253340"/>
                <w:sz w:val="17"/>
                <w:szCs w:val="17"/>
              </w:rPr>
              <w:t xml:space="preserve">        +-------------------------------+----------------------+---------------------+</w:t>
            </w:r>
          </w:p>
          <w:p>
            <w:pPr>
              <w:spacing w:after="0" w:line="240"/>
            </w:pPr>
            <w:r>
              <w:rPr>
                <w:rFonts w:ascii="Consolas" w:cs="Consolas" w:eastAsia="Consolas" w:hAnsi="Consolas"/>
                <w:color w:val="253340"/>
                <w:sz w:val="17"/>
                <w:szCs w:val="17"/>
              </w:rPr>
              <w:t xml:space="preserve">        |                               |                                            |</w:t>
            </w:r>
          </w:p>
          <w:p>
            <w:pPr>
              <w:spacing w:after="0" w:line="240"/>
            </w:pPr>
            <w:r>
              <w:rPr>
                <w:rFonts w:ascii="Consolas" w:cs="Consolas" w:eastAsia="Consolas" w:hAnsi="Consolas"/>
                <w:color w:val="253340"/>
                <w:sz w:val="17"/>
                <w:szCs w:val="17"/>
              </w:rPr>
              <w:t xml:space="preserve">  Persistence layer              Execution adapter                          Telemetry sinks</w:t>
            </w:r>
          </w:p>
          <w:p>
            <w:pPr>
              <w:spacing w:after="0" w:line="240"/>
            </w:pPr>
            <w:r>
              <w:rPr>
                <w:rFonts w:ascii="Consolas" w:cs="Consolas" w:eastAsia="Consolas" w:hAnsi="Consolas"/>
                <w:color w:val="253340"/>
                <w:sz w:val="17"/>
                <w:szCs w:val="17"/>
              </w:rPr>
              <w:t xml:space="preserve">  SQLite (default)               DockerAdapter (real)                       Internal timeline</w:t>
            </w:r>
          </w:p>
          <w:p>
            <w:pPr>
              <w:spacing w:after="0" w:line="240"/>
            </w:pPr>
            <w:r>
              <w:rPr>
                <w:rFonts w:ascii="Consolas" w:cs="Consolas" w:eastAsia="Consolas" w:hAnsi="Consolas"/>
                <w:color w:val="253340"/>
                <w:sz w:val="17"/>
                <w:szCs w:val="17"/>
              </w:rPr>
              <w:t xml:space="preserve">  PostgreSQL / Supabase          SimulatedAdapter (fallback)                Wazuh SIEM (optional)</w:t>
            </w:r>
          </w:p>
          <w:p>
            <w:pPr>
              <w:spacing w:after="0" w:line="240"/>
            </w:pPr>
            <w:r>
              <w:rPr>
                <w:rFonts w:ascii="Consolas" w:cs="Consolas" w:eastAsia="Consolas" w:hAnsi="Consolas"/>
                <w:color w:val="253340"/>
                <w:sz w:val="17"/>
                <w:szCs w:val="17"/>
              </w:rPr>
              <w:t xml:space="preserve">                                 VM / hypervisor  [Roadmap]</w:t>
            </w:r>
          </w:p>
        </w:tc>
      </w:tr>
    </w:tbl>
    <w:p>
      <w:pPr>
        <w:spacing w:after="200"/>
      </w:pPr>
    </w:p>
    <w:p>
      <w:pPr>
        <w:pStyle w:val="ListParagraph"/>
        <w:numPr>
          <w:ilvl w:val="0"/>
          <w:numId w:val="2"/>
        </w:numPr>
        <w:spacing w:after="80" w:line="276"/>
      </w:pPr>
      <w:r>
        <w:rPr>
          <w:rFonts w:ascii="Calibri" w:cs="Calibri" w:eastAsia="Calibri" w:hAnsi="Calibri"/>
          <w:b/>
          <w:bCs/>
          <w:sz w:val="21"/>
          <w:szCs w:val="21"/>
        </w:rPr>
        <w:t xml:space="preserve">Persistence</w:t>
      </w:r>
      <w:r>
        <w:rPr>
          <w:rFonts w:ascii="Calibri" w:cs="Calibri" w:eastAsia="Calibri" w:hAnsi="Calibri"/>
          <w:sz w:val="21"/>
          <w:szCs w:val="21"/>
        </w:rPr>
        <w:t xml:space="preserve"> sits behind one interface, so SQLite for evaluation and PostgreSQL or Supabase for production are interchangeable with an environment variable and no code change.</w:t>
      </w:r>
    </w:p>
    <w:p>
      <w:pPr>
        <w:pStyle w:val="ListParagraph"/>
        <w:numPr>
          <w:ilvl w:val="0"/>
          <w:numId w:val="2"/>
        </w:numPr>
        <w:spacing w:after="80" w:line="276"/>
      </w:pPr>
      <w:r>
        <w:rPr>
          <w:rFonts w:ascii="Calibri" w:cs="Calibri" w:eastAsia="Calibri" w:hAnsi="Calibri"/>
          <w:b/>
          <w:bCs/>
          <w:sz w:val="21"/>
          <w:szCs w:val="21"/>
        </w:rPr>
        <w:t xml:space="preserve">Execution</w:t>
      </w:r>
      <w:r>
        <w:rPr>
          <w:rFonts w:ascii="Calibri" w:cs="Calibri" w:eastAsia="Calibri" w:hAnsi="Calibri"/>
          <w:sz w:val="21"/>
          <w:szCs w:val="21"/>
        </w:rPr>
        <w:t xml:space="preserve"> sits behind an adapter interface. Container-backed execution ships today, and the same interface is what hypervisor-backed VM targets plug into.</w:t>
      </w:r>
    </w:p>
    <w:p>
      <w:pPr>
        <w:pStyle w:val="ListParagraph"/>
        <w:numPr>
          <w:ilvl w:val="0"/>
          <w:numId w:val="2"/>
        </w:numPr>
        <w:spacing w:after="80" w:line="276"/>
      </w:pPr>
      <w:r>
        <w:rPr>
          <w:rFonts w:ascii="Calibri" w:cs="Calibri" w:eastAsia="Calibri" w:hAnsi="Calibri"/>
          <w:b/>
          <w:bCs/>
          <w:sz w:val="21"/>
          <w:szCs w:val="21"/>
        </w:rPr>
        <w:t xml:space="preserve">Identity</w:t>
      </w:r>
      <w:r>
        <w:rPr>
          <w:rFonts w:ascii="Calibri" w:cs="Calibri" w:eastAsia="Calibri" w:hAnsi="Calibri"/>
          <w:sz w:val="21"/>
          <w:szCs w:val="21"/>
        </w:rPr>
        <w:t xml:space="preserve"> sits behind the RBAC layer. Local login ships today, and swapping in SSO or OIDC does not change a single role or permission rule.</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3. Content library</w:t>
      </w:r>
    </w:p>
    <w:p>
      <w:pPr>
        <w:spacing w:after="120" w:before="0" w:line="276"/>
        <w:jc w:val="left"/>
      </w:pPr>
      <w:r>
        <w:rPr>
          <w:rFonts w:ascii="Calibri" w:cs="Calibri" w:eastAsia="Calibri" w:hAnsi="Calibri"/>
          <w:b w:val="false"/>
          <w:bCs w:val="false"/>
          <w:i w:val="false"/>
          <w:iCs w:val="false"/>
          <w:color w:val="20303C"/>
          <w:sz w:val="21"/>
          <w:szCs w:val="21"/>
        </w:rPr>
        <w:t xml:space="preserve">Everything listed in this section ships in the current build.</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2900"/>
        <w:gridCol w:w="1100"/>
        <w:gridCol w:w="5360"/>
      </w:tblGrid>
      <w:tr>
        <w:trPr>
          <w:tblHeader/>
        </w:trPr>
        <w:tc>
          <w:tcPr>
            <w:tcW w:type="dxa" w:w="29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Asset</w:t>
            </w:r>
          </w:p>
        </w:tc>
        <w:tc>
          <w:tcPr>
            <w:tcW w:type="dxa" w:w="11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Count</w:t>
            </w:r>
          </w:p>
        </w:tc>
        <w:tc>
          <w:tcPr>
            <w:tcW w:type="dxa" w:w="53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Detail</w:t>
            </w:r>
          </w:p>
        </w:tc>
      </w:tr>
      <w:tr>
        <w:trPr>
          <w:tblHeader w:val="false"/>
        </w:trPr>
        <w:tc>
          <w:tcPr>
            <w:tcW w:type="dxa" w:w="2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Launch scenarios</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10</w:t>
            </w:r>
          </w:p>
        </w:tc>
        <w:tc>
          <w:tcPr>
            <w:tcW w:type="dxa" w:w="53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 introductory, 5 intermediate, 4 advanced</w:t>
            </w:r>
          </w:p>
        </w:tc>
      </w:tr>
      <w:tr>
        <w:trPr>
          <w:tblHeader w:val="false"/>
        </w:trPr>
        <w:tc>
          <w:tcPr>
            <w:tcW w:type="dxa" w:w="2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Exercise modes</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3</w:t>
            </w:r>
          </w:p>
        </w:tc>
        <w:tc>
          <w:tcPr>
            <w:tcW w:type="dxa" w:w="53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 (7 scenarios), solo (2), purple (1)</w:t>
            </w:r>
          </w:p>
        </w:tc>
      </w:tr>
      <w:tr>
        <w:trPr>
          <w:tblHeader w:val="false"/>
        </w:trPr>
        <w:tc>
          <w:tcPr>
            <w:tcW w:type="dxa" w:w="2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Behavior modules</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25</w:t>
            </w:r>
          </w:p>
        </w:tc>
        <w:tc>
          <w:tcPr>
            <w:tcW w:type="dxa" w:w="53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All cryptographically signed. Unsigned modules are refused at execution.</w:t>
            </w:r>
          </w:p>
        </w:tc>
      </w:tr>
      <w:tr>
        <w:trPr>
          <w:tblHeader w:val="false"/>
        </w:trPr>
        <w:tc>
          <w:tcPr>
            <w:tcW w:type="dxa" w:w="2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Modules with real execution</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12</w:t>
            </w:r>
          </w:p>
        </w:tc>
        <w:tc>
          <w:tcPr>
            <w:tcW w:type="dxa" w:w="53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Run a genuine command inside an isolated container</w:t>
            </w:r>
          </w:p>
        </w:tc>
      </w:tr>
      <w:tr>
        <w:trPr>
          <w:tblHeader w:val="false"/>
        </w:trPr>
        <w:tc>
          <w:tcPr>
            <w:tcW w:type="dxa" w:w="2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ATT&amp;CK techniques covered</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22</w:t>
            </w:r>
          </w:p>
        </w:tc>
        <w:tc>
          <w:tcPr>
            <w:tcW w:type="dxa" w:w="53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T1003, T1005, T1018, T1021, T1041, T1053, T1059, T1070, T1071, T1078, T1087, T1190, T1204, T1486, T1548, T1552, T1560, T1566, T1595, T1610, T1611, T1613</w:t>
            </w:r>
          </w:p>
        </w:tc>
      </w:tr>
      <w:tr>
        <w:trPr>
          <w:tblHeader w:val="false"/>
        </w:trPr>
        <w:tc>
          <w:tcPr>
            <w:tcW w:type="dxa" w:w="2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Detection rules</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15</w:t>
            </w:r>
          </w:p>
        </w:tc>
        <w:tc>
          <w:tcPr>
            <w:tcW w:type="dxa" w:w="53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12 log-basis (regex over real output), 3 technique-basis. 8 high, 5 medium, 2 low severity.</w:t>
            </w:r>
          </w:p>
        </w:tc>
      </w:tr>
      <w:tr>
        <w:trPr>
          <w:tblHeader w:val="false"/>
        </w:trPr>
        <w:tc>
          <w:tcPr>
            <w:tcW w:type="dxa" w:w="29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Topology templates</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w:t>
            </w:r>
          </w:p>
        </w:tc>
        <w:tc>
          <w:tcPr>
            <w:tcW w:type="dxa" w:w="53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Five-VM enterprise range, container range</w:t>
            </w:r>
          </w:p>
        </w:tc>
      </w:tr>
      <w:tr>
        <w:trPr>
          <w:tblHeader w:val="false"/>
        </w:trPr>
        <w:tc>
          <w:tcPr>
            <w:tcW w:type="dxa" w:w="29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Guided lessons</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10 of 10</w:t>
            </w:r>
          </w:p>
        </w:tc>
        <w:tc>
          <w:tcPr>
            <w:tcW w:type="dxa" w:w="53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Every scenario carries a briefing, concepts, hands-on steps and an auto-graded quiz</w:t>
            </w:r>
          </w:p>
        </w:tc>
      </w:tr>
    </w:tbl>
    <w:p>
      <w:pPr>
        <w:pStyle w:val="Heading2"/>
        <w:spacing w:after="100" w:before="260"/>
      </w:pPr>
      <w:r>
        <w:rPr>
          <w:rFonts w:ascii="Calibri" w:cs="Calibri" w:eastAsia="Calibri" w:hAnsi="Calibri"/>
          <w:b/>
          <w:bCs/>
          <w:color w:val="1F7A8C"/>
          <w:sz w:val="24"/>
          <w:szCs w:val="24"/>
        </w:rPr>
        <w:t xml:space="preserve">3.1 Module coverage by platform and safety class</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3160"/>
        <w:gridCol w:w="1550"/>
        <w:gridCol w:w="1550"/>
        <w:gridCol w:w="1550"/>
        <w:gridCol w:w="1550"/>
      </w:tblGrid>
      <w:tr>
        <w:trPr>
          <w:tblHeader/>
        </w:trPr>
        <w:tc>
          <w:tcPr>
            <w:tcW w:type="dxa" w:w="31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Safety class</w:t>
            </w:r>
          </w:p>
        </w:tc>
        <w:tc>
          <w:tcPr>
            <w:tcW w:type="dxa" w:w="155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Windows</w:t>
            </w:r>
          </w:p>
        </w:tc>
        <w:tc>
          <w:tcPr>
            <w:tcW w:type="dxa" w:w="155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Linux</w:t>
            </w:r>
          </w:p>
        </w:tc>
        <w:tc>
          <w:tcPr>
            <w:tcW w:type="dxa" w:w="155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Docker</w:t>
            </w:r>
          </w:p>
        </w:tc>
        <w:tc>
          <w:tcPr>
            <w:tcW w:type="dxa" w:w="155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Total</w:t>
            </w:r>
          </w:p>
        </w:tc>
      </w:tr>
      <w:tr>
        <w:trPr>
          <w:tblHeader w:val="false"/>
        </w:trPr>
        <w:tc>
          <w:tcPr>
            <w:tcW w:type="dxa" w:w="31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S0 simulation</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3</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0</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5</w:t>
            </w:r>
          </w:p>
        </w:tc>
      </w:tr>
      <w:tr>
        <w:trPr>
          <w:tblHeader w:val="false"/>
        </w:trPr>
        <w:tc>
          <w:tcPr>
            <w:tcW w:type="dxa" w:w="31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S1 atomic emulation</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7</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5</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4</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16</w:t>
            </w:r>
          </w:p>
        </w:tc>
      </w:tr>
      <w:tr>
        <w:trPr>
          <w:tblHeader w:val="false"/>
        </w:trPr>
        <w:tc>
          <w:tcPr>
            <w:tcW w:type="dxa" w:w="31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S2 high-impact lab action</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w:t>
            </w:r>
          </w:p>
        </w:tc>
        <w:tc>
          <w:tcPr>
            <w:tcW w:type="dxa" w:w="155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4</w:t>
            </w:r>
          </w:p>
        </w:tc>
      </w:tr>
      <w:tr>
        <w:trPr>
          <w:tblHeader w:val="false"/>
        </w:trPr>
        <w:tc>
          <w:tcPr>
            <w:tcW w:type="dxa" w:w="31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Total</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11</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10</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4</w:t>
            </w:r>
          </w:p>
        </w:tc>
        <w:tc>
          <w:tcPr>
            <w:tcW w:type="dxa" w:w="155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25</w:t>
            </w:r>
          </w:p>
        </w:tc>
      </w:tr>
    </w:tbl>
    <w:p>
      <w:pPr>
        <w:spacing w:after="160"/>
      </w:pPr>
    </w:p>
    <w:p>
      <w:pPr>
        <w:spacing w:after="120" w:before="0" w:line="276"/>
        <w:jc w:val="left"/>
      </w:pPr>
      <w:r>
        <w:rPr>
          <w:rFonts w:ascii="Calibri" w:cs="Calibri" w:eastAsia="Calibri" w:hAnsi="Calibri"/>
          <w:b w:val="false"/>
          <w:bCs w:val="false"/>
          <w:i w:val="false"/>
          <w:iCs w:val="false"/>
          <w:color w:val="20303C"/>
          <w:sz w:val="21"/>
          <w:szCs w:val="21"/>
        </w:rPr>
        <w:t xml:space="preserve">Tactic coverage spans the full chain: Reconnaissance, Initial Access, Execution, Persistence, Privilege Escalation, Defense Evasion, Credential Access, Discovery, Lateral Movement, Collection, Command and Control, Exfiltration and Impact, plus the container-specific Container Discovery and Escape-to-Host.</w:t>
      </w:r>
    </w:p>
    <w:p>
      <w:pPr>
        <w:pStyle w:val="Heading2"/>
        <w:spacing w:after="100" w:before="260"/>
      </w:pPr>
      <w:r>
        <w:rPr>
          <w:rFonts w:ascii="Calibri" w:cs="Calibri" w:eastAsia="Calibri" w:hAnsi="Calibri"/>
          <w:b/>
          <w:bCs/>
          <w:color w:val="1F7A8C"/>
          <w:sz w:val="24"/>
          <w:szCs w:val="24"/>
        </w:rPr>
        <w:t xml:space="preserve">3.2 Scenarios</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2100"/>
        <w:gridCol w:w="3660"/>
        <w:gridCol w:w="1800"/>
        <w:gridCol w:w="1800"/>
      </w:tblGrid>
      <w:tr>
        <w:trPr>
          <w:tblHeader/>
        </w:trPr>
        <w:tc>
          <w:tcPr>
            <w:tcW w:type="dxa" w:w="21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ID</w:t>
            </w:r>
          </w:p>
        </w:tc>
        <w:tc>
          <w:tcPr>
            <w:tcW w:type="dxa" w:w="36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Scenario</w:t>
            </w:r>
          </w:p>
        </w:tc>
        <w:tc>
          <w:tcPr>
            <w:tcW w:type="dxa" w:w="18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Mode</w:t>
            </w:r>
          </w:p>
        </w:tc>
        <w:tc>
          <w:tcPr>
            <w:tcW w:type="dxa" w:w="18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Difficulty</w:t>
            </w:r>
          </w:p>
        </w:tc>
      </w:tr>
      <w:tr>
        <w:trPr>
          <w:tblHeader w:val="false"/>
        </w:trPr>
        <w:tc>
          <w:tcPr>
            <w:tcW w:type="dxa" w:w="2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CR-RECON-001</w:t>
            </w:r>
          </w:p>
        </w:tc>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Reconnaissance and discovery</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solo</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introductory</w:t>
            </w:r>
          </w:p>
        </w:tc>
      </w:tr>
      <w:tr>
        <w:trPr>
          <w:tblHeader w:val="false"/>
        </w:trPr>
        <w:tc>
          <w:tcPr>
            <w:tcW w:type="dxa" w:w="2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CR-PHISH-001</w:t>
            </w:r>
          </w:p>
        </w:tc>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Phish to foothold</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intermediate</w:t>
            </w:r>
          </w:p>
        </w:tc>
      </w:tr>
      <w:tr>
        <w:trPr>
          <w:tblHeader w:val="false"/>
        </w:trPr>
        <w:tc>
          <w:tcPr>
            <w:tcW w:type="dxa" w:w="2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CR-IDENT-001</w:t>
            </w:r>
          </w:p>
        </w:tc>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Identity compromise</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intermediate</w:t>
            </w:r>
          </w:p>
        </w:tc>
      </w:tr>
      <w:tr>
        <w:trPr>
          <w:tblHeader w:val="false"/>
        </w:trPr>
        <w:tc>
          <w:tcPr>
            <w:tcW w:type="dxa" w:w="2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CR-LINUX-001</w:t>
            </w:r>
          </w:p>
        </w:tc>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Linux server intrusion</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intermediate</w:t>
            </w:r>
          </w:p>
        </w:tc>
      </w:tr>
      <w:tr>
        <w:trPr>
          <w:tblHeader w:val="false"/>
        </w:trPr>
        <w:tc>
          <w:tcPr>
            <w:tcW w:type="dxa" w:w="2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CR-PRIVESC-001</w:t>
            </w:r>
          </w:p>
        </w:tc>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Privilege escalation and evasion</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intermediate</w:t>
            </w:r>
          </w:p>
        </w:tc>
      </w:tr>
      <w:tr>
        <w:trPr>
          <w:tblHeader w:val="false"/>
        </w:trPr>
        <w:tc>
          <w:tcPr>
            <w:tcW w:type="dxa" w:w="2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CR-INSIDER-001</w:t>
            </w:r>
          </w:p>
        </w:tc>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Insider collection</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solo</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intermediate</w:t>
            </w:r>
          </w:p>
        </w:tc>
      </w:tr>
      <w:tr>
        <w:trPr>
          <w:tblHeader w:val="false"/>
        </w:trPr>
        <w:tc>
          <w:tcPr>
            <w:tcW w:type="dxa" w:w="2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CR-RANSOM-001</w:t>
            </w:r>
          </w:p>
        </w:tc>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Ransomware precursor</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advanced</w:t>
            </w:r>
          </w:p>
        </w:tc>
      </w:tr>
      <w:tr>
        <w:trPr>
          <w:tblHeader w:val="false"/>
        </w:trPr>
        <w:tc>
          <w:tcPr>
            <w:tcW w:type="dxa" w:w="2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CR-WEBAPP-001</w:t>
            </w:r>
          </w:p>
        </w:tc>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Web app intrusion</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advanced</w:t>
            </w:r>
          </w:p>
        </w:tc>
      </w:tr>
      <w:tr>
        <w:trPr>
          <w:tblHeader w:val="false"/>
        </w:trPr>
        <w:tc>
          <w:tcPr>
            <w:tcW w:type="dxa" w:w="2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CR-DOCKER-001</w:t>
            </w:r>
          </w:p>
        </w:tc>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Docker compromise</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red-blue</w:t>
            </w:r>
          </w:p>
        </w:tc>
        <w:tc>
          <w:tcPr>
            <w:tcW w:type="dxa" w:w="18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advanced</w:t>
            </w:r>
          </w:p>
        </w:tc>
      </w:tr>
      <w:tr>
        <w:trPr>
          <w:tblHeader w:val="false"/>
        </w:trPr>
        <w:tc>
          <w:tcPr>
            <w:tcW w:type="dxa" w:w="2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CR-PURPLE-001</w:t>
            </w:r>
          </w:p>
        </w:tc>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Purple detection sprint</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purple</w:t>
            </w:r>
          </w:p>
        </w:tc>
        <w:tc>
          <w:tcPr>
            <w:tcW w:type="dxa" w:w="18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advanced</w:t>
            </w:r>
          </w:p>
        </w:tc>
      </w:tr>
    </w:tbl>
    <w:p>
      <w:pPr>
        <w:spacing w:after="160"/>
      </w:pPr>
    </w:p>
    <w:p>
      <w:pPr>
        <w:spacing w:after="120" w:before="0" w:line="276"/>
        <w:jc w:val="left"/>
      </w:pPr>
      <w:r>
        <w:rPr>
          <w:rFonts w:ascii="Calibri" w:cs="Calibri" w:eastAsia="Calibri" w:hAnsi="Calibri"/>
          <w:b w:val="false"/>
          <w:bCs w:val="false"/>
          <w:i w:val="false"/>
          <w:iCs w:val="false"/>
          <w:color w:val="20303C"/>
          <w:sz w:val="21"/>
          <w:szCs w:val="21"/>
        </w:rPr>
        <w:t xml:space="preserve">Every scenario carries versioned content, a topology binding, role-specific objectives with point values, timed instructor injects, an expected-evidence list and a safety class.</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4. Execution model: what "real" means here</w:t>
      </w:r>
    </w:p>
    <w:p>
      <w:pPr>
        <w:spacing w:after="120" w:before="0" w:line="276"/>
        <w:jc w:val="left"/>
      </w:pPr>
      <w:r>
        <w:rPr>
          <w:rFonts w:ascii="Calibri" w:cs="Calibri" w:eastAsia="Calibri" w:hAnsi="Calibri"/>
          <w:b w:val="false"/>
          <w:bCs w:val="false"/>
          <w:i w:val="false"/>
          <w:iCs w:val="false"/>
          <w:color w:val="20303C"/>
          <w:sz w:val="21"/>
          <w:szCs w:val="21"/>
        </w:rPr>
        <w:t xml:space="preserve">Behavior modules run through an execution adapter, and every timeline event records which mode produced it. The dashboard tags each event as real or simulated, so an operator is never in doubt about the fidelity of what they are looking at.</w:t>
      </w:r>
    </w:p>
    <w:p>
      <w:pPr>
        <w:pStyle w:val="Heading2"/>
        <w:spacing w:after="100" w:before="260"/>
      </w:pPr>
      <w:r>
        <w:rPr>
          <w:rFonts w:ascii="Calibri" w:cs="Calibri" w:eastAsia="Calibri" w:hAnsi="Calibri"/>
          <w:b/>
          <w:bCs/>
          <w:color w:val="1F7A8C"/>
          <w:sz w:val="24"/>
          <w:szCs w:val="24"/>
        </w:rPr>
        <w:t xml:space="preserve">4.1 Container-backed real execution</w:t>
      </w:r>
    </w:p>
    <w:p>
      <w:pPr>
        <w:spacing w:after="120" w:before="0" w:line="276"/>
        <w:jc w:val="left"/>
      </w:pPr>
      <w:r>
        <w:rPr>
          <w:rFonts w:ascii="Calibri" w:cs="Calibri" w:eastAsia="Calibri" w:hAnsi="Calibri"/>
          <w:b w:val="false"/>
          <w:bCs w:val="false"/>
          <w:i w:val="false"/>
          <w:iCs w:val="false"/>
          <w:color w:val="20303C"/>
          <w:sz w:val="21"/>
          <w:szCs w:val="21"/>
        </w:rPr>
        <w:t xml:space="preserve">When a Docker daemon is reachable and a module carries an execution spec, the module command runs for real inside a throwaway container that is:</w:t>
      </w:r>
    </w:p>
    <w:p>
      <w:pPr>
        <w:pStyle w:val="ListParagraph"/>
        <w:numPr>
          <w:ilvl w:val="0"/>
          <w:numId w:val="3"/>
        </w:numPr>
        <w:spacing w:after="80" w:line="276"/>
      </w:pPr>
      <w:r>
        <w:rPr>
          <w:rFonts w:ascii="Calibri" w:cs="Calibri" w:eastAsia="Calibri" w:hAnsi="Calibri"/>
          <w:color w:val="20303C"/>
          <w:sz w:val="21"/>
          <w:szCs w:val="21"/>
        </w:rPr>
        <w:t xml:space="preserve">network-isolated for atomic runs;</w:t>
      </w:r>
    </w:p>
    <w:p>
      <w:pPr>
        <w:pStyle w:val="ListParagraph"/>
        <w:numPr>
          <w:ilvl w:val="0"/>
          <w:numId w:val="3"/>
        </w:numPr>
        <w:spacing w:after="80" w:line="276"/>
      </w:pPr>
      <w:r>
        <w:rPr>
          <w:rFonts w:ascii="Calibri" w:cs="Calibri" w:eastAsia="Calibri" w:hAnsi="Calibri"/>
          <w:color w:val="20303C"/>
          <w:sz w:val="21"/>
          <w:szCs w:val="21"/>
        </w:rPr>
        <w:t xml:space="preserve">memory, CPU and process-count capped;</w:t>
      </w:r>
    </w:p>
    <w:p>
      <w:pPr>
        <w:pStyle w:val="ListParagraph"/>
        <w:numPr>
          <w:ilvl w:val="0"/>
          <w:numId w:val="3"/>
        </w:numPr>
        <w:spacing w:after="80" w:line="276"/>
      </w:pPr>
      <w:r>
        <w:rPr>
          <w:rFonts w:ascii="Calibri" w:cs="Calibri" w:eastAsia="Calibri" w:hAnsi="Calibri"/>
          <w:color w:val="20303C"/>
          <w:sz w:val="21"/>
          <w:szCs w:val="21"/>
        </w:rPr>
        <w:t xml:space="preserve">started with no-new-privileges;</w:t>
      </w:r>
    </w:p>
    <w:p>
      <w:pPr>
        <w:pStyle w:val="ListParagraph"/>
        <w:numPr>
          <w:ilvl w:val="0"/>
          <w:numId w:val="3"/>
        </w:numPr>
        <w:spacing w:after="80" w:line="276"/>
      </w:pPr>
      <w:r>
        <w:rPr>
          <w:rFonts w:ascii="Calibri" w:cs="Calibri" w:eastAsia="Calibri" w:hAnsi="Calibri"/>
          <w:color w:val="20303C"/>
          <w:sz w:val="21"/>
          <w:szCs w:val="21"/>
        </w:rPr>
        <w:t xml:space="preserve">given no host mounts;</w:t>
      </w:r>
    </w:p>
    <w:p>
      <w:pPr>
        <w:pStyle w:val="ListParagraph"/>
        <w:numPr>
          <w:ilvl w:val="0"/>
          <w:numId w:val="3"/>
        </w:numPr>
        <w:spacing w:after="80" w:line="276"/>
      </w:pPr>
      <w:r>
        <w:rPr>
          <w:rFonts w:ascii="Calibri" w:cs="Calibri" w:eastAsia="Calibri" w:hAnsi="Calibri"/>
          <w:color w:val="20303C"/>
          <w:sz w:val="21"/>
          <w:szCs w:val="21"/>
        </w:rPr>
        <w:t xml:space="preserve">removed on exit;</w:t>
      </w:r>
    </w:p>
    <w:p>
      <w:pPr>
        <w:pStyle w:val="ListParagraph"/>
        <w:numPr>
          <w:ilvl w:val="0"/>
          <w:numId w:val="3"/>
        </w:numPr>
        <w:spacing w:after="80" w:line="276"/>
      </w:pPr>
      <w:r>
        <w:rPr>
          <w:rFonts w:ascii="Calibri" w:cs="Calibri" w:eastAsia="Calibri" w:hAnsi="Calibri"/>
          <w:color w:val="20303C"/>
          <w:sz w:val="21"/>
          <w:szCs w:val="21"/>
        </w:rPr>
        <w:t xml:space="preserve">bounded by a per-module timeout of 60 to 600 seconds depending on the module.</w:t>
      </w:r>
    </w:p>
    <w:p>
      <w:pPr>
        <w:spacing w:after="80"/>
      </w:pPr>
    </w:p>
    <w:p>
      <w:pPr>
        <w:spacing w:after="120" w:before="0" w:line="276"/>
        <w:jc w:val="left"/>
      </w:pPr>
      <w:r>
        <w:rPr>
          <w:rFonts w:ascii="Calibri" w:cs="Calibri" w:eastAsia="Calibri" w:hAnsi="Calibri"/>
          <w:b w:val="false"/>
          <w:bCs w:val="false"/>
          <w:i w:val="false"/>
          <w:iCs w:val="false"/>
          <w:color w:val="20303C"/>
          <w:sz w:val="21"/>
          <w:szCs w:val="21"/>
        </w:rPr>
        <w:t xml:space="preserve">The container actual stdout, stderr, exit code and timing are captured as timeline events. This is genuine telemetry from a genuine process, not a scripted transcript.</w:t>
      </w:r>
    </w:p>
    <w:p>
      <w:pPr>
        <w:pStyle w:val="Heading2"/>
        <w:spacing w:after="100" w:before="260"/>
      </w:pPr>
      <w:r>
        <w:rPr>
          <w:rFonts w:ascii="Calibri" w:cs="Calibri" w:eastAsia="Calibri" w:hAnsi="Calibri"/>
          <w:b/>
          <w:bCs/>
          <w:color w:val="1F7A8C"/>
          <w:sz w:val="24"/>
          <w:szCs w:val="24"/>
        </w:rPr>
        <w:t xml:space="preserve">4.2 Live container ranges: a persistent, connected target set</w:t>
      </w:r>
    </w:p>
    <w:p>
      <w:pPr>
        <w:spacing w:after="120" w:before="0" w:line="276"/>
        <w:jc w:val="left"/>
      </w:pPr>
      <w:r>
        <w:rPr>
          <w:rFonts w:ascii="Calibri" w:cs="Calibri" w:eastAsia="Calibri" w:hAnsi="Calibri"/>
          <w:b w:val="false"/>
          <w:bCs w:val="false"/>
          <w:i w:val="false"/>
          <w:iCs w:val="false"/>
          <w:color w:val="20303C"/>
          <w:sz w:val="21"/>
          <w:szCs w:val="21"/>
        </w:rPr>
        <w:t xml:space="preserve">With live ranges enabled, provisioning stands up a per-range internal network with no egress plus persistent hosts, and modules execute inside the victim host rather than in a throwaway container. Two consequences matter operationally:</w:t>
      </w:r>
    </w:p>
    <w:p>
      <w:pPr>
        <w:pStyle w:val="ListParagraph"/>
        <w:numPr>
          <w:ilvl w:val="0"/>
          <w:numId w:val="3"/>
        </w:numPr>
        <w:spacing w:after="80" w:line="276"/>
      </w:pPr>
      <w:r>
        <w:rPr>
          <w:rFonts w:ascii="Calibri" w:cs="Calibri" w:eastAsia="Calibri" w:hAnsi="Calibri"/>
          <w:b/>
          <w:bCs/>
          <w:sz w:val="21"/>
          <w:szCs w:val="21"/>
        </w:rPr>
        <w:t xml:space="preserve">A foothold persists across steps. </w:t>
      </w:r>
      <w:r>
        <w:rPr>
          <w:rFonts w:ascii="Calibri" w:cs="Calibri" w:eastAsia="Calibri" w:hAnsi="Calibri"/>
          <w:sz w:val="21"/>
          <w:szCs w:val="21"/>
        </w:rPr>
        <w:t xml:space="preserve">Files and processes written in one step are still there in the next, so an exercise is a real kill chain rather than a series of disconnected atomic actions.</w:t>
      </w:r>
    </w:p>
    <w:p>
      <w:pPr>
        <w:pStyle w:val="ListParagraph"/>
        <w:numPr>
          <w:ilvl w:val="0"/>
          <w:numId w:val="3"/>
        </w:numPr>
        <w:spacing w:after="80" w:line="276"/>
      </w:pPr>
      <w:r>
        <w:rPr>
          <w:rFonts w:ascii="Calibri" w:cs="Calibri" w:eastAsia="Calibri" w:hAnsi="Calibri"/>
          <w:b/>
          <w:bCs/>
          <w:sz w:val="21"/>
          <w:szCs w:val="21"/>
        </w:rPr>
        <w:t xml:space="preserve">Targets are reachable across the range network. </w:t>
      </w:r>
      <w:r>
        <w:rPr>
          <w:rFonts w:ascii="Calibri" w:cs="Calibri" w:eastAsia="Calibri" w:hAnsi="Calibri"/>
          <w:sz w:val="21"/>
          <w:szCs w:val="21"/>
        </w:rPr>
        <w:t xml:space="preserve">The victim can reach a web application target, so behaviors traverse a connected environment.</w:t>
      </w:r>
    </w:p>
    <w:p>
      <w:pPr>
        <w:spacing w:after="80"/>
      </w:pPr>
    </w:p>
    <w:p>
      <w:pPr>
        <w:spacing w:after="120" w:before="0" w:line="276"/>
        <w:jc w:val="left"/>
      </w:pPr>
      <w:r>
        <w:rPr>
          <w:rFonts w:ascii="Calibri" w:cs="Calibri" w:eastAsia="Calibri" w:hAnsi="Calibri"/>
          <w:b w:val="false"/>
          <w:bCs w:val="false"/>
          <w:i w:val="false"/>
          <w:iCs w:val="false"/>
          <w:color w:val="20303C"/>
          <w:sz w:val="21"/>
          <w:szCs w:val="21"/>
        </w:rPr>
        <w:t xml:space="preserve">Identity scenarios additionally stand up a real LDAP directory seeded with synthetic domain users, giving a genuine directory-enumeration attack surface (T1087) rather than a simulated one. This is a Linux identity stand-in and is described as such in the product, not as a Windows Active Directory domain controller.</w:t>
      </w:r>
    </w:p>
    <w:p>
      <w:pPr>
        <w:spacing w:after="120" w:before="0" w:line="276"/>
        <w:jc w:val="left"/>
      </w:pPr>
      <w:r>
        <w:rPr>
          <w:rFonts w:ascii="Calibri" w:cs="Calibri" w:eastAsia="Calibri" w:hAnsi="Calibri"/>
          <w:b w:val="false"/>
          <w:bCs w:val="false"/>
          <w:i w:val="false"/>
          <w:iCs w:val="false"/>
          <w:color w:val="20303C"/>
          <w:sz w:val="21"/>
          <w:szCs w:val="21"/>
        </w:rPr>
        <w:t xml:space="preserve">Range operations: reset recycles targets to a clean state while keeping the range and its network; destroy removes all containers and the network. Every artifact is labelled by range ID, runs non-privileged, and is resource-capped.</w:t>
      </w:r>
    </w:p>
    <w:p>
      <w:pPr>
        <w:pStyle w:val="Heading2"/>
        <w:spacing w:after="100" w:before="260"/>
      </w:pPr>
      <w:r>
        <w:rPr>
          <w:rFonts w:ascii="Calibri" w:cs="Calibri" w:eastAsia="Calibri" w:hAnsi="Calibri"/>
          <w:b/>
          <w:bCs/>
          <w:color w:val="1F7A8C"/>
          <w:sz w:val="24"/>
          <w:szCs w:val="24"/>
        </w:rPr>
        <w:t xml:space="preserve">4.3 Graceful degradation</w:t>
      </w:r>
    </w:p>
    <w:p>
      <w:pPr>
        <w:spacing w:after="120" w:before="0" w:line="276"/>
        <w:jc w:val="left"/>
      </w:pPr>
      <w:r>
        <w:rPr>
          <w:rFonts w:ascii="Calibri" w:cs="Calibri" w:eastAsia="Calibri" w:hAnsi="Calibri"/>
          <w:b w:val="false"/>
          <w:bCs w:val="false"/>
          <w:i w:val="false"/>
          <w:iCs w:val="false"/>
          <w:color w:val="20303C"/>
          <w:sz w:val="21"/>
          <w:szCs w:val="21"/>
        </w:rPr>
        <w:t xml:space="preserve">Modules without an execution spec, and any deployment without a Docker daemon, fall back to the simulated adapter, which emits the telemetry the module declares it would produce. The platform never fails an exercise because the execution tier is unavailable. It degrades, and it labels the degradation.</w:t>
      </w:r>
    </w:p>
    <w:p>
      <w:pPr>
        <w:pStyle w:val="Heading2"/>
        <w:spacing w:after="100" w:before="260"/>
      </w:pPr>
      <w:r>
        <w:rPr>
          <w:rFonts w:ascii="Calibri" w:cs="Calibri" w:eastAsia="Calibri" w:hAnsi="Calibri"/>
          <w:b/>
          <w:bCs/>
          <w:color w:val="1F7A8C"/>
          <w:sz w:val="24"/>
          <w:szCs w:val="24"/>
        </w:rPr>
        <w:t xml:space="preserve">4.4 Roadmap: full VM and Windows / Active Directory targets</w:t>
      </w:r>
    </w:p>
    <w:tbl>
      <w:tblPr>
        <w:tblW w:type="dxa" w:w="9360"/>
        <w:tblBorders>
          <w:top w:val="single" w:color="C9D6DE" w:sz="2"/>
          <w:left w:val="single" w:color="1F7A8C" w:sz="18"/>
          <w:bottom w:val="single" w:color="C9D6DE" w:sz="2"/>
          <w:right w:val="single" w:color="C9D6DE" w:sz="2"/>
          <w:insideH w:val="none"/>
          <w:insideV w:val="none"/>
        </w:tblBorders>
      </w:tblPr>
      <w:tblGrid>
        <w:gridCol w:w="9360"/>
      </w:tblGrid>
      <w:tr>
        <w:tc>
          <w:tcPr>
            <w:tcW w:type="dxa" w:w="9360"/>
            <w:shd w:fill="F6FAFB" w:color="auto" w:val="clear"/>
            <w:tcMar>
              <w:top w:type="dxa" w:w="120"/>
              <w:left w:type="dxa" w:w="180"/>
              <w:bottom w:type="dxa" w:w="120"/>
              <w:right w:type="dxa" w:w="160"/>
            </w:tcMar>
          </w:tcPr>
          <w:p>
            <w:pPr>
              <w:spacing w:after="60" w:before="60"/>
            </w:pPr>
            <w:r>
              <w:rPr>
                <w:rFonts w:ascii="Calibri" w:cs="Calibri" w:eastAsia="Calibri" w:hAnsi="Calibri"/>
                <w:b/>
                <w:bCs/>
                <w:color w:val="0F3B57"/>
                <w:sz w:val="20"/>
                <w:szCs w:val="20"/>
              </w:rPr>
              <w:t xml:space="preserve">Roadmap item, not shipping capability</w:t>
            </w:r>
          </w:p>
          <w:p>
            <w:pPr>
              <w:spacing w:after="60" w:line="264"/>
            </w:pPr>
            <w:r>
              <w:rPr>
                <w:rFonts w:ascii="Calibri" w:cs="Calibri" w:eastAsia="Calibri" w:hAnsi="Calibri"/>
                <w:color w:val="20303C"/>
                <w:sz w:val="20"/>
                <w:szCs w:val="20"/>
              </w:rPr>
              <w:t xml:space="preserve">Real Windows endpoints and a real Active Directory domain (Kerberos, SMB, Group Policy) require full virtual machines and a hypervisor. That tier is a documented integration seam against KVM, Proxmox and VMware, and is operator-hosted. It is on the delivery roadmap and is not part of the shipping container tier.</w:t>
            </w:r>
          </w:p>
        </w:tc>
      </w:tr>
    </w:tbl>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5. Detection, telemetry and the SOC experience</w:t>
      </w:r>
    </w:p>
    <w:p>
      <w:pPr>
        <w:pStyle w:val="Heading2"/>
        <w:spacing w:after="100" w:before="260"/>
      </w:pPr>
      <w:r>
        <w:rPr>
          <w:rFonts w:ascii="Calibri" w:cs="Calibri" w:eastAsia="Calibri" w:hAnsi="Calibri"/>
          <w:b/>
          <w:bCs/>
          <w:color w:val="1F7A8C"/>
          <w:sz w:val="24"/>
          <w:szCs w:val="24"/>
        </w:rPr>
        <w:t xml:space="preserve">5.1 Automatic detection engine</w:t>
      </w:r>
    </w:p>
    <w:p>
      <w:pPr>
        <w:spacing w:after="120" w:before="0" w:line="276"/>
        <w:jc w:val="left"/>
      </w:pPr>
      <w:r>
        <w:rPr>
          <w:rFonts w:ascii="Calibri" w:cs="Calibri" w:eastAsia="Calibri" w:hAnsi="Calibri"/>
          <w:b w:val="false"/>
          <w:bCs w:val="false"/>
          <w:i w:val="false"/>
          <w:iCs w:val="false"/>
          <w:color w:val="20303C"/>
          <w:sz w:val="21"/>
          <w:szCs w:val="21"/>
        </w:rPr>
        <w:t xml:space="preserve">When a module runs, the detection engine evaluates versioned, Sigma-style rules against the timeline, including the real container output, and records verdicts without human input:</w:t>
      </w:r>
    </w:p>
    <w:p>
      <w:pPr>
        <w:pStyle w:val="ListParagraph"/>
        <w:numPr>
          <w:ilvl w:val="0"/>
          <w:numId w:val="3"/>
        </w:numPr>
        <w:spacing w:after="80" w:line="276"/>
      </w:pPr>
      <w:r>
        <w:rPr>
          <w:rFonts w:ascii="Calibri" w:cs="Calibri" w:eastAsia="Calibri" w:hAnsi="Calibri"/>
          <w:b/>
          <w:bCs/>
          <w:sz w:val="21"/>
          <w:szCs w:val="21"/>
        </w:rPr>
        <w:t xml:space="preserve">Log-basis rules (12 of 15) </w:t>
      </w:r>
      <w:r>
        <w:rPr>
          <w:rFonts w:ascii="Calibri" w:cs="Calibri" w:eastAsia="Calibri" w:hAnsi="Calibri"/>
          <w:sz w:val="21"/>
          <w:szCs w:val="21"/>
        </w:rPr>
        <w:t xml:space="preserve">regex-match real captured log lines, for example a rule that fires on a root-privilege string or a nested shell spawn produced by an actual container. These are marked real on the timeline.</w:t>
      </w:r>
    </w:p>
    <w:p>
      <w:pPr>
        <w:pStyle w:val="ListParagraph"/>
        <w:numPr>
          <w:ilvl w:val="0"/>
          <w:numId w:val="3"/>
        </w:numPr>
        <w:spacing w:after="80" w:line="276"/>
      </w:pPr>
      <w:r>
        <w:rPr>
          <w:rFonts w:ascii="Calibri" w:cs="Calibri" w:eastAsia="Calibri" w:hAnsi="Calibri"/>
          <w:b/>
          <w:bCs/>
          <w:sz w:val="21"/>
          <w:szCs w:val="21"/>
        </w:rPr>
        <w:t xml:space="preserve">Technique-basis rules (3 of 15) </w:t>
      </w:r>
      <w:r>
        <w:rPr>
          <w:rFonts w:ascii="Calibri" w:cs="Calibri" w:eastAsia="Calibri" w:hAnsi="Calibri"/>
          <w:sz w:val="21"/>
          <w:szCs w:val="21"/>
        </w:rPr>
        <w:t xml:space="preserve">provide coverage for behaviors that are simulated rather than executed.</w:t>
      </w:r>
    </w:p>
    <w:p>
      <w:pPr>
        <w:spacing w:after="80"/>
      </w:pPr>
    </w:p>
    <w:p>
      <w:pPr>
        <w:spacing w:after="120" w:before="0" w:line="276"/>
        <w:jc w:val="left"/>
      </w:pPr>
      <w:r>
        <w:rPr>
          <w:rFonts w:ascii="Calibri" w:cs="Calibri" w:eastAsia="Calibri" w:hAnsi="Calibri"/>
          <w:b w:val="false"/>
          <w:bCs w:val="false"/>
          <w:i w:val="false"/>
          <w:iCs w:val="false"/>
          <w:color w:val="20303C"/>
          <w:sz w:val="21"/>
          <w:szCs w:val="21"/>
        </w:rPr>
        <w:t xml:space="preserve">Each detection records which rule fired, which evidence line matched, the severity, and the latency from activity to verdict. Detections land on the shared timeline and feed both detected-coverage reporting and scoring. A blue analyst can still add a manual verdict, but the automatic baseline exists whether or not anyone touches it.</w:t>
      </w:r>
    </w:p>
    <w:p>
      <w:pPr>
        <w:pStyle w:val="Heading2"/>
        <w:spacing w:after="100" w:before="260"/>
      </w:pPr>
      <w:r>
        <w:rPr>
          <w:rFonts w:ascii="Calibri" w:cs="Calibri" w:eastAsia="Calibri" w:hAnsi="Calibri"/>
          <w:b/>
          <w:bCs/>
          <w:color w:val="1F7A8C"/>
          <w:sz w:val="24"/>
          <w:szCs w:val="24"/>
        </w:rPr>
        <w:t xml:space="preserve">5.2 SOC log search with fog of war</w:t>
      </w:r>
    </w:p>
    <w:p>
      <w:pPr>
        <w:spacing w:after="120" w:before="0" w:line="276"/>
        <w:jc w:val="left"/>
      </w:pPr>
      <w:r>
        <w:rPr>
          <w:rFonts w:ascii="Calibri" w:cs="Calibri" w:eastAsia="Calibri" w:hAnsi="Calibri"/>
          <w:b w:val="false"/>
          <w:bCs w:val="false"/>
          <w:i w:val="false"/>
          <w:iCs w:val="false"/>
          <w:color w:val="20303C"/>
          <w:sz w:val="21"/>
          <w:szCs w:val="21"/>
        </w:rPr>
        <w:t xml:space="preserve">Blue analysts work from a SIEM-style search console over the exercise log store, with free-text matching across the log line, source, actor and event kind, plus filters by source and kind.</w:t>
      </w:r>
    </w:p>
    <w:p>
      <w:pPr>
        <w:spacing w:after="120" w:before="0" w:line="276"/>
        <w:jc w:val="left"/>
      </w:pPr>
      <w:r>
        <w:rPr>
          <w:rFonts w:ascii="Calibri" w:cs="Calibri" w:eastAsia="Calibri" w:hAnsi="Calibri"/>
          <w:b w:val="false"/>
          <w:bCs w:val="false"/>
          <w:i w:val="false"/>
          <w:iCs w:val="false"/>
          <w:color w:val="20303C"/>
          <w:sz w:val="21"/>
          <w:szCs w:val="21"/>
        </w:rPr>
        <w:t xml:space="preserve">Critically, the defender view is redacted. Blue does not see "red ran module CR-MOD-DOCKER-RUNTIME-001 (T1610)". The platform strips technique attribution, module identifiers, executed command lines, safety class and adapter metadata from the defender view, and relabels the event source from the attacker tooling to the affected asset.</w:t>
      </w:r>
    </w:p>
    <w:p>
      <w:pPr>
        <w:spacing w:after="60"/>
      </w:pPr>
    </w:p>
    <w:tbl>
      <w:tblPr>
        <w:tblW w:type="dxa" w:w="9360"/>
        <w:tblBorders>
          <w:top w:val="single" w:color="C9D6DE" w:sz="2"/>
          <w:left w:val="single" w:color="1F7A8C" w:sz="18"/>
          <w:bottom w:val="single" w:color="C9D6DE" w:sz="2"/>
          <w:right w:val="single" w:color="C9D6DE" w:sz="2"/>
          <w:insideH w:val="none"/>
          <w:insideV w:val="none"/>
        </w:tblBorders>
      </w:tblPr>
      <w:tblGrid>
        <w:gridCol w:w="9360"/>
      </w:tblGrid>
      <w:tr>
        <w:tc>
          <w:tcPr>
            <w:tcW w:type="dxa" w:w="9360"/>
            <w:shd w:fill="F6FAFB" w:color="auto" w:val="clear"/>
            <w:tcMar>
              <w:top w:type="dxa" w:w="120"/>
              <w:left w:type="dxa" w:w="180"/>
              <w:bottom w:type="dxa" w:w="120"/>
              <w:right w:type="dxa" w:w="160"/>
            </w:tcMar>
          </w:tcPr>
          <w:p>
            <w:pPr>
              <w:spacing w:after="60" w:before="60"/>
            </w:pPr>
            <w:r>
              <w:rPr>
                <w:rFonts w:ascii="Calibri" w:cs="Calibri" w:eastAsia="Calibri" w:hAnsi="Calibri"/>
                <w:b/>
                <w:bCs/>
                <w:color w:val="0F3B57"/>
                <w:sz w:val="20"/>
                <w:szCs w:val="20"/>
              </w:rPr>
              <w:t xml:space="preserve">Why this is the differentiator</w:t>
            </w:r>
          </w:p>
          <w:p>
            <w:pPr>
              <w:spacing w:after="60" w:line="264"/>
            </w:pPr>
            <w:r>
              <w:rPr>
                <w:rFonts w:ascii="Calibri" w:cs="Calibri" w:eastAsia="Calibri" w:hAnsi="Calibri"/>
                <w:color w:val="20303C"/>
                <w:sz w:val="20"/>
                <w:szCs w:val="20"/>
              </w:rPr>
              <w:t xml:space="preserve">The redaction happens at the query layer, not by asking participants not to look. Blue sees a host emitting log lines and an alert firing, and has to work out the rest. That is the difference between an exercise and a demonstration, and it is what makes a measured detection score mean something.</w:t>
            </w:r>
          </w:p>
        </w:tc>
      </w:tr>
    </w:tbl>
    <w:p>
      <w:pPr>
        <w:pStyle w:val="Heading2"/>
        <w:spacing w:after="100" w:before="260"/>
      </w:pPr>
      <w:r>
        <w:rPr>
          <w:rFonts w:ascii="Calibri" w:cs="Calibri" w:eastAsia="Calibri" w:hAnsi="Calibri"/>
          <w:b/>
          <w:bCs/>
          <w:color w:val="1F7A8C"/>
          <w:sz w:val="24"/>
          <w:szCs w:val="24"/>
        </w:rPr>
        <w:t xml:space="preserve">5.3 Evidence timeline</w:t>
      </w:r>
    </w:p>
    <w:p>
      <w:pPr>
        <w:spacing w:after="120" w:before="0" w:line="276"/>
        <w:jc w:val="left"/>
      </w:pPr>
      <w:r>
        <w:rPr>
          <w:rFonts w:ascii="Calibri" w:cs="Calibri" w:eastAsia="Calibri" w:hAnsi="Calibri"/>
          <w:b w:val="false"/>
          <w:bCs w:val="false"/>
          <w:i w:val="false"/>
          <w:iCs w:val="false"/>
          <w:color w:val="20303C"/>
          <w:sz w:val="21"/>
          <w:szCs w:val="21"/>
        </w:rPr>
        <w:t xml:space="preserve">All activity lands on one synchronized UTC timeline with integrity hashes, shared across roles, covering module execution, real process output, detections, instructor injects and analyst evidence submissions. Evidence can be locked at exercise completion, giving an immutable record for after-action review or accreditation.</w:t>
      </w:r>
    </w:p>
    <w:p>
      <w:pPr>
        <w:pStyle w:val="Heading2"/>
        <w:spacing w:after="100" w:before="260"/>
      </w:pPr>
      <w:r>
        <w:rPr>
          <w:rFonts w:ascii="Calibri" w:cs="Calibri" w:eastAsia="Calibri" w:hAnsi="Calibri"/>
          <w:b/>
          <w:bCs/>
          <w:color w:val="1F7A8C"/>
          <w:sz w:val="24"/>
          <w:szCs w:val="24"/>
        </w:rPr>
        <w:t xml:space="preserve">5.4 Real SIEM integration (optional, shipping today)</w:t>
      </w:r>
    </w:p>
    <w:p>
      <w:pPr>
        <w:spacing w:after="120" w:before="0" w:line="276"/>
        <w:jc w:val="left"/>
      </w:pPr>
      <w:r>
        <w:rPr>
          <w:rFonts w:ascii="Calibri" w:cs="Calibri" w:eastAsia="Calibri" w:hAnsi="Calibri"/>
          <w:b w:val="false"/>
          <w:bCs w:val="false"/>
          <w:i w:val="false"/>
          <w:iCs w:val="false"/>
          <w:color w:val="20303C"/>
          <w:sz w:val="21"/>
          <w:szCs w:val="21"/>
        </w:rPr>
        <w:t xml:space="preserve">For customers who want detection to happen in a real SIEM rather than the built-in engine, the platform ships a full Wazuh deployment comprising manager, indexer and dashboard. With SIEM ingest enabled, every event is streamed as JSON to a file a Wazuh agent tails, the Wazuh manager evaluates CyberRange detection rules and raises genuine alerts, and a forwarder posts those alerts back onto the exercise timeline. The alerts are simultaneously visible in the Wazuh dashboard.</w:t>
      </w:r>
    </w:p>
    <w:p>
      <w:pPr>
        <w:spacing w:after="120" w:before="0" w:line="276"/>
        <w:jc w:val="left"/>
      </w:pPr>
      <w:r>
        <w:rPr>
          <w:rFonts w:ascii="Calibri" w:cs="Calibri" w:eastAsia="Calibri" w:hAnsi="Calibri"/>
          <w:b w:val="false"/>
          <w:bCs w:val="false"/>
          <w:i w:val="false"/>
          <w:iCs w:val="false"/>
          <w:color w:val="20303C"/>
          <w:sz w:val="21"/>
          <w:szCs w:val="21"/>
        </w:rPr>
        <w:t xml:space="preserve">This requires a Docker host with roughly 4 GB of RAM for the indexer. The telemetry contract is normalized, so substituting Elastic, Sentinel, Splunk or an existing customer SOC stack is an adapter exercise rather than a redesign.</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6. Scoring and reporting</w:t>
      </w:r>
    </w:p>
    <w:p>
      <w:pPr>
        <w:pStyle w:val="Heading2"/>
        <w:spacing w:after="100" w:before="260"/>
      </w:pPr>
      <w:r>
        <w:rPr>
          <w:rFonts w:ascii="Calibri" w:cs="Calibri" w:eastAsia="Calibri" w:hAnsi="Calibri"/>
          <w:b/>
          <w:bCs/>
          <w:color w:val="1F7A8C"/>
          <w:sz w:val="24"/>
          <w:szCs w:val="24"/>
        </w:rPr>
        <w:t xml:space="preserve">6.1 Explainable scoring</w:t>
      </w:r>
    </w:p>
    <w:p>
      <w:pPr>
        <w:spacing w:after="120" w:before="0" w:line="276"/>
        <w:jc w:val="left"/>
      </w:pPr>
      <w:r>
        <w:rPr>
          <w:rFonts w:ascii="Calibri" w:cs="Calibri" w:eastAsia="Calibri" w:hAnsi="Calibri"/>
          <w:b w:val="false"/>
          <w:bCs w:val="false"/>
          <w:i w:val="false"/>
          <w:iCs w:val="false"/>
          <w:color w:val="20303C"/>
          <w:sz w:val="21"/>
          <w:szCs w:val="21"/>
        </w:rPr>
        <w:t xml:space="preserve">Score is a weighted sum of five dimensions, minus safety and policy penalties.</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2300"/>
        <w:gridCol w:w="1100"/>
        <w:gridCol w:w="5960"/>
      </w:tblGrid>
      <w:tr>
        <w:trPr>
          <w:tblHeader/>
        </w:trPr>
        <w:tc>
          <w:tcPr>
            <w:tcW w:type="dxa" w:w="23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Dimension</w:t>
            </w:r>
          </w:p>
        </w:tc>
        <w:tc>
          <w:tcPr>
            <w:tcW w:type="dxa" w:w="11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Weight</w:t>
            </w:r>
          </w:p>
        </w:tc>
        <w:tc>
          <w:tcPr>
            <w:tcW w:type="dxa" w:w="59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Measures</w:t>
            </w:r>
          </w:p>
        </w:tc>
      </w:tr>
      <w:tr>
        <w:trPr>
          <w:tblHeader w:val="false"/>
        </w:trPr>
        <w:tc>
          <w:tcPr>
            <w:tcW w:type="dxa" w:w="23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Red execution</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25%</w:t>
            </w:r>
          </w:p>
        </w:tc>
        <w:tc>
          <w:tcPr>
            <w:tcW w:type="dxa" w:w="59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Objective completion, evidence quality, path efficiency, operational discipline</w:t>
            </w:r>
          </w:p>
        </w:tc>
      </w:tr>
      <w:tr>
        <w:trPr>
          <w:tblHeader w:val="false"/>
        </w:trPr>
        <w:tc>
          <w:tcPr>
            <w:tcW w:type="dxa" w:w="23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Detection</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25%</w:t>
            </w:r>
          </w:p>
        </w:tc>
        <w:tc>
          <w:tcPr>
            <w:tcW w:type="dxa" w:w="59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Coverage, signal quality, mean time to detect, correct technique attribution</w:t>
            </w:r>
          </w:p>
        </w:tc>
      </w:tr>
      <w:tr>
        <w:trPr>
          <w:tblHeader w:val="false"/>
        </w:trPr>
        <w:tc>
          <w:tcPr>
            <w:tcW w:type="dxa" w:w="23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Investigation</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20%</w:t>
            </w:r>
          </w:p>
        </w:tc>
        <w:tc>
          <w:tcPr>
            <w:tcW w:type="dxa" w:w="59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Scope accuracy, hypothesis quality, timeline completeness, evidence handling</w:t>
            </w:r>
          </w:p>
        </w:tc>
      </w:tr>
      <w:tr>
        <w:trPr>
          <w:tblHeader w:val="false"/>
        </w:trPr>
        <w:tc>
          <w:tcPr>
            <w:tcW w:type="dxa" w:w="23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Response</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20%</w:t>
            </w:r>
          </w:p>
        </w:tc>
        <w:tc>
          <w:tcPr>
            <w:tcW w:type="dxa" w:w="59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Mean time to respond, containment correctness, service impact, recovery validation</w:t>
            </w:r>
          </w:p>
        </w:tc>
      </w:tr>
      <w:tr>
        <w:trPr>
          <w:tblHeader w:val="false"/>
        </w:trPr>
        <w:tc>
          <w:tcPr>
            <w:tcW w:type="dxa" w:w="23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Collaboration</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10%</w:t>
            </w:r>
          </w:p>
        </w:tc>
        <w:tc>
          <w:tcPr>
            <w:tcW w:type="dxa" w:w="59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Communication, handoffs, documentation, rules-of-engagement compliance</w:t>
            </w:r>
          </w:p>
        </w:tc>
      </w:tr>
    </w:tbl>
    <w:p>
      <w:pPr>
        <w:spacing w:after="160"/>
      </w:pPr>
    </w:p>
    <w:p>
      <w:pPr>
        <w:spacing w:after="120" w:before="0" w:line="276"/>
        <w:jc w:val="left"/>
      </w:pPr>
      <w:r>
        <w:rPr>
          <w:rFonts w:ascii="Calibri" w:cs="Calibri" w:eastAsia="Calibri" w:hAnsi="Calibri"/>
          <w:b w:val="false"/>
          <w:bCs w:val="false"/>
          <w:i w:val="false"/>
          <w:iCs w:val="false"/>
          <w:color w:val="20303C"/>
          <w:sz w:val="21"/>
          <w:szCs w:val="21"/>
        </w:rPr>
        <w:t xml:space="preserve">The scoring response returns every dimension raw score, its weight and its contribution, alongside each penalty and each override. Every input is explainable and every instructor override is audited with a named instructor and a written justification. The platform also derives dimension scores directly from observed exercise activity, so a score exists before any human judgement is applied.</w:t>
      </w:r>
    </w:p>
    <w:p>
      <w:pPr>
        <w:pStyle w:val="Heading2"/>
        <w:spacing w:after="100" w:before="260"/>
      </w:pPr>
      <w:r>
        <w:rPr>
          <w:rFonts w:ascii="Calibri" w:cs="Calibri" w:eastAsia="Calibri" w:hAnsi="Calibri"/>
          <w:b/>
          <w:bCs/>
          <w:color w:val="1F7A8C"/>
          <w:sz w:val="24"/>
          <w:szCs w:val="24"/>
        </w:rPr>
        <w:t xml:space="preserve">6.2 Purple replay comparison</w:t>
      </w:r>
    </w:p>
    <w:p>
      <w:pPr>
        <w:spacing w:after="120" w:before="0" w:line="276"/>
        <w:jc w:val="left"/>
      </w:pPr>
      <w:r>
        <w:rPr>
          <w:rFonts w:ascii="Calibri" w:cs="Calibri" w:eastAsia="Calibri" w:hAnsi="Calibri"/>
          <w:b w:val="false"/>
          <w:bCs w:val="false"/>
          <w:i w:val="false"/>
          <w:iCs w:val="false"/>
          <w:color w:val="20303C"/>
          <w:sz w:val="21"/>
          <w:szCs w:val="21"/>
        </w:rPr>
        <w:t xml:space="preserve">Purple exercises are reported as a baseline-to-replay coverage delta, per technique and in aggregate, never as win or lose. The question the report answers is whether a control improvement changed detection coverage for a given technique, which is the only question that drives tuning.</w:t>
      </w:r>
    </w:p>
    <w:p>
      <w:pPr>
        <w:pStyle w:val="Heading2"/>
        <w:spacing w:after="100" w:before="260"/>
      </w:pPr>
      <w:r>
        <w:rPr>
          <w:rFonts w:ascii="Calibri" w:cs="Calibri" w:eastAsia="Calibri" w:hAnsi="Calibri"/>
          <w:b/>
          <w:bCs/>
          <w:color w:val="1F7A8C"/>
          <w:sz w:val="24"/>
          <w:szCs w:val="24"/>
        </w:rPr>
        <w:t xml:space="preserve">6.3 After-action reporting</w:t>
      </w:r>
    </w:p>
    <w:p>
      <w:pPr>
        <w:spacing w:after="120" w:before="0" w:line="276"/>
        <w:jc w:val="left"/>
      </w:pPr>
      <w:r>
        <w:rPr>
          <w:rFonts w:ascii="Calibri" w:cs="Calibri" w:eastAsia="Calibri" w:hAnsi="Calibri"/>
          <w:b w:val="false"/>
          <w:bCs w:val="false"/>
          <w:i w:val="false"/>
          <w:iCs w:val="false"/>
          <w:color w:val="20303C"/>
          <w:sz w:val="21"/>
          <w:szCs w:val="21"/>
        </w:rPr>
        <w:t xml:space="preserve">Reports cover technique coverage, detection gaps, evidence inventory and recommendations, and export in four formats.</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1500"/>
        <w:gridCol w:w="4200"/>
        <w:gridCol w:w="3660"/>
      </w:tblGrid>
      <w:tr>
        <w:trPr>
          <w:tblHeader/>
        </w:trPr>
        <w:tc>
          <w:tcPr>
            <w:tcW w:type="dxa" w:w="15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Format</w:t>
            </w:r>
          </w:p>
        </w:tc>
        <w:tc>
          <w:tcPr>
            <w:tcW w:type="dxa" w:w="42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Endpoint</w:t>
            </w:r>
          </w:p>
        </w:tc>
        <w:tc>
          <w:tcPr>
            <w:tcW w:type="dxa" w:w="36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Use</w:t>
            </w:r>
          </w:p>
        </w:tc>
      </w:tr>
      <w:tr>
        <w:trPr>
          <w:tblHeader w:val="false"/>
        </w:trPr>
        <w:tc>
          <w:tcPr>
            <w:tcW w:type="dxa" w:w="1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JSON</w:t>
            </w:r>
          </w:p>
        </w:tc>
        <w:tc>
          <w:tcPr>
            <w:tcW w:type="dxa" w:w="42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/api/exercises/{id}/report.json</w:t>
            </w:r>
          </w:p>
        </w:tc>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Machine ingestion, downstream analytics</w:t>
            </w:r>
          </w:p>
        </w:tc>
      </w:tr>
      <w:tr>
        <w:trPr>
          <w:tblHeader w:val="false"/>
        </w:trPr>
        <w:tc>
          <w:tcPr>
            <w:tcW w:type="dxa" w:w="1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CSV</w:t>
            </w:r>
          </w:p>
        </w:tc>
        <w:tc>
          <w:tcPr>
            <w:tcW w:type="dxa" w:w="42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/api/exercises/{id}/report.csv</w:t>
            </w:r>
          </w:p>
        </w:tc>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Spreadsheet analysis</w:t>
            </w:r>
          </w:p>
        </w:tc>
      </w:tr>
      <w:tr>
        <w:trPr>
          <w:tblHeader w:val="false"/>
        </w:trPr>
        <w:tc>
          <w:tcPr>
            <w:tcW w:type="dxa" w:w="1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HTML</w:t>
            </w:r>
          </w:p>
        </w:tc>
        <w:tc>
          <w:tcPr>
            <w:tcW w:type="dxa" w:w="42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/api/exercises/{id}/report.html</w:t>
            </w:r>
          </w:p>
        </w:tc>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Share or print</w:t>
            </w:r>
          </w:p>
        </w:tc>
      </w:tr>
      <w:tr>
        <w:trPr>
          <w:tblHeader w:val="false"/>
        </w:trPr>
        <w:tc>
          <w:tcPr>
            <w:tcW w:type="dxa" w:w="1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DOCX</w:t>
            </w:r>
          </w:p>
        </w:tc>
        <w:tc>
          <w:tcPr>
            <w:tcW w:type="dxa" w:w="42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/api/exercises/{id}/report.docx</w:t>
            </w:r>
          </w:p>
        </w:tc>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Formal deliverable for management or accreditation</w:t>
            </w:r>
          </w:p>
        </w:tc>
      </w:tr>
    </w:tbl>
    <w:p>
      <w:pPr>
        <w:spacing w:after="140"/>
      </w:pPr>
    </w:p>
    <w:p>
      <w:pPr>
        <w:spacing w:after="120" w:before="0" w:line="276"/>
        <w:jc w:val="left"/>
      </w:pPr>
      <w:r>
        <w:rPr>
          <w:rFonts w:ascii="Calibri" w:cs="Calibri" w:eastAsia="Calibri" w:hAnsi="Calibri"/>
          <w:b w:val="false"/>
          <w:bCs w:val="false"/>
          <w:i w:val="false"/>
          <w:iCs w:val="false"/>
          <w:color w:val="20303C"/>
          <w:sz w:val="21"/>
          <w:szCs w:val="21"/>
        </w:rPr>
        <w:t xml:space="preserve">Class gradebooks export to CSV separately.</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7. Roles and access control</w:t>
      </w:r>
    </w:p>
    <w:p>
      <w:pPr>
        <w:spacing w:after="120" w:before="0" w:line="276"/>
        <w:jc w:val="left"/>
      </w:pPr>
      <w:r>
        <w:rPr>
          <w:rFonts w:ascii="Calibri" w:cs="Calibri" w:eastAsia="Calibri" w:hAnsi="Calibri"/>
          <w:b w:val="false"/>
          <w:bCs w:val="false"/>
          <w:i w:val="false"/>
          <w:iCs w:val="false"/>
          <w:color w:val="20303C"/>
          <w:sz w:val="21"/>
          <w:szCs w:val="21"/>
        </w:rPr>
        <w:t xml:space="preserve">Seven roles, each mapped to an explicit permission set enforced server-side on every API call. The live matrix is served by the API and rendered inside the product.</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1700"/>
        <w:gridCol w:w="1100"/>
        <w:gridCol w:w="6560"/>
      </w:tblGrid>
      <w:tr>
        <w:trPr>
          <w:tblHeader/>
        </w:trPr>
        <w:tc>
          <w:tcPr>
            <w:tcW w:type="dxa" w:w="17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Role</w:t>
            </w:r>
          </w:p>
        </w:tc>
        <w:tc>
          <w:tcPr>
            <w:tcW w:type="dxa" w:w="11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Perms</w:t>
            </w:r>
          </w:p>
        </w:tc>
        <w:tc>
          <w:tcPr>
            <w:tcW w:type="dxa" w:w="65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Summary</w:t>
            </w:r>
          </w:p>
        </w:tc>
      </w:tr>
      <w:tr>
        <w:trPr>
          <w:tblHeader w:val="false"/>
        </w:trPr>
        <w:tc>
          <w:tcPr>
            <w:tcW w:type="dxa" w:w="17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admin</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20</w:t>
            </w:r>
          </w:p>
        </w:tc>
        <w:tc>
          <w:tcPr>
            <w:tcW w:type="dxa" w:w="65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Full control plane: user provisioning, image management, any lifecycle step, S2 execution, score override, audit ledger, emergency pause and kill, and sole authority to release a quarantined range</w:t>
            </w:r>
          </w:p>
        </w:tc>
      </w:tr>
      <w:tr>
        <w:trPr>
          <w:tblHeader w:val="false"/>
        </w:trPr>
        <w:tc>
          <w:tcPr>
            <w:tcW w:type="dxa" w:w="17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instructor</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11</w:t>
            </w:r>
          </w:p>
        </w:tc>
        <w:tc>
          <w:tcPr>
            <w:tcW w:type="dxa" w:w="65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Create ranges, drive lifecycle, launch exercises, publish injects, execute S2, override scores with justification. Cannot manage users or release quarantine.</w:t>
            </w:r>
          </w:p>
        </w:tc>
      </w:tr>
      <w:tr>
        <w:trPr>
          <w:tblHeader w:val="false"/>
        </w:trPr>
        <w:tc>
          <w:tcPr>
            <w:tcW w:type="dxa" w:w="17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red</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8</w:t>
            </w:r>
          </w:p>
        </w:tc>
        <w:tc>
          <w:tcPr>
            <w:tcW w:type="dxa" w:w="65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Participate, execute S0 and S1 modules (S2 blocked), submit evidence, read catalog and reports</w:t>
            </w:r>
          </w:p>
        </w:tc>
      </w:tr>
      <w:tr>
        <w:trPr>
          <w:tblHeader w:val="false"/>
        </w:trPr>
        <w:tc>
          <w:tcPr>
            <w:tcW w:type="dxa" w:w="17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blue</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8</w:t>
            </w:r>
          </w:p>
        </w:tc>
        <w:tc>
          <w:tcPr>
            <w:tcW w:type="dxa" w:w="65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Participate, submit evidence, read scoring detail and reports. Cannot execute attacker modules.</w:t>
            </w:r>
          </w:p>
        </w:tc>
      </w:tr>
      <w:tr>
        <w:trPr>
          <w:tblHeader w:val="false"/>
        </w:trPr>
        <w:tc>
          <w:tcPr>
            <w:tcW w:type="dxa" w:w="17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purple</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8</w:t>
            </w:r>
          </w:p>
        </w:tc>
        <w:tc>
          <w:tcPr>
            <w:tcW w:type="dxa" w:w="65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Participate, execute modules for deterministic replay, view scoring and reports</w:t>
            </w:r>
          </w:p>
        </w:tc>
      </w:tr>
      <w:tr>
        <w:trPr>
          <w:tblHeader w:val="false"/>
        </w:trPr>
        <w:tc>
          <w:tcPr>
            <w:tcW w:type="dxa" w:w="17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solo</w:t>
            </w:r>
          </w:p>
        </w:tc>
        <w:tc>
          <w:tcPr>
            <w:tcW w:type="dxa" w:w="1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8</w:t>
            </w:r>
          </w:p>
        </w:tc>
        <w:tc>
          <w:tcPr>
            <w:tcW w:type="dxa" w:w="65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Guided single learner running both attacker and defender phases on one timeline</w:t>
            </w:r>
          </w:p>
        </w:tc>
      </w:tr>
      <w:tr>
        <w:trPr>
          <w:tblHeader w:val="false"/>
        </w:trPr>
        <w:tc>
          <w:tcPr>
            <w:tcW w:type="dxa" w:w="17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security_leader</w:t>
            </w:r>
          </w:p>
        </w:tc>
        <w:tc>
          <w:tcPr>
            <w:tcW w:type="dxa" w:w="1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5</w:t>
            </w:r>
          </w:p>
        </w:tc>
        <w:tc>
          <w:tcPr>
            <w:tcW w:type="dxa" w:w="65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Read-only oversight of catalog, ranges, exercises, scoring and reports. Cannot change any state.</w:t>
            </w:r>
          </w:p>
        </w:tc>
      </w:tr>
    </w:tbl>
    <w:p>
      <w:pPr>
        <w:pStyle w:val="Heading2"/>
        <w:spacing w:after="100" w:before="260"/>
      </w:pPr>
      <w:r>
        <w:rPr>
          <w:rFonts w:ascii="Calibri" w:cs="Calibri" w:eastAsia="Calibri" w:hAnsi="Calibri"/>
          <w:b/>
          <w:bCs/>
          <w:color w:val="1F7A8C"/>
          <w:sz w:val="24"/>
          <w:szCs w:val="24"/>
        </w:rPr>
        <w:t xml:space="preserve">7.1 Authentication</w:t>
      </w:r>
    </w:p>
    <w:p>
      <w:pPr>
        <w:pStyle w:val="ListParagraph"/>
        <w:numPr>
          <w:ilvl w:val="0"/>
          <w:numId w:val="3"/>
        </w:numPr>
        <w:spacing w:after="80" w:line="276"/>
      </w:pPr>
      <w:r>
        <w:rPr>
          <w:rFonts w:ascii="Calibri" w:cs="Calibri" w:eastAsia="Calibri" w:hAnsi="Calibri"/>
          <w:color w:val="20303C"/>
          <w:sz w:val="21"/>
          <w:szCs w:val="21"/>
        </w:rPr>
        <w:t xml:space="preserve">Passwords are stored as PBKDF2-HMAC-SHA256 with a per-user random salt, never in plaintext.</w:t>
      </w:r>
    </w:p>
    <w:p>
      <w:pPr>
        <w:pStyle w:val="ListParagraph"/>
        <w:numPr>
          <w:ilvl w:val="0"/>
          <w:numId w:val="3"/>
        </w:numPr>
        <w:spacing w:after="80" w:line="276"/>
      </w:pPr>
      <w:r>
        <w:rPr>
          <w:rFonts w:ascii="Calibri" w:cs="Calibri" w:eastAsia="Calibri" w:hAnsi="Calibri"/>
          <w:color w:val="20303C"/>
          <w:sz w:val="21"/>
          <w:szCs w:val="21"/>
        </w:rPr>
        <w:t xml:space="preserve">Login issues an opaque random session token with a 12-hour time to live.</w:t>
      </w:r>
    </w:p>
    <w:p>
      <w:pPr>
        <w:pStyle w:val="ListParagraph"/>
        <w:numPr>
          <w:ilvl w:val="0"/>
          <w:numId w:val="3"/>
        </w:numPr>
        <w:spacing w:after="80" w:line="276"/>
      </w:pPr>
      <w:r>
        <w:rPr>
          <w:rFonts w:ascii="Calibri" w:cs="Calibri" w:eastAsia="Calibri" w:hAnsi="Calibri"/>
          <w:color w:val="20303C"/>
          <w:sz w:val="21"/>
          <w:szCs w:val="21"/>
        </w:rPr>
        <w:t xml:space="preserve">Login failures return a generic error whether the username is unknown, the password is wrong, or the account is disabled, so the endpoint does not enumerate accounts.</w:t>
      </w:r>
    </w:p>
    <w:p>
      <w:pPr>
        <w:pStyle w:val="ListParagraph"/>
        <w:numPr>
          <w:ilvl w:val="0"/>
          <w:numId w:val="3"/>
        </w:numPr>
        <w:spacing w:after="80" w:line="276"/>
      </w:pPr>
      <w:r>
        <w:rPr>
          <w:rFonts w:ascii="Calibri" w:cs="Calibri" w:eastAsia="Calibri" w:hAnsi="Calibri"/>
          <w:color w:val="20303C"/>
          <w:sz w:val="21"/>
          <w:szCs w:val="21"/>
        </w:rPr>
        <w:t xml:space="preserve">Disabling a user immediately revokes all live sessions for that user.</w:t>
      </w:r>
    </w:p>
    <w:p>
      <w:pPr>
        <w:pStyle w:val="ListParagraph"/>
        <w:numPr>
          <w:ilvl w:val="0"/>
          <w:numId w:val="3"/>
        </w:numPr>
        <w:spacing w:after="80" w:line="276"/>
      </w:pPr>
      <w:r>
        <w:rPr>
          <w:rFonts w:ascii="Calibri" w:cs="Calibri" w:eastAsia="Calibri" w:hAnsi="Calibri"/>
          <w:color w:val="20303C"/>
          <w:sz w:val="21"/>
          <w:szCs w:val="21"/>
        </w:rPr>
        <w:t xml:space="preserve">Unauthenticated API calls are rejected. The header-identity developer shortcut is off by default, so a public deployment is not open by accident.</w:t>
      </w:r>
    </w:p>
    <w:p>
      <w:pPr>
        <w:pStyle w:val="ListParagraph"/>
        <w:numPr>
          <w:ilvl w:val="0"/>
          <w:numId w:val="3"/>
        </w:numPr>
        <w:spacing w:after="80" w:line="276"/>
      </w:pPr>
      <w:r>
        <w:rPr>
          <w:rFonts w:ascii="Calibri" w:cs="Calibri" w:eastAsia="Calibri" w:hAnsi="Calibri"/>
          <w:b/>
          <w:bCs/>
          <w:sz w:val="21"/>
          <w:szCs w:val="21"/>
        </w:rPr>
        <w:t xml:space="preserve">Roadmap: </w:t>
      </w:r>
      <w:r>
        <w:rPr>
          <w:rFonts w:ascii="Calibri" w:cs="Calibri" w:eastAsia="Calibri" w:hAnsi="Calibri"/>
          <w:sz w:val="21"/>
          <w:szCs w:val="21"/>
        </w:rPr>
        <w:t xml:space="preserve">SSO and OIDC replace local login. The RBAC layer downstream is unchanged, so this is an identity swap rather than a permissions redesign.</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8. Learning and delivery platform</w:t>
      </w:r>
    </w:p>
    <w:p>
      <w:pPr>
        <w:spacing w:after="120" w:before="0" w:line="276"/>
        <w:jc w:val="left"/>
      </w:pPr>
      <w:r>
        <w:rPr>
          <w:rFonts w:ascii="Calibri" w:cs="Calibri" w:eastAsia="Calibri" w:hAnsi="Calibri"/>
          <w:b w:val="false"/>
          <w:bCs w:val="false"/>
          <w:i w:val="false"/>
          <w:iCs w:val="false"/>
          <w:color w:val="20303C"/>
          <w:sz w:val="21"/>
          <w:szCs w:val="21"/>
        </w:rPr>
        <w:t xml:space="preserve">Students learn inside the product. No external learning management system is required.</w:t>
      </w:r>
    </w:p>
    <w:p>
      <w:pPr>
        <w:pStyle w:val="ListParagraph"/>
        <w:numPr>
          <w:ilvl w:val="0"/>
          <w:numId w:val="3"/>
        </w:numPr>
        <w:spacing w:after="80" w:line="276"/>
      </w:pPr>
      <w:r>
        <w:rPr>
          <w:rFonts w:ascii="Calibri" w:cs="Calibri" w:eastAsia="Calibri" w:hAnsi="Calibri"/>
          <w:b/>
          <w:bCs/>
          <w:sz w:val="21"/>
          <w:szCs w:val="21"/>
        </w:rPr>
        <w:t xml:space="preserve">Classes and rosters. </w:t>
      </w:r>
      <w:r>
        <w:rPr>
          <w:rFonts w:ascii="Calibri" w:cs="Calibri" w:eastAsia="Calibri" w:hAnsi="Calibri"/>
          <w:sz w:val="21"/>
          <w:szCs w:val="21"/>
        </w:rPr>
        <w:t xml:space="preserve">An instructor creates a class and bulk-enrolls students from CSV. Missing accounts are created as learners and generated passwords are returned for distribution.</w:t>
      </w:r>
    </w:p>
    <w:p>
      <w:pPr>
        <w:pStyle w:val="ListParagraph"/>
        <w:numPr>
          <w:ilvl w:val="0"/>
          <w:numId w:val="3"/>
        </w:numPr>
        <w:spacing w:after="80" w:line="276"/>
      </w:pPr>
      <w:r>
        <w:rPr>
          <w:rFonts w:ascii="Calibri" w:cs="Calibri" w:eastAsia="Calibri" w:hAnsi="Calibri"/>
          <w:b/>
          <w:bCs/>
          <w:sz w:val="21"/>
          <w:szCs w:val="21"/>
        </w:rPr>
        <w:t xml:space="preserve">Assignments. </w:t>
      </w:r>
      <w:r>
        <w:rPr>
          <w:rFonts w:ascii="Calibri" w:cs="Calibri" w:eastAsia="Calibri" w:hAnsi="Calibri"/>
          <w:sz w:val="21"/>
          <w:szCs w:val="21"/>
        </w:rPr>
        <w:t xml:space="preserve">Any scenario with a lesson can be assigned to a class. All 10 scenarios have lessons.</w:t>
      </w:r>
    </w:p>
    <w:p>
      <w:pPr>
        <w:pStyle w:val="ListParagraph"/>
        <w:numPr>
          <w:ilvl w:val="0"/>
          <w:numId w:val="3"/>
        </w:numPr>
        <w:spacing w:after="80" w:line="276"/>
      </w:pPr>
      <w:r>
        <w:rPr>
          <w:rFonts w:ascii="Calibri" w:cs="Calibri" w:eastAsia="Calibri" w:hAnsi="Calibri"/>
          <w:b/>
          <w:bCs/>
          <w:sz w:val="21"/>
          <w:szCs w:val="21"/>
        </w:rPr>
        <w:t xml:space="preserve">Guided lessons. </w:t>
      </w:r>
      <w:r>
        <w:rPr>
          <w:rFonts w:ascii="Calibri" w:cs="Calibri" w:eastAsia="Calibri" w:hAnsi="Calibri"/>
          <w:sz w:val="21"/>
          <w:szCs w:val="21"/>
        </w:rPr>
        <w:t xml:space="preserve">Each lesson carries a briefing, key concepts, ordered hands-on steps that run a real or simulated module on the learner own auto-provisioned range with explicit guidance on what to watch for, and a knowledge check that is auto-graded with explanations. The platform runs curated S2 steps on the learner behalf, so students get the full experience without holding S2 authority themselves.</w:t>
      </w:r>
    </w:p>
    <w:p>
      <w:pPr>
        <w:pStyle w:val="ListParagraph"/>
        <w:numPr>
          <w:ilvl w:val="0"/>
          <w:numId w:val="3"/>
        </w:numPr>
        <w:spacing w:after="80" w:line="276"/>
      </w:pPr>
      <w:r>
        <w:rPr>
          <w:rFonts w:ascii="Calibri" w:cs="Calibri" w:eastAsia="Calibri" w:hAnsi="Calibri"/>
          <w:b/>
          <w:bCs/>
          <w:sz w:val="21"/>
          <w:szCs w:val="21"/>
        </w:rPr>
        <w:t xml:space="preserve">Progress and gradebook. </w:t>
      </w:r>
      <w:r>
        <w:rPr>
          <w:rFonts w:ascii="Calibri" w:cs="Calibri" w:eastAsia="Calibri" w:hAnsi="Calibri"/>
          <w:sz w:val="21"/>
          <w:szCs w:val="21"/>
        </w:rPr>
        <w:t xml:space="preserve">Per-student status and score are tracked. Instructors see class completion and average score, exportable as CSV for accreditation evidence.</w:t>
      </w:r>
    </w:p>
    <w:p>
      <w:pPr>
        <w:pStyle w:val="Heading2"/>
        <w:spacing w:after="100" w:before="260"/>
      </w:pPr>
      <w:r>
        <w:rPr>
          <w:rFonts w:ascii="Calibri" w:cs="Calibri" w:eastAsia="Calibri" w:hAnsi="Calibri"/>
          <w:b/>
          <w:bCs/>
          <w:color w:val="1F7A8C"/>
          <w:sz w:val="24"/>
          <w:szCs w:val="24"/>
        </w:rPr>
        <w:t xml:space="preserve">8.1 Framework crosswalks</w:t>
      </w:r>
    </w:p>
    <w:p>
      <w:pPr>
        <w:spacing w:after="120" w:before="0" w:line="276"/>
        <w:jc w:val="left"/>
      </w:pPr>
      <w:r>
        <w:rPr>
          <w:rFonts w:ascii="Calibri" w:cs="Calibri" w:eastAsia="Calibri" w:hAnsi="Calibri"/>
          <w:b w:val="false"/>
          <w:bCs w:val="false"/>
          <w:i w:val="false"/>
          <w:iCs w:val="false"/>
          <w:color w:val="20303C"/>
          <w:sz w:val="21"/>
          <w:szCs w:val="21"/>
        </w:rPr>
        <w:t xml:space="preserve">Techniques used in the platform are crosswalked to the following frameworks and served through the API for curriculum mapping and accreditation evidence.</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3660"/>
        <w:gridCol w:w="5700"/>
      </w:tblGrid>
      <w:tr>
        <w:trPr>
          <w:tblHeader/>
        </w:trPr>
        <w:tc>
          <w:tcPr>
            <w:tcW w:type="dxa" w:w="36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Framework</w:t>
            </w:r>
          </w:p>
        </w:tc>
        <w:tc>
          <w:tcPr>
            <w:tcW w:type="dxa" w:w="57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Reference</w:t>
            </w:r>
          </w:p>
        </w:tc>
      </w:tr>
      <w:tr>
        <w:trPr>
          <w:tblHeader w:val="false"/>
        </w:trPr>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NIST Cybersecurity Framework 2.0</w:t>
            </w:r>
          </w:p>
        </w:tc>
        <w:tc>
          <w:tcPr>
            <w:tcW w:type="dxa" w:w="57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Govern, Identify, Protect, Detect, Respond, Recover</w:t>
            </w:r>
          </w:p>
        </w:tc>
      </w:tr>
      <w:tr>
        <w:trPr>
          <w:tblHeader w:val="false"/>
        </w:trPr>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NICE Workforce Framework</w:t>
            </w:r>
          </w:p>
        </w:tc>
        <w:tc>
          <w:tcPr>
            <w:tcW w:type="dxa" w:w="57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NIST SP 800-181r1 work roles</w:t>
            </w:r>
          </w:p>
        </w:tc>
      </w:tr>
      <w:tr>
        <w:trPr>
          <w:tblHeader w:val="false"/>
        </w:trPr>
        <w:tc>
          <w:tcPr>
            <w:tcW w:type="dxa" w:w="36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CIS Critical Security Controls</w:t>
            </w:r>
          </w:p>
        </w:tc>
        <w:tc>
          <w:tcPr>
            <w:tcW w:type="dxa" w:w="57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Version 8</w:t>
            </w:r>
          </w:p>
        </w:tc>
      </w:tr>
      <w:tr>
        <w:trPr>
          <w:tblHeader w:val="false"/>
        </w:trPr>
        <w:tc>
          <w:tcPr>
            <w:tcW w:type="dxa" w:w="36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NSA / DHS CAE-CD</w:t>
            </w:r>
          </w:p>
        </w:tc>
        <w:tc>
          <w:tcPr>
            <w:tcW w:type="dxa" w:w="57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Knowledge Units</w:t>
            </w:r>
          </w:p>
        </w:tc>
      </w:tr>
    </w:tbl>
    <w:p>
      <w:pPr>
        <w:spacing w:after="160"/>
      </w:pPr>
    </w:p>
    <w:p>
      <w:pPr>
        <w:spacing w:after="120" w:before="0" w:line="276"/>
        <w:jc w:val="left"/>
      </w:pPr>
      <w:r>
        <w:rPr>
          <w:rFonts w:ascii="Calibri" w:cs="Calibri" w:eastAsia="Calibri" w:hAnsi="Calibri"/>
          <w:b w:val="false"/>
          <w:bCs w:val="false"/>
          <w:i/>
          <w:iCs/>
          <w:color w:val="5A6672"/>
          <w:sz w:val="21"/>
          <w:szCs w:val="21"/>
        </w:rPr>
        <w:t xml:space="preserve">This is a curated, indicative alignment for curriculum purposes rather than an official MITRE mapping dataset, and it is presented that way in the product.</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9. Safety and governance</w:t>
      </w:r>
    </w:p>
    <w:p>
      <w:pPr>
        <w:spacing w:after="120" w:before="0" w:line="276"/>
        <w:jc w:val="left"/>
      </w:pPr>
      <w:r>
        <w:rPr>
          <w:rFonts w:ascii="Calibri" w:cs="Calibri" w:eastAsia="Calibri" w:hAnsi="Calibri"/>
          <w:b w:val="false"/>
          <w:bCs w:val="false"/>
          <w:i w:val="false"/>
          <w:iCs w:val="false"/>
          <w:color w:val="20303C"/>
          <w:sz w:val="21"/>
          <w:szCs w:val="21"/>
        </w:rPr>
        <w:t xml:space="preserve">The platform emulates observable adversary behavior inside owned lab assets. The catalog deliberately favors atomic, deterministic emulation and benign stand-ins over live malware.</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1500"/>
        <w:gridCol w:w="2400"/>
        <w:gridCol w:w="3260"/>
        <w:gridCol w:w="2200"/>
      </w:tblGrid>
      <w:tr>
        <w:trPr>
          <w:tblHeader/>
        </w:trPr>
        <w:tc>
          <w:tcPr>
            <w:tcW w:type="dxa" w:w="15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Class</w:t>
            </w:r>
          </w:p>
        </w:tc>
        <w:tc>
          <w:tcPr>
            <w:tcW w:type="dxa" w:w="24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Meaning</w:t>
            </w:r>
          </w:p>
        </w:tc>
        <w:tc>
          <w:tcPr>
            <w:tcW w:type="dxa" w:w="32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Description</w:t>
            </w:r>
          </w:p>
        </w:tc>
        <w:tc>
          <w:tcPr>
            <w:tcW w:type="dxa" w:w="22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Approval required</w:t>
            </w:r>
          </w:p>
        </w:tc>
      </w:tr>
      <w:tr>
        <w:trPr>
          <w:tblHeader w:val="false"/>
        </w:trPr>
        <w:tc>
          <w:tcPr>
            <w:tcW w:type="dxa" w:w="1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S0</w:t>
            </w:r>
          </w:p>
        </w:tc>
        <w:tc>
          <w:tcPr>
            <w:tcW w:type="dxa" w:w="24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Simulation</w:t>
            </w:r>
          </w:p>
        </w:tc>
        <w:tc>
          <w:tcPr>
            <w:tcW w:type="dxa" w:w="32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Synthetic telemetry or a benign endpoint call</w:t>
            </w:r>
          </w:p>
        </w:tc>
        <w:tc>
          <w:tcPr>
            <w:tcW w:type="dxa" w:w="22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Scenario author</w:t>
            </w:r>
          </w:p>
        </w:tc>
      </w:tr>
      <w:tr>
        <w:trPr>
          <w:tblHeader w:val="false"/>
        </w:trPr>
        <w:tc>
          <w:tcPr>
            <w:tcW w:type="dxa" w:w="1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S1</w:t>
            </w:r>
          </w:p>
        </w:tc>
        <w:tc>
          <w:tcPr>
            <w:tcW w:type="dxa" w:w="24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Atomic emulation</w:t>
            </w:r>
          </w:p>
        </w:tc>
        <w:tc>
          <w:tcPr>
            <w:tcW w:type="dxa" w:w="32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Bounded behavior on disposable assets, auto-cleanup</w:t>
            </w:r>
          </w:p>
        </w:tc>
        <w:tc>
          <w:tcPr>
            <w:tcW w:type="dxa" w:w="22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Security content reviewer</w:t>
            </w:r>
          </w:p>
        </w:tc>
      </w:tr>
      <w:tr>
        <w:trPr>
          <w:tblHeader w:val="false"/>
        </w:trPr>
        <w:tc>
          <w:tcPr>
            <w:tcW w:type="dxa" w:w="1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S2</w:t>
            </w:r>
          </w:p>
        </w:tc>
        <w:tc>
          <w:tcPr>
            <w:tcW w:type="dxa" w:w="24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High-impact lab action</w:t>
            </w:r>
          </w:p>
        </w:tc>
        <w:tc>
          <w:tcPr>
            <w:tcW w:type="dxa" w:w="32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May disrupt a lab VM or change identity state</w:t>
            </w:r>
          </w:p>
        </w:tc>
        <w:tc>
          <w:tcPr>
            <w:tcW w:type="dxa" w:w="22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Admin plus explicit scenario policy</w:t>
            </w:r>
          </w:p>
        </w:tc>
      </w:tr>
      <w:tr>
        <w:trPr>
          <w:tblHeader w:val="false"/>
        </w:trPr>
        <w:tc>
          <w:tcPr>
            <w:tcW w:type="dxa" w:w="1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Prohibited</w:t>
            </w:r>
          </w:p>
        </w:tc>
        <w:tc>
          <w:tcPr>
            <w:tcW w:type="dxa" w:w="24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Never permitted</w:t>
            </w:r>
          </w:p>
        </w:tc>
        <w:tc>
          <w:tcPr>
            <w:tcW w:type="dxa" w:w="32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Self-propagation, external targeting, real credential theft, live malware</w:t>
            </w:r>
          </w:p>
        </w:tc>
        <w:tc>
          <w:tcPr>
            <w:tcW w:type="dxa" w:w="22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Not executable by anyone</w:t>
            </w:r>
          </w:p>
        </w:tc>
      </w:tr>
    </w:tbl>
    <w:p>
      <w:pPr>
        <w:pStyle w:val="Heading2"/>
        <w:spacing w:after="100" w:before="260"/>
      </w:pPr>
      <w:r>
        <w:rPr>
          <w:rFonts w:ascii="Calibri" w:cs="Calibri" w:eastAsia="Calibri" w:hAnsi="Calibri"/>
          <w:b/>
          <w:bCs/>
          <w:color w:val="1F7A8C"/>
          <w:sz w:val="24"/>
          <w:szCs w:val="24"/>
        </w:rPr>
        <w:t xml:space="preserve">9.1 Enforcement is in the service layer, not in documentation</w:t>
      </w:r>
    </w:p>
    <w:p>
      <w:pPr>
        <w:pStyle w:val="ListParagraph"/>
        <w:numPr>
          <w:ilvl w:val="0"/>
          <w:numId w:val="3"/>
        </w:numPr>
        <w:spacing w:after="80" w:line="276"/>
      </w:pPr>
      <w:r>
        <w:rPr>
          <w:rFonts w:ascii="Calibri" w:cs="Calibri" w:eastAsia="Calibri" w:hAnsi="Calibri"/>
          <w:color w:val="20303C"/>
          <w:sz w:val="21"/>
          <w:szCs w:val="21"/>
        </w:rPr>
        <w:t xml:space="preserve">Unsigned modules are refused at execution. All 25 shipping modules are signed.</w:t>
      </w:r>
    </w:p>
    <w:p>
      <w:pPr>
        <w:pStyle w:val="ListParagraph"/>
        <w:numPr>
          <w:ilvl w:val="0"/>
          <w:numId w:val="3"/>
        </w:numPr>
        <w:spacing w:after="80" w:line="276"/>
      </w:pPr>
      <w:r>
        <w:rPr>
          <w:rFonts w:ascii="Calibri" w:cs="Calibri" w:eastAsia="Calibri" w:hAnsi="Calibri"/>
          <w:color w:val="20303C"/>
          <w:sz w:val="21"/>
          <w:szCs w:val="21"/>
        </w:rPr>
        <w:t xml:space="preserve">The prohibited class cannot be executed by any role, including admin.</w:t>
      </w:r>
    </w:p>
    <w:p>
      <w:pPr>
        <w:pStyle w:val="ListParagraph"/>
        <w:numPr>
          <w:ilvl w:val="0"/>
          <w:numId w:val="3"/>
        </w:numPr>
        <w:spacing w:after="80" w:line="276"/>
      </w:pPr>
      <w:r>
        <w:rPr>
          <w:rFonts w:ascii="Calibri" w:cs="Calibri" w:eastAsia="Calibri" w:hAnsi="Calibri"/>
          <w:color w:val="20303C"/>
          <w:sz w:val="21"/>
          <w:szCs w:val="21"/>
        </w:rPr>
        <w:t xml:space="preserve">S2 execution is gated to instructor and admin, except for curated S2 steps the platform runs on a learner behalf inside a guided lesson.</w:t>
      </w:r>
    </w:p>
    <w:p>
      <w:pPr>
        <w:pStyle w:val="ListParagraph"/>
        <w:numPr>
          <w:ilvl w:val="0"/>
          <w:numId w:val="3"/>
        </w:numPr>
        <w:spacing w:after="80" w:line="276"/>
      </w:pPr>
      <w:r>
        <w:rPr>
          <w:rFonts w:ascii="Calibri" w:cs="Calibri" w:eastAsia="Calibri" w:hAnsi="Calibri"/>
          <w:color w:val="20303C"/>
          <w:sz w:val="21"/>
          <w:szCs w:val="21"/>
        </w:rPr>
        <w:t xml:space="preserve">Ranges default to egress-deny. The reference topology places the control plane on a network that is never reachable from tenant workloads.</w:t>
      </w:r>
    </w:p>
    <w:p>
      <w:pPr>
        <w:pStyle w:val="ListParagraph"/>
        <w:numPr>
          <w:ilvl w:val="0"/>
          <w:numId w:val="3"/>
        </w:numPr>
        <w:spacing w:after="80" w:line="276"/>
      </w:pPr>
      <w:r>
        <w:rPr>
          <w:rFonts w:ascii="Calibri" w:cs="Calibri" w:eastAsia="Calibri" w:hAnsi="Calibri"/>
          <w:color w:val="20303C"/>
          <w:sz w:val="21"/>
          <w:szCs w:val="21"/>
        </w:rPr>
        <w:t xml:space="preserve">Any anomalous workload transitions to QUARANTINED, and only an administrator can release or destroy it.</w:t>
      </w:r>
    </w:p>
    <w:p>
      <w:pPr>
        <w:pStyle w:val="ListParagraph"/>
        <w:numPr>
          <w:ilvl w:val="0"/>
          <w:numId w:val="3"/>
        </w:numPr>
        <w:spacing w:after="80" w:line="276"/>
      </w:pPr>
      <w:r>
        <w:rPr>
          <w:rFonts w:ascii="Calibri" w:cs="Calibri" w:eastAsia="Calibri" w:hAnsi="Calibri"/>
          <w:color w:val="20303C"/>
          <w:sz w:val="21"/>
          <w:szCs w:val="21"/>
        </w:rPr>
        <w:t xml:space="preserve">Every state change is written to an append-only audit ledger, readable by administrators.</w:t>
      </w:r>
    </w:p>
    <w:p>
      <w:pPr>
        <w:pStyle w:val="Heading2"/>
        <w:spacing w:after="100" w:before="260"/>
      </w:pPr>
      <w:r>
        <w:rPr>
          <w:rFonts w:ascii="Calibri" w:cs="Calibri" w:eastAsia="Calibri" w:hAnsi="Calibri"/>
          <w:b/>
          <w:bCs/>
          <w:color w:val="1F7A8C"/>
          <w:sz w:val="24"/>
          <w:szCs w:val="24"/>
        </w:rPr>
        <w:t xml:space="preserve">9.2 Range lifecycle</w:t>
      </w:r>
    </w:p>
    <w:p>
      <w:pPr>
        <w:spacing w:after="60"/>
      </w:pPr>
    </w:p>
    <w:tbl>
      <w:tblPr>
        <w:tblW w:type="dxa" w:w="9360"/>
        <w:tblBorders>
          <w:top w:val="single" w:color="C9D6DE" w:sz="2"/>
          <w:left w:val="single" w:color="C9D6DE" w:sz="2"/>
          <w:bottom w:val="single" w:color="C9D6DE" w:sz="2"/>
          <w:right w:val="single" w:color="C9D6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0" w:line="240"/>
            </w:pPr>
            <w:r>
              <w:rPr>
                <w:rFonts w:ascii="Consolas" w:cs="Consolas" w:eastAsia="Consolas" w:hAnsi="Consolas"/>
                <w:color w:val="253340"/>
                <w:sz w:val="17"/>
                <w:szCs w:val="17"/>
              </w:rPr>
              <w:t xml:space="preserve">REQUESTED -&gt; PREFLIGHT -&gt; PROVISIONING -&gt; SEEDING -&gt; READY -&gt; RUNNING &lt;-&gt; PAUSED</w:t>
            </w:r>
          </w:p>
          <w:p>
            <w:pPr>
              <w:spacing w:after="0" w:line="240"/>
            </w:pPr>
            <w:r>
              <w:rPr>
                <w:rFonts w:ascii="Consolas" w:cs="Consolas" w:eastAsia="Consolas" w:hAnsi="Consolas"/>
                <w:color w:val="253340"/>
                <w:sz w:val="17"/>
                <w:szCs w:val="17"/>
              </w:rPr>
              <w:t xml:space="preserve">          -&gt; COMPLETING -&gt; EVIDENCE_LOCKED -&gt; ARCHIVED -&gt; DESTROYED</w:t>
            </w:r>
          </w:p>
          <w:p>
            <w:pPr>
              <w:spacing w:after="0" w:line="240"/>
            </w:pPr>
            <w:r>
              <w:rPr>
                <w:rFonts w:ascii="Consolas" w:cs="Consolas" w:eastAsia="Consolas" w:hAnsi="Consolas"/>
                <w:color w:val="253340"/>
                <w:sz w:val="17"/>
                <w:szCs w:val="17"/>
              </w:rPr>
              <w:t xml:space="preserve">                              \</w:t>
            </w:r>
          </w:p>
          <w:p>
            <w:pPr>
              <w:spacing w:after="0" w:line="240"/>
            </w:pPr>
            <w:r>
              <w:rPr>
                <w:rFonts w:ascii="Consolas" w:cs="Consolas" w:eastAsia="Consolas" w:hAnsi="Consolas"/>
                <w:color w:val="253340"/>
                <w:sz w:val="17"/>
                <w:szCs w:val="17"/>
              </w:rPr>
              <w:t xml:space="preserve">                               -&gt; QUARANTINED  (administrator-only release)</w:t>
            </w:r>
          </w:p>
        </w:tc>
      </w:tr>
    </w:tbl>
    <w:p>
      <w:pPr>
        <w:spacing w:after="160"/>
      </w:pPr>
    </w:p>
    <w:p>
      <w:pPr>
        <w:spacing w:after="120" w:before="0" w:line="276"/>
        <w:jc w:val="left"/>
      </w:pPr>
      <w:r>
        <w:rPr>
          <w:rFonts w:ascii="Calibri" w:cs="Calibri" w:eastAsia="Calibri" w:hAnsi="Calibri"/>
          <w:b w:val="false"/>
          <w:bCs w:val="false"/>
          <w:i w:val="false"/>
          <w:iCs w:val="false"/>
          <w:color w:val="20303C"/>
          <w:sz w:val="21"/>
          <w:szCs w:val="21"/>
        </w:rPr>
        <w:t xml:space="preserve">Illegal transitions are rejected with a conflict response rather than silently tolerated, so the lifecycle is a real state machine and not a status label.</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10. Deployment</w:t>
      </w:r>
    </w:p>
    <w:p>
      <w:pPr>
        <w:pStyle w:val="Heading2"/>
        <w:spacing w:after="100" w:before="260"/>
      </w:pPr>
      <w:r>
        <w:rPr>
          <w:rFonts w:ascii="Calibri" w:cs="Calibri" w:eastAsia="Calibri" w:hAnsi="Calibri"/>
          <w:b/>
          <w:bCs/>
          <w:color w:val="1F7A8C"/>
          <w:sz w:val="24"/>
          <w:szCs w:val="24"/>
        </w:rPr>
        <w:t xml:space="preserve">10.1 Options</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2100"/>
        <w:gridCol w:w="3200"/>
        <w:gridCol w:w="4060"/>
      </w:tblGrid>
      <w:tr>
        <w:trPr>
          <w:tblHeader/>
        </w:trPr>
        <w:tc>
          <w:tcPr>
            <w:tcW w:type="dxa" w:w="21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Option</w:t>
            </w:r>
          </w:p>
        </w:tc>
        <w:tc>
          <w:tcPr>
            <w:tcW w:type="dxa" w:w="32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Method</w:t>
            </w:r>
          </w:p>
        </w:tc>
        <w:tc>
          <w:tcPr>
            <w:tcW w:type="dxa" w:w="40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Notes</w:t>
            </w:r>
          </w:p>
        </w:tc>
      </w:tr>
      <w:tr>
        <w:trPr>
          <w:tblHeader w:val="false"/>
        </w:trPr>
        <w:tc>
          <w:tcPr>
            <w:tcW w:type="dxa" w:w="2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Local</w:t>
            </w:r>
          </w:p>
        </w:tc>
        <w:tc>
          <w:tcPr>
            <w:tcW w:type="dxa" w:w="32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make serve</w:t>
            </w:r>
          </w:p>
        </w:tc>
        <w:tc>
          <w:tcPr>
            <w:tcW w:type="dxa" w:w="40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Python 3.10 or later. No package install, no build step.</w:t>
            </w:r>
          </w:p>
        </w:tc>
      </w:tr>
      <w:tr>
        <w:trPr>
          <w:tblHeader w:val="false"/>
        </w:trPr>
        <w:tc>
          <w:tcPr>
            <w:tcW w:type="dxa" w:w="2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Docker</w:t>
            </w:r>
          </w:p>
        </w:tc>
        <w:tc>
          <w:tcPr>
            <w:tcW w:type="dxa" w:w="32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docker compose up</w:t>
            </w:r>
          </w:p>
        </w:tc>
        <w:tc>
          <w:tcPr>
            <w:tcW w:type="dxa" w:w="40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Single service on port 8080</w:t>
            </w:r>
          </w:p>
        </w:tc>
      </w:tr>
      <w:tr>
        <w:trPr>
          <w:tblHeader w:val="false"/>
        </w:trPr>
        <w:tc>
          <w:tcPr>
            <w:tcW w:type="dxa" w:w="21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Railway</w:t>
            </w:r>
          </w:p>
        </w:tc>
        <w:tc>
          <w:tcPr>
            <w:tcW w:type="dxa" w:w="32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Dockerfile plus railway.json</w:t>
            </w:r>
          </w:p>
        </w:tc>
        <w:tc>
          <w:tcPr>
            <w:tcW w:type="dxa" w:w="40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Public HTTPS URL, managed TLS</w:t>
            </w:r>
          </w:p>
        </w:tc>
      </w:tr>
      <w:tr>
        <w:trPr>
          <w:tblHeader w:val="false"/>
        </w:trPr>
        <w:tc>
          <w:tcPr>
            <w:tcW w:type="dxa" w:w="21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Customer-hosted</w:t>
            </w:r>
          </w:p>
        </w:tc>
        <w:tc>
          <w:tcPr>
            <w:tcW w:type="dxa" w:w="32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Any Docker host</w:t>
            </w:r>
          </w:p>
        </w:tc>
        <w:tc>
          <w:tcPr>
            <w:tcW w:type="dxa" w:w="40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Recommended when real container execution is required</w:t>
            </w:r>
          </w:p>
        </w:tc>
      </w:tr>
    </w:tbl>
    <w:p>
      <w:pPr>
        <w:pStyle w:val="Heading2"/>
        <w:spacing w:after="100" w:before="260"/>
      </w:pPr>
      <w:r>
        <w:rPr>
          <w:rFonts w:ascii="Calibri" w:cs="Calibri" w:eastAsia="Calibri" w:hAnsi="Calibri"/>
          <w:b/>
          <w:bCs/>
          <w:color w:val="1F7A8C"/>
          <w:sz w:val="24"/>
          <w:szCs w:val="24"/>
        </w:rPr>
        <w:t xml:space="preserve">10.2 Requirements</w:t>
      </w:r>
    </w:p>
    <w:p>
      <w:pPr>
        <w:pStyle w:val="ListParagraph"/>
        <w:numPr>
          <w:ilvl w:val="0"/>
          <w:numId w:val="3"/>
        </w:numPr>
        <w:spacing w:after="80" w:line="276"/>
      </w:pPr>
      <w:r>
        <w:rPr>
          <w:rFonts w:ascii="Calibri" w:cs="Calibri" w:eastAsia="Calibri" w:hAnsi="Calibri"/>
          <w:b/>
          <w:bCs/>
          <w:sz w:val="21"/>
          <w:szCs w:val="21"/>
        </w:rPr>
        <w:t xml:space="preserve">Control plane: </w:t>
      </w:r>
      <w:r>
        <w:rPr>
          <w:rFonts w:ascii="Calibri" w:cs="Calibri" w:eastAsia="Calibri" w:hAnsi="Calibri"/>
          <w:sz w:val="21"/>
          <w:szCs w:val="21"/>
        </w:rPr>
        <w:t xml:space="preserve">Python 3.10 or later. Standard library only, with no mandatory dependencies.</w:t>
      </w:r>
    </w:p>
    <w:p>
      <w:pPr>
        <w:pStyle w:val="ListParagraph"/>
        <w:numPr>
          <w:ilvl w:val="0"/>
          <w:numId w:val="3"/>
        </w:numPr>
        <w:spacing w:after="80" w:line="276"/>
      </w:pPr>
      <w:r>
        <w:rPr>
          <w:rFonts w:ascii="Calibri" w:cs="Calibri" w:eastAsia="Calibri" w:hAnsi="Calibri"/>
          <w:b/>
          <w:bCs/>
          <w:sz w:val="21"/>
          <w:szCs w:val="21"/>
        </w:rPr>
        <w:t xml:space="preserve">Real container execution: </w:t>
      </w:r>
      <w:r>
        <w:rPr>
          <w:rFonts w:ascii="Calibri" w:cs="Calibri" w:eastAsia="Calibri" w:hAnsi="Calibri"/>
          <w:sz w:val="21"/>
          <w:szCs w:val="21"/>
        </w:rPr>
        <w:t xml:space="preserve">a reachable Docker daemon, local or remote.</w:t>
      </w:r>
    </w:p>
    <w:p>
      <w:pPr>
        <w:pStyle w:val="ListParagraph"/>
        <w:numPr>
          <w:ilvl w:val="0"/>
          <w:numId w:val="3"/>
        </w:numPr>
        <w:spacing w:after="80" w:line="276"/>
      </w:pPr>
      <w:r>
        <w:rPr>
          <w:rFonts w:ascii="Calibri" w:cs="Calibri" w:eastAsia="Calibri" w:hAnsi="Calibri"/>
          <w:b/>
          <w:bCs/>
          <w:sz w:val="21"/>
          <w:szCs w:val="21"/>
        </w:rPr>
        <w:t xml:space="preserve">PostgreSQL backend: </w:t>
      </w:r>
      <w:r>
        <w:rPr>
          <w:rFonts w:ascii="Calibri" w:cs="Calibri" w:eastAsia="Calibri" w:hAnsi="Calibri"/>
          <w:sz w:val="21"/>
          <w:szCs w:val="21"/>
        </w:rPr>
        <w:t xml:space="preserve">the psycopg driver, already present in the Docker image.</w:t>
      </w:r>
    </w:p>
    <w:p>
      <w:pPr>
        <w:pStyle w:val="ListParagraph"/>
        <w:numPr>
          <w:ilvl w:val="0"/>
          <w:numId w:val="3"/>
        </w:numPr>
        <w:spacing w:after="80" w:line="276"/>
      </w:pPr>
      <w:r>
        <w:rPr>
          <w:rFonts w:ascii="Calibri" w:cs="Calibri" w:eastAsia="Calibri" w:hAnsi="Calibri"/>
          <w:b/>
          <w:bCs/>
          <w:sz w:val="21"/>
          <w:szCs w:val="21"/>
        </w:rPr>
        <w:t xml:space="preserve">Bundled Wazuh SIEM: </w:t>
      </w:r>
      <w:r>
        <w:rPr>
          <w:rFonts w:ascii="Calibri" w:cs="Calibri" w:eastAsia="Calibri" w:hAnsi="Calibri"/>
          <w:sz w:val="21"/>
          <w:szCs w:val="21"/>
        </w:rPr>
        <w:t xml:space="preserve">a Docker host with approximately 4 GB of RAM.</w:t>
      </w:r>
    </w:p>
    <w:p>
      <w:pPr>
        <w:pStyle w:val="Heading2"/>
        <w:spacing w:after="100" w:before="260"/>
      </w:pPr>
      <w:r>
        <w:rPr>
          <w:rFonts w:ascii="Calibri" w:cs="Calibri" w:eastAsia="Calibri" w:hAnsi="Calibri"/>
          <w:b/>
          <w:bCs/>
          <w:color w:val="1F7A8C"/>
          <w:sz w:val="24"/>
          <w:szCs w:val="24"/>
        </w:rPr>
        <w:t xml:space="preserve">10.3 Data persistence</w:t>
      </w:r>
    </w:p>
    <w:p>
      <w:pPr>
        <w:spacing w:after="120" w:before="0" w:line="276"/>
        <w:jc w:val="left"/>
      </w:pPr>
      <w:r>
        <w:rPr>
          <w:rFonts w:ascii="Calibri" w:cs="Calibri" w:eastAsia="Calibri" w:hAnsi="Calibri"/>
          <w:b w:val="false"/>
          <w:bCs w:val="false"/>
          <w:i w:val="false"/>
          <w:iCs w:val="false"/>
          <w:color w:val="20303C"/>
          <w:sz w:val="21"/>
          <w:szCs w:val="21"/>
        </w:rPr>
        <w:t xml:space="preserve">SQLite by default with zero configuration. Setting a PostgreSQL connection string switches the backend automatically, with Supabase supported directly. Tables are created on boot, and a standalone schema file is provided for customers who prefer to provision the schema and add row-level security ahead of time. The same code is verified against real PostgreSQL in the test suite.</w:t>
      </w:r>
    </w:p>
    <w:p>
      <w:pPr>
        <w:pStyle w:val="Heading2"/>
        <w:spacing w:after="100" w:before="260"/>
      </w:pPr>
      <w:r>
        <w:rPr>
          <w:rFonts w:ascii="Calibri" w:cs="Calibri" w:eastAsia="Calibri" w:hAnsi="Calibri"/>
          <w:b/>
          <w:bCs/>
          <w:color w:val="1F7A8C"/>
          <w:sz w:val="24"/>
          <w:szCs w:val="24"/>
        </w:rPr>
        <w:t xml:space="preserve">10.4 Configuration</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3300"/>
        <w:gridCol w:w="6060"/>
      </w:tblGrid>
      <w:tr>
        <w:trPr>
          <w:tblHeader/>
        </w:trPr>
        <w:tc>
          <w:tcPr>
            <w:tcW w:type="dxa" w:w="33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Variable</w:t>
            </w:r>
          </w:p>
        </w:tc>
        <w:tc>
          <w:tcPr>
            <w:tcW w:type="dxa" w:w="60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Purpose</w:t>
            </w:r>
          </w:p>
        </w:tc>
      </w:tr>
      <w:tr>
        <w:trPr>
          <w:tblHeader w:val="false"/>
        </w:trPr>
        <w:tc>
          <w:tcPr>
            <w:tcW w:type="dxa" w:w="33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CR_ADMIN_PASSWORD</w:t>
            </w:r>
          </w:p>
        </w:tc>
        <w:tc>
          <w:tcPr>
            <w:tcW w:type="dxa" w:w="60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Seeded administrator password. Set this on any deployment reachable by others.</w:t>
            </w:r>
          </w:p>
        </w:tc>
      </w:tr>
      <w:tr>
        <w:trPr>
          <w:tblHeader w:val="false"/>
        </w:trPr>
        <w:tc>
          <w:tcPr>
            <w:tcW w:type="dxa" w:w="33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DATABASE_URL / SUPABASE_DB_URL</w:t>
            </w:r>
          </w:p>
        </w:tc>
        <w:tc>
          <w:tcPr>
            <w:tcW w:type="dxa" w:w="60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PostgreSQL connection string. Unset means SQLite.</w:t>
            </w:r>
          </w:p>
        </w:tc>
      </w:tr>
      <w:tr>
        <w:trPr>
          <w:tblHeader w:val="false"/>
        </w:trPr>
        <w:tc>
          <w:tcPr>
            <w:tcW w:type="dxa" w:w="33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DOCKER_HOST</w:t>
            </w:r>
          </w:p>
        </w:tc>
        <w:tc>
          <w:tcPr>
            <w:tcW w:type="dxa" w:w="60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Remote Docker daemon for real execution</w:t>
            </w:r>
          </w:p>
        </w:tc>
      </w:tr>
      <w:tr>
        <w:trPr>
          <w:tblHeader w:val="false"/>
        </w:trPr>
        <w:tc>
          <w:tcPr>
            <w:tcW w:type="dxa" w:w="33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CR_LIVE_RANGES</w:t>
            </w:r>
          </w:p>
        </w:tc>
        <w:tc>
          <w:tcPr>
            <w:tcW w:type="dxa" w:w="60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Enable persistent, connected live container ranges</w:t>
            </w:r>
          </w:p>
        </w:tc>
      </w:tr>
      <w:tr>
        <w:trPr>
          <w:tblHeader w:val="false"/>
        </w:trPr>
        <w:tc>
          <w:tcPr>
            <w:tcW w:type="dxa" w:w="33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WAZUH_INGEST_ENABLED</w:t>
            </w:r>
          </w:p>
        </w:tc>
        <w:tc>
          <w:tcPr>
            <w:tcW w:type="dxa" w:w="60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Stream events to the Wazuh SIEM</w:t>
            </w:r>
          </w:p>
        </w:tc>
      </w:tr>
      <w:tr>
        <w:trPr>
          <w:tblHeader w:val="false"/>
        </w:trPr>
        <w:tc>
          <w:tcPr>
            <w:tcW w:type="dxa" w:w="33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CR_DEV_AUTH</w:t>
            </w:r>
          </w:p>
        </w:tc>
        <w:tc>
          <w:tcPr>
            <w:tcW w:type="dxa" w:w="60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Developer header identity. Leave unset in production.</w:t>
            </w:r>
          </w:p>
        </w:tc>
      </w:tr>
    </w:tbl>
    <w:p>
      <w:pPr>
        <w:pStyle w:val="Heading2"/>
        <w:spacing w:after="100" w:before="260"/>
      </w:pPr>
      <w:r>
        <w:rPr>
          <w:rFonts w:ascii="Calibri" w:cs="Calibri" w:eastAsia="Calibri" w:hAnsi="Calibri"/>
          <w:b/>
          <w:bCs/>
          <w:color w:val="1F7A8C"/>
          <w:sz w:val="24"/>
          <w:szCs w:val="24"/>
        </w:rPr>
        <w:t xml:space="preserve">10.5 Hosted-platform caveat, stated plainly</w:t>
      </w:r>
    </w:p>
    <w:tbl>
      <w:tblPr>
        <w:tblW w:type="dxa" w:w="9360"/>
        <w:tblBorders>
          <w:top w:val="single" w:color="C9D6DE" w:sz="2"/>
          <w:left w:val="single" w:color="1F7A8C" w:sz="18"/>
          <w:bottom w:val="single" w:color="C9D6DE" w:sz="2"/>
          <w:right w:val="single" w:color="C9D6DE" w:sz="2"/>
          <w:insideH w:val="none"/>
          <w:insideV w:val="none"/>
        </w:tblBorders>
      </w:tblPr>
      <w:tblGrid>
        <w:gridCol w:w="9360"/>
      </w:tblGrid>
      <w:tr>
        <w:tc>
          <w:tcPr>
            <w:tcW w:type="dxa" w:w="9360"/>
            <w:shd w:fill="F6FAFB" w:color="auto" w:val="clear"/>
            <w:tcMar>
              <w:top w:type="dxa" w:w="120"/>
              <w:left w:type="dxa" w:w="180"/>
              <w:bottom w:type="dxa" w:w="120"/>
              <w:right w:type="dxa" w:w="160"/>
            </w:tcMar>
          </w:tcPr>
          <w:p>
            <w:pPr>
              <w:spacing w:after="60" w:before="60"/>
            </w:pPr>
            <w:r>
              <w:rPr>
                <w:rFonts w:ascii="Calibri" w:cs="Calibri" w:eastAsia="Calibri" w:hAnsi="Calibri"/>
                <w:b/>
                <w:bCs/>
                <w:color w:val="0F3B57"/>
                <w:sz w:val="20"/>
                <w:szCs w:val="20"/>
              </w:rPr>
              <w:t xml:space="preserve">Where real execution does and does not run</w:t>
            </w:r>
          </w:p>
          <w:p>
            <w:pPr>
              <w:spacing w:after="60" w:line="264"/>
            </w:pPr>
            <w:r>
              <w:rPr>
                <w:rFonts w:ascii="Calibri" w:cs="Calibri" w:eastAsia="Calibri" w:hAnsi="Calibri"/>
                <w:color w:val="20303C"/>
                <w:sz w:val="20"/>
                <w:szCs w:val="20"/>
              </w:rPr>
              <w:t xml:space="preserve">A hosted platform that provides no Docker daemon inside the application container cannot run real container execution. In that configuration, modules fall back to simulation and detection uses technique-basis rules.</w:t>
            </w:r>
          </w:p>
          <w:p>
            <w:pPr>
              <w:spacing w:after="60" w:line="264"/>
            </w:pPr>
            <w:r>
              <w:rPr>
                <w:rFonts w:ascii="Calibri" w:cs="Calibri" w:eastAsia="Calibri" w:hAnsi="Calibri"/>
                <w:color w:val="20303C"/>
                <w:sz w:val="20"/>
                <w:szCs w:val="20"/>
              </w:rPr>
              <w:t xml:space="preserve">Everything else, including the full lifecycle, scoring, reporting, learning platform and audit ledger, works normally. Real execution requires a Docker host. The common pattern is the lightweight control plane on a hosted platform with an execution host alongside it.</w:t>
            </w:r>
          </w:p>
        </w:tc>
      </w:tr>
    </w:tbl>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11. API surface</w:t>
      </w:r>
    </w:p>
    <w:p>
      <w:pPr>
        <w:spacing w:after="120" w:before="0" w:line="276"/>
        <w:jc w:val="left"/>
      </w:pPr>
      <w:r>
        <w:rPr>
          <w:rFonts w:ascii="Calibri" w:cs="Calibri" w:eastAsia="Calibri" w:hAnsi="Calibri"/>
          <w:b w:val="false"/>
          <w:bCs w:val="false"/>
          <w:i w:val="false"/>
          <w:iCs w:val="false"/>
          <w:color w:val="20303C"/>
          <w:sz w:val="21"/>
          <w:szCs w:val="21"/>
        </w:rPr>
        <w:t xml:space="preserve">A complete REST and JSON API sits under /api with bearer-token authentication. Everything the dashboard does is available programmatically, which means the platform integrates with existing learning management, ticketing and reporting pipelines rather than requiring operators to live inside its own interface.</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2500"/>
        <w:gridCol w:w="6860"/>
      </w:tblGrid>
      <w:tr>
        <w:trPr>
          <w:tblHeader/>
        </w:trPr>
        <w:tc>
          <w:tcPr>
            <w:tcW w:type="dxa" w:w="25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Area</w:t>
            </w:r>
          </w:p>
        </w:tc>
        <w:tc>
          <w:tcPr>
            <w:tcW w:type="dxa" w:w="68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Representative endpoints</w:t>
            </w:r>
          </w:p>
        </w:tc>
      </w:tr>
      <w:tr>
        <w:trPr>
          <w:tblHeader w:val="false"/>
        </w:trPr>
        <w:tc>
          <w:tcPr>
            <w:tcW w:type="dxa" w:w="2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Auth and users</w:t>
            </w:r>
          </w:p>
        </w:tc>
        <w:tc>
          <w:tcPr>
            <w:tcW w:type="dxa" w:w="68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POST /api/login, GET /api/me, GET /api/roles, POST /api/users, POST /api/users/{u}/active</w:t>
            </w:r>
          </w:p>
        </w:tc>
      </w:tr>
      <w:tr>
        <w:trPr>
          <w:tblHeader w:val="false"/>
        </w:trPr>
        <w:tc>
          <w:tcPr>
            <w:tcW w:type="dxa" w:w="2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Catalog</w:t>
            </w:r>
          </w:p>
        </w:tc>
        <w:tc>
          <w:tcPr>
            <w:tcW w:type="dxa" w:w="68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GET /api/scenarios, /api/modules, /api/tactics, /api/detection-rules, /api/topologies, /api/frameworks</w:t>
            </w:r>
          </w:p>
        </w:tc>
      </w:tr>
      <w:tr>
        <w:trPr>
          <w:tblHeader w:val="false"/>
        </w:trPr>
        <w:tc>
          <w:tcPr>
            <w:tcW w:type="dxa" w:w="2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Ranges</w:t>
            </w:r>
          </w:p>
        </w:tc>
        <w:tc>
          <w:tcPr>
            <w:tcW w:type="dxa" w:w="68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GET and POST /api/ranges, POST /api/ranges/{id}/actions</w:t>
            </w:r>
          </w:p>
        </w:tc>
      </w:tr>
      <w:tr>
        <w:trPr>
          <w:tblHeader w:val="false"/>
        </w:trPr>
        <w:tc>
          <w:tcPr>
            <w:tcW w:type="dxa" w:w="2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Exercises</w:t>
            </w:r>
          </w:p>
        </w:tc>
        <w:tc>
          <w:tcPr>
            <w:tcW w:type="dxa" w:w="68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POST /api/exercises, GET /api/exercises/{id}/timeline, POST /api/exercises/{id}/modules, POST /api/exercises/{id}/injects</w:t>
            </w:r>
          </w:p>
        </w:tc>
      </w:tr>
      <w:tr>
        <w:trPr>
          <w:tblHeader w:val="false"/>
        </w:trPr>
        <w:tc>
          <w:tcPr>
            <w:tcW w:type="dxa" w:w="2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SOC and blue team</w:t>
            </w:r>
          </w:p>
        </w:tc>
        <w:tc>
          <w:tcPr>
            <w:tcW w:type="dxa" w:w="68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GET /api/exercises/{id}/logs, GET /api/exercises/{id}/log-sources</w:t>
            </w:r>
          </w:p>
        </w:tc>
      </w:tr>
      <w:tr>
        <w:trPr>
          <w:tblHeader w:val="false"/>
        </w:trPr>
        <w:tc>
          <w:tcPr>
            <w:tcW w:type="dxa" w:w="2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Evidence and detection</w:t>
            </w:r>
          </w:p>
        </w:tc>
        <w:tc>
          <w:tcPr>
            <w:tcW w:type="dxa" w:w="68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GET and POST /api/exercises/{id}/evidence, GET and POST /api/exercises/{id}/detections</w:t>
            </w:r>
          </w:p>
        </w:tc>
      </w:tr>
      <w:tr>
        <w:trPr>
          <w:tblHeader w:val="false"/>
        </w:trPr>
        <w:tc>
          <w:tcPr>
            <w:tcW w:type="dxa" w:w="2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Scoring</w:t>
            </w:r>
          </w:p>
        </w:tc>
        <w:tc>
          <w:tcPr>
            <w:tcW w:type="dxa" w:w="68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POST /api/exercises/{id}/score, GET /api/exercises/{id}/derived-scores</w:t>
            </w:r>
          </w:p>
        </w:tc>
      </w:tr>
      <w:tr>
        <w:trPr>
          <w:tblHeader w:val="false"/>
        </w:trPr>
        <w:tc>
          <w:tcPr>
            <w:tcW w:type="dxa" w:w="2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Reporting</w:t>
            </w:r>
          </w:p>
        </w:tc>
        <w:tc>
          <w:tcPr>
            <w:tcW w:type="dxa" w:w="68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GET /api/exercises/{id}/report in json, csv, html or docx</w:t>
            </w:r>
          </w:p>
        </w:tc>
      </w:tr>
      <w:tr>
        <w:trPr>
          <w:tblHeader w:val="false"/>
        </w:trPr>
        <w:tc>
          <w:tcPr>
            <w:tcW w:type="dxa" w:w="2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Purple replay</w:t>
            </w:r>
          </w:p>
        </w:tc>
        <w:tc>
          <w:tcPr>
            <w:tcW w:type="dxa" w:w="68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POST /api/purple/compare</w:t>
            </w:r>
          </w:p>
        </w:tc>
      </w:tr>
      <w:tr>
        <w:trPr>
          <w:tblHeader w:val="false"/>
        </w:trPr>
        <w:tc>
          <w:tcPr>
            <w:tcW w:type="dxa" w:w="25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Learning</w:t>
            </w:r>
          </w:p>
        </w:tc>
        <w:tc>
          <w:tcPr>
            <w:tcW w:type="dxa" w:w="68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GET and POST /api/cohorts, /api/cohorts/{id}/roster, /assignments, /gradebook and gradebook.csv, /api/learn/lesson/{id}, /api/learn/start, /api/learn/step, /api/learn/quiz</w:t>
            </w:r>
          </w:p>
        </w:tc>
      </w:tr>
      <w:tr>
        <w:trPr>
          <w:tblHeader w:val="false"/>
        </w:trPr>
        <w:tc>
          <w:tcPr>
            <w:tcW w:type="dxa" w:w="25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SIEM and admin</w:t>
            </w:r>
          </w:p>
        </w:tc>
        <w:tc>
          <w:tcPr>
            <w:tcW w:type="dxa" w:w="68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POST /api/siem/alert, GET /api/audit</w:t>
            </w:r>
          </w:p>
        </w:tc>
      </w:tr>
    </w:tbl>
    <w:p>
      <w:pPr>
        <w:spacing w:after="160"/>
      </w:pPr>
    </w:p>
    <w:p>
      <w:pPr>
        <w:spacing w:after="120" w:before="0" w:line="276"/>
        <w:jc w:val="left"/>
      </w:pPr>
      <w:r>
        <w:rPr>
          <w:rFonts w:ascii="Calibri" w:cs="Calibri" w:eastAsia="Calibri" w:hAnsi="Calibri"/>
          <w:b w:val="false"/>
          <w:bCs w:val="false"/>
          <w:i w:val="false"/>
          <w:iCs w:val="false"/>
          <w:color w:val="20303C"/>
          <w:sz w:val="21"/>
          <w:szCs w:val="21"/>
        </w:rPr>
        <w:t xml:space="preserve">Errors are structured with meaningful status codes: 400 bad request, 401 unauthenticated, 403 forbidden, 404 not found, 409 illegal lifecycle transition, 500 internal. Scenario and module catalog queries support filtering by role, tactic, difficulty, technique, platform, safety class and free text.</w:t>
      </w:r>
    </w:p>
    <w:p>
      <w:pPr>
        <w:pStyle w:val="Heading1"/>
        <w:pBdr>
          <w:bottom w:val="single" w:color="1F7A8C" w:sz="8" w:space="6"/>
        </w:pBdr>
        <w:spacing w:after="160" w:before="360"/>
      </w:pPr>
      <w:r>
        <w:rPr>
          <w:rFonts w:ascii="Calibri" w:cs="Calibri" w:eastAsia="Calibri" w:hAnsi="Calibri"/>
          <w:b/>
          <w:bCs/>
          <w:color w:val="0F3B57"/>
          <w:sz w:val="30"/>
          <w:szCs w:val="30"/>
        </w:rPr>
        <w:t xml:space="preserve">12. Quality assurance</w:t>
      </w:r>
    </w:p>
    <w:p>
      <w:pPr>
        <w:spacing w:after="120" w:before="0" w:line="276"/>
        <w:jc w:val="left"/>
      </w:pPr>
      <w:r>
        <w:rPr>
          <w:rFonts w:ascii="Calibri" w:cs="Calibri" w:eastAsia="Calibri" w:hAnsi="Calibri"/>
          <w:b w:val="false"/>
          <w:bCs w:val="false"/>
          <w:i w:val="false"/>
          <w:iCs w:val="false"/>
          <w:color w:val="20303C"/>
          <w:sz w:val="21"/>
          <w:szCs w:val="21"/>
        </w:rPr>
        <w:t xml:space="preserve">The platform ships with an automated test suite of 132 tests covering the API surface, catalog, database layer including PostgreSQL migration, detection engine, execution adapters, framework crosswalks, learning platform, lifecycle state machine, log search and redaction, provisioning, reporting formats, scoring, service orchestration, SIEM integration and user management.</w:t>
      </w:r>
    </w:p>
    <w:p>
      <w:pPr>
        <w:spacing w:after="120" w:before="0" w:line="276"/>
        <w:jc w:val="left"/>
      </w:pPr>
      <w:r>
        <w:rPr>
          <w:rFonts w:ascii="Calibri" w:cs="Calibri" w:eastAsia="Calibri" w:hAnsi="Calibri"/>
          <w:b w:val="false"/>
          <w:bCs w:val="false"/>
          <w:i w:val="false"/>
          <w:iCs w:val="false"/>
          <w:color w:val="20303C"/>
          <w:sz w:val="21"/>
          <w:szCs w:val="21"/>
        </w:rPr>
        <w:t xml:space="preserve">The suite runs against the standard library with no external services required. Tests that need Docker or PostgreSQL skip cleanly when those are unavailable.</w:t>
      </w:r>
    </w:p>
    <w:p>
      <w:r>
        <w:br w:type="page"/>
      </w:r>
    </w:p>
    <w:p>
      <w:pPr>
        <w:pStyle w:val="Heading1"/>
        <w:pBdr>
          <w:bottom w:val="single" w:color="1F7A8C" w:sz="8" w:space="6"/>
        </w:pBdr>
        <w:spacing w:after="160" w:before="360"/>
      </w:pPr>
      <w:r>
        <w:rPr>
          <w:rFonts w:ascii="Calibri" w:cs="Calibri" w:eastAsia="Calibri" w:hAnsi="Calibri"/>
          <w:b/>
          <w:bCs/>
          <w:color w:val="0F3B57"/>
          <w:sz w:val="30"/>
          <w:szCs w:val="30"/>
        </w:rPr>
        <w:t xml:space="preserve">13. Roadmap</w:t>
      </w:r>
    </w:p>
    <w:p>
      <w:pPr>
        <w:spacing w:after="120" w:before="0" w:line="276"/>
        <w:jc w:val="left"/>
      </w:pPr>
      <w:r>
        <w:rPr>
          <w:rFonts w:ascii="Calibri" w:cs="Calibri" w:eastAsia="Calibri" w:hAnsi="Calibri"/>
          <w:b w:val="false"/>
          <w:bCs w:val="false"/>
          <w:i w:val="false"/>
          <w:iCs w:val="false"/>
          <w:color w:val="20303C"/>
          <w:sz w:val="21"/>
          <w:szCs w:val="21"/>
        </w:rPr>
        <w:t xml:space="preserve">The following are documented integration seams rather than shipping capability. They are listed so that scope is unambiguous.</w:t>
      </w:r>
    </w:p>
    <w:p>
      <w:pPr>
        <w:spacing w:after="60"/>
      </w:pPr>
    </w:p>
    <w:tbl>
      <w:tblPr>
        <w:tblW w:type="dxa" w:w="9360"/>
        <w:tblBorders>
          <w:top w:val="single" w:color="C9D6DE" w:sz="4"/>
          <w:left w:val="single" w:color="C9D6DE" w:sz="4"/>
          <w:bottom w:val="single" w:color="C9D6DE" w:sz="4"/>
          <w:right w:val="single" w:color="C9D6DE" w:sz="4"/>
          <w:insideH w:val="single" w:color="C9D6DE" w:sz="2"/>
          <w:insideV w:val="single" w:color="C9D6DE" w:sz="2"/>
        </w:tblBorders>
      </w:tblPr>
      <w:tblGrid>
        <w:gridCol w:w="4400"/>
        <w:gridCol w:w="4960"/>
      </w:tblGrid>
      <w:tr>
        <w:trPr>
          <w:tblHeader/>
        </w:trPr>
        <w:tc>
          <w:tcPr>
            <w:tcW w:type="dxa" w:w="440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Item</w:t>
            </w:r>
          </w:p>
        </w:tc>
        <w:tc>
          <w:tcPr>
            <w:tcW w:type="dxa" w:w="4960"/>
            <w:shd w:fill="0F3B57"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FFFFFF"/>
                <w:sz w:val="19"/>
                <w:szCs w:val="19"/>
              </w:rPr>
              <w:t xml:space="preserve">Status</w:t>
            </w:r>
          </w:p>
        </w:tc>
      </w:tr>
      <w:tr>
        <w:trPr>
          <w:tblHeader w:val="false"/>
        </w:trPr>
        <w:tc>
          <w:tcPr>
            <w:tcW w:type="dxa" w:w="44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Hypervisor provisioning (KVM, Proxmox, VMware)</w:t>
            </w:r>
          </w:p>
        </w:tc>
        <w:tc>
          <w:tcPr>
            <w:tcW w:type="dxa" w:w="49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Seam defined via topology templates. Adapter to be built.</w:t>
            </w:r>
          </w:p>
        </w:tc>
      </w:tr>
      <w:tr>
        <w:trPr>
          <w:tblHeader w:val="false"/>
        </w:trPr>
        <w:tc>
          <w:tcPr>
            <w:tcW w:type="dxa" w:w="44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Real Windows endpoints and Active Directory domain</w:t>
            </w:r>
          </w:p>
        </w:tc>
        <w:tc>
          <w:tcPr>
            <w:tcW w:type="dxa" w:w="49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Requires the virtual machine tier above</w:t>
            </w:r>
          </w:p>
        </w:tc>
      </w:tr>
      <w:tr>
        <w:trPr>
          <w:tblHeader w:val="false"/>
        </w:trPr>
        <w:tc>
          <w:tcPr>
            <w:tcW w:type="dxa" w:w="44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Kernel-level runtime sensing and network intrusion detection</w:t>
            </w:r>
          </w:p>
        </w:tc>
        <w:tc>
          <w:tcPr>
            <w:tcW w:type="dxa" w:w="49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Telemetry contract defined. Sensors to be integrated.</w:t>
            </w:r>
          </w:p>
        </w:tc>
      </w:tr>
      <w:tr>
        <w:trPr>
          <w:tblHeader w:val="false"/>
        </w:trPr>
        <w:tc>
          <w:tcPr>
            <w:tcW w:type="dxa" w:w="440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SSO and OIDC identity</w:t>
            </w:r>
          </w:p>
        </w:tc>
        <w:tc>
          <w:tcPr>
            <w:tcW w:type="dxa" w:w="4960"/>
            <w:shd w:fill="EDF2F5"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RBAC layer already isolated from the identity layer</w:t>
            </w:r>
          </w:p>
        </w:tc>
      </w:tr>
      <w:tr>
        <w:trPr>
          <w:tblHeader w:val="false"/>
        </w:trPr>
        <w:tc>
          <w:tcPr>
            <w:tcW w:type="dxa" w:w="440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bCs/>
                <w:color w:val="20303C"/>
                <w:sz w:val="19"/>
                <w:szCs w:val="19"/>
              </w:rPr>
              <w:t xml:space="preserve">Kubernetes-managed hypervisor pools, cloud-hosted ranges</w:t>
            </w:r>
          </w:p>
        </w:tc>
        <w:tc>
          <w:tcPr>
            <w:tcW w:type="dxa" w:w="4960"/>
            <w:shd w:fill="FFFFFF" w:color="auto" w:val="clear"/>
            <w:tcMar>
              <w:top w:type="dxa" w:w="60"/>
              <w:left w:type="dxa" w:w="110"/>
              <w:bottom w:type="dxa" w:w="60"/>
              <w:right w:type="dxa" w:w="110"/>
            </w:tcMar>
          </w:tcPr>
          <w:p>
            <w:pPr>
              <w:spacing w:after="40" w:before="40" w:line="260"/>
              <w:jc w:val="left"/>
            </w:pPr>
            <w:r>
              <w:rPr>
                <w:rFonts w:ascii="Calibri" w:cs="Calibri" w:eastAsia="Calibri" w:hAnsi="Calibri"/>
                <w:b w:val="false"/>
                <w:bCs w:val="false"/>
                <w:color w:val="20303C"/>
                <w:sz w:val="19"/>
                <w:szCs w:val="19"/>
              </w:rPr>
              <w:t xml:space="preserve">Control plane designed to scale to this</w:t>
            </w:r>
          </w:p>
        </w:tc>
      </w:tr>
    </w:tbl>
    <w:p>
      <w:pPr>
        <w:pStyle w:val="Heading1"/>
        <w:pBdr>
          <w:bottom w:val="single" w:color="1F7A8C" w:sz="8" w:space="6"/>
        </w:pBdr>
        <w:spacing w:after="160" w:before="360"/>
      </w:pPr>
      <w:r>
        <w:rPr>
          <w:rFonts w:ascii="Calibri" w:cs="Calibri" w:eastAsia="Calibri" w:hAnsi="Calibri"/>
          <w:b/>
          <w:bCs/>
          <w:color w:val="0F3B57"/>
          <w:sz w:val="30"/>
          <w:szCs w:val="30"/>
        </w:rPr>
        <w:t xml:space="preserve">14. Why this architecture matters commercially</w:t>
      </w:r>
    </w:p>
    <w:p>
      <w:pPr>
        <w:pStyle w:val="ListParagraph"/>
        <w:numPr>
          <w:ilvl w:val="0"/>
          <w:numId w:val="2"/>
        </w:numPr>
        <w:spacing w:after="80" w:line="276"/>
      </w:pPr>
      <w:r>
        <w:rPr>
          <w:rFonts w:ascii="Calibri" w:cs="Calibri" w:eastAsia="Calibri" w:hAnsi="Calibri"/>
          <w:b/>
          <w:bCs/>
          <w:sz w:val="21"/>
          <w:szCs w:val="21"/>
        </w:rPr>
        <w:t xml:space="preserve">Evidence, not assertion. </w:t>
      </w:r>
      <w:r>
        <w:rPr>
          <w:rFonts w:ascii="Calibri" w:cs="Calibri" w:eastAsia="Calibri" w:hAnsi="Calibri"/>
          <w:sz w:val="21"/>
          <w:szCs w:val="21"/>
        </w:rPr>
        <w:t xml:space="preserve">Detections carry the rule that fired, the matched line, the severity and the measured latency. Reports are built from a hash-stamped timeline. This is the material an auditor, an accreditation body or a board asks for.</w:t>
      </w:r>
    </w:p>
    <w:p>
      <w:pPr>
        <w:pStyle w:val="ListParagraph"/>
        <w:numPr>
          <w:ilvl w:val="0"/>
          <w:numId w:val="2"/>
        </w:numPr>
        <w:spacing w:after="80" w:line="276"/>
      </w:pPr>
      <w:r>
        <w:rPr>
          <w:rFonts w:ascii="Calibri" w:cs="Calibri" w:eastAsia="Calibri" w:hAnsi="Calibri"/>
          <w:b/>
          <w:bCs/>
          <w:sz w:val="21"/>
          <w:szCs w:val="21"/>
        </w:rPr>
        <w:t xml:space="preserve">Honest fidelity labelling. </w:t>
      </w:r>
      <w:r>
        <w:rPr>
          <w:rFonts w:ascii="Calibri" w:cs="Calibri" w:eastAsia="Calibri" w:hAnsi="Calibri"/>
          <w:sz w:val="21"/>
          <w:szCs w:val="21"/>
        </w:rPr>
        <w:t xml:space="preserve">Every event states whether it is real or simulated. Customers are never in a position to discover after purchase that execution meant a canned script.</w:t>
      </w:r>
    </w:p>
    <w:p>
      <w:pPr>
        <w:pStyle w:val="ListParagraph"/>
        <w:numPr>
          <w:ilvl w:val="0"/>
          <w:numId w:val="2"/>
        </w:numPr>
        <w:spacing w:after="80" w:line="276"/>
      </w:pPr>
      <w:r>
        <w:rPr>
          <w:rFonts w:ascii="Calibri" w:cs="Calibri" w:eastAsia="Calibri" w:hAnsi="Calibri"/>
          <w:b/>
          <w:bCs/>
          <w:sz w:val="21"/>
          <w:szCs w:val="21"/>
        </w:rPr>
        <w:t xml:space="preserve">Fog of war by construction. </w:t>
      </w:r>
      <w:r>
        <w:rPr>
          <w:rFonts w:ascii="Calibri" w:cs="Calibri" w:eastAsia="Calibri" w:hAnsi="Calibri"/>
          <w:sz w:val="21"/>
          <w:szCs w:val="21"/>
        </w:rPr>
        <w:t xml:space="preserve">The defender view is redacted at the query layer, not by asking participants not to look. That is what makes measured detection performance mean something.</w:t>
      </w:r>
    </w:p>
    <w:p>
      <w:pPr>
        <w:pStyle w:val="ListParagraph"/>
        <w:numPr>
          <w:ilvl w:val="0"/>
          <w:numId w:val="2"/>
        </w:numPr>
        <w:spacing w:after="80" w:line="276"/>
      </w:pPr>
      <w:r>
        <w:rPr>
          <w:rFonts w:ascii="Calibri" w:cs="Calibri" w:eastAsia="Calibri" w:hAnsi="Calibri"/>
          <w:b/>
          <w:bCs/>
          <w:sz w:val="21"/>
          <w:szCs w:val="21"/>
        </w:rPr>
        <w:t xml:space="preserve">Degrades instead of failing. </w:t>
      </w:r>
      <w:r>
        <w:rPr>
          <w:rFonts w:ascii="Calibri" w:cs="Calibri" w:eastAsia="Calibri" w:hAnsi="Calibri"/>
          <w:sz w:val="21"/>
          <w:szCs w:val="21"/>
        </w:rPr>
        <w:t xml:space="preserve">With no Docker daemon available the exercise still runs, still scores, still reports, and says so.</w:t>
      </w:r>
    </w:p>
    <w:p>
      <w:pPr>
        <w:pStyle w:val="ListParagraph"/>
        <w:numPr>
          <w:ilvl w:val="0"/>
          <w:numId w:val="2"/>
        </w:numPr>
        <w:spacing w:after="80" w:line="276"/>
      </w:pPr>
      <w:r>
        <w:rPr>
          <w:rFonts w:ascii="Calibri" w:cs="Calibri" w:eastAsia="Calibri" w:hAnsi="Calibri"/>
          <w:b/>
          <w:bCs/>
          <w:sz w:val="21"/>
          <w:szCs w:val="21"/>
        </w:rPr>
        <w:t xml:space="preserve">Portable by design. </w:t>
      </w:r>
      <w:r>
        <w:rPr>
          <w:rFonts w:ascii="Calibri" w:cs="Calibri" w:eastAsia="Calibri" w:hAnsi="Calibri"/>
          <w:sz w:val="21"/>
          <w:szCs w:val="21"/>
        </w:rPr>
        <w:t xml:space="preserve">SQLite to PostgreSQL, built-in detection to a real SIEM, local login to SSO, containers to virtual machines. Each is an adapter swap behind an interface that already exists.</w:t>
      </w:r>
    </w:p>
    <w:p>
      <w:pPr>
        <w:spacing w:after="400"/>
      </w:pPr>
    </w:p>
    <w:p>
      <w:pPr>
        <w:spacing w:after="120" w:before="0" w:line="276"/>
        <w:jc w:val="left"/>
      </w:pPr>
      <w:r>
        <w:rPr>
          <w:rFonts w:ascii="Calibri" w:cs="Calibri" w:eastAsia="Calibri" w:hAnsi="Calibri"/>
          <w:b w:val="false"/>
          <w:bCs w:val="false"/>
          <w:i/>
          <w:iCs/>
          <w:color w:val="5A6672"/>
          <w:sz w:val="18"/>
          <w:szCs w:val="18"/>
        </w:rPr>
        <w:t xml:space="preserve">Prepared for customer technical evaluation. Counts and capabilities in this document reflect the current shipping build and were verified against the platform content catalog, API surface and automated test suite at the time of writing.</w:t>
      </w:r>
    </w:p>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6"/>
        <w:szCs w:val="16"/>
      </w:rPr>
      <w:t xml:space="preserve">Page </w:t>
    </w:r>
    <w:r>
      <w:rPr>
        <w:rFonts w:ascii="Calibri" w:cs="Calibri" w:eastAsia="Calibri" w:hAnsi="Calibri"/>
        <w:color w:val="5A6672"/>
        <w:sz w:val="16"/>
        <w:szCs w:val="16"/>
      </w:rPr>
      <w:fldChar w:fldCharType="begin"/>
      <w:instrText xml:space="preserve">PAGE</w:instrText>
      <w:fldChar w:fldCharType="separate"/>
      <w:fldChar w:fldCharType="end"/>
    </w:r>
    <w:r>
      <w:rPr>
        <w:rFonts w:ascii="Calibri" w:cs="Calibri" w:eastAsia="Calibri" w:hAnsi="Calibri"/>
        <w:color w:val="5A6672"/>
        <w:sz w:val="16"/>
        <w:szCs w:val="16"/>
      </w:rPr>
      <w:t xml:space="preserve"> of </w:t>
    </w:r>
    <w:r>
      <w:rPr>
        <w:rFonts w:ascii="Calibri" w:cs="Calibri" w:eastAsia="Calibri" w:hAnsi="Calibri"/>
        <w:color w:val="5A66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E" w:sz="4" w:space="4"/>
      </w:pBdr>
      <w:jc w:val="right"/>
    </w:pPr>
    <w:r>
      <w:rPr>
        <w:rFonts w:ascii="Calibri" w:cs="Calibri" w:eastAsia="Calibri" w:hAnsi="Calibri"/>
        <w:color w:val="5A6672"/>
        <w:sz w:val="16"/>
        <w:szCs w:val="16"/>
      </w:rPr>
      <w:t xml:space="preserve">CyberRange  |  Technical Capabilities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16"/>
      </w:pPr>
    </w:lvl>
    <w:lvl w:ilvl="1" w15:tentative="1">
      <w:start w:val="1"/>
      <w:numFmt w:val="bullet"/>
      <w:lvlText w:val="◦"/>
      <w:lvlJc w:val="left"/>
      <w:pPr>
        <w:ind w:left="892" w:hanging="316"/>
      </w:pPr>
    </w:lvl>
  </w:abstractNum>
  <w:abstractNum w:abstractNumId="3" w15:restartNumberingAfterBreak="0">
    <w:multiLevelType w:val="hybridMultilevel"/>
    <w:lvl w:ilvl="0" w15:tentative="1">
      <w:start w:val="1"/>
      <w:numFmt w:val="decimal"/>
      <w:lvlText w:val="%1."/>
      <w:lvlJc w:val="left"/>
      <w:pPr>
        <w:ind w:left="518" w:hanging="374"/>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26486c888a17225dfa26e28faefa4458c7137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CyberRange Technical Capabilities</dc:title>
  <dc:creator>VotalAI</dc:creator>
  <dc:description>Technical capabilities of the CyberRange platform</dc:description>
  <cp:lastModifiedBy>Un-named</cp:lastModifiedBy>
  <cp:revision>1</cp:revision>
  <dcterms:created xsi:type="dcterms:W3CDTF">2026-08-05T03:24:05.625Z</dcterms:created>
  <dcterms:modified xsi:type="dcterms:W3CDTF">2026-08-05T03:24:05.625Z</dcterms:modified>
</cp:coreProperties>
</file>

<file path=docProps/custom.xml><?xml version="1.0" encoding="utf-8"?>
<Properties xmlns="http://schemas.openxmlformats.org/officeDocument/2006/custom-properties" xmlns:vt="http://schemas.openxmlformats.org/officeDocument/2006/docPropsVTypes"/>
</file>