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b/>
          <w:color w:val="00A6A6"/>
          <w:sz w:val="20"/>
        </w:rPr>
        <w:t>PRODUCT SPECIFICATION</w:t>
      </w:r>
    </w:p>
    <w:p>
      <w:pPr>
        <w:pStyle w:val="Title"/>
      </w:pPr>
      <w:r>
        <w:t>CyberRange</w:t>
      </w:r>
    </w:p>
    <w:p>
      <w:pPr>
        <w:pStyle w:val="Subtitle"/>
      </w:pPr>
      <w:r>
        <w:t>VM-based Red, Blue &amp; Purple Team Training and Validation Platform</w:t>
      </w:r>
    </w:p>
    <w:p>
      <w:pPr>
        <w:spacing w:after="40"/>
      </w:pPr>
      <w:r>
        <w:rPr>
          <w:b/>
          <w:color w:val="17324D"/>
        </w:rPr>
        <w:t xml:space="preserve">Document owner: </w:t>
      </w:r>
      <w:r>
        <w:t>Product &amp; Security Engineering</w:t>
      </w:r>
    </w:p>
    <w:p>
      <w:pPr>
        <w:spacing w:after="40"/>
      </w:pPr>
      <w:r>
        <w:rPr>
          <w:b/>
          <w:color w:val="17324D"/>
        </w:rPr>
        <w:t xml:space="preserve">Version: </w:t>
      </w:r>
      <w:r>
        <w:t>1.0</w:t>
      </w:r>
    </w:p>
    <w:p>
      <w:pPr>
        <w:spacing w:after="40"/>
      </w:pPr>
      <w:r>
        <w:rPr>
          <w:b/>
          <w:color w:val="17324D"/>
        </w:rPr>
        <w:t xml:space="preserve">Date: </w:t>
      </w:r>
      <w:r>
        <w:t>July 20, 2026</w:t>
      </w:r>
    </w:p>
    <w:p>
      <w:pPr>
        <w:spacing w:after="40"/>
      </w:pPr>
      <w:r>
        <w:rPr>
          <w:b/>
          <w:color w:val="17324D"/>
        </w:rPr>
        <w:t xml:space="preserve">Status: </w:t>
      </w:r>
      <w:r>
        <w:t>Draft for architecture and MVP planning</w:t>
      </w:r>
    </w:p>
    <w:p>
      <w:pPr>
        <w:spacing w:before="200"/>
        <w:pBdr>
          <w:bottom w:val="single" w:sz="18" w:color="00A6A6"/>
        </w:pBdr>
      </w:pPr>
    </w:p>
    <w:tbl>
      <w:tblPr>
        <w:tblW w:type="dxa" w:w="9360"/>
        <w:jc w:val="left"/>
        <w:tblLayout w:type="fixed"/>
        <w:tblLook w:firstColumn="1" w:firstRow="1" w:lastColumn="0" w:lastRow="0" w:noHBand="0" w:noVBand="1" w:val="04A0"/>
        <w:tblInd w:w="120" w:type="dxa"/>
        <w:tblBorders>
          <w:top w:val="single" w:sz="8" w:color="1F4E78"/>
          <w:left w:val="single" w:sz="8" w:color="1F4E78"/>
          <w:bottom w:val="single" w:sz="8" w:color="1F4E78"/>
          <w:right w:val="single" w:sz="8" w:color="1F4E78"/>
          <w:insideH w:val="single" w:sz="8" w:color="1F4E78"/>
          <w:insideV w:val="single" w:sz="8" w:color="1F4E78"/>
        </w:tblBorders>
      </w:tblPr>
      <w:tblGrid>
        <w:gridCol w:w="9360"/>
      </w:tblGrid>
      <w:tr>
        <w:tc>
          <w:tcPr>
            <w:tcW w:type="dxa" w:w="9360"/>
            <w:shd w:fill="EAF2F8"/>
            <w:tcMar>
              <w:top w:w="140" w:type="dxa"/>
              <w:start w:w="180" w:type="dxa"/>
              <w:bottom w:w="140" w:type="dxa"/>
              <w:end w:w="180" w:type="dxa"/>
            </w:tcMar>
          </w:tcPr>
          <w:p>
            <w:pPr>
              <w:spacing w:after="0"/>
            </w:pPr>
            <w:r/>
            <w:r>
              <w:rPr>
                <w:b/>
                <w:color w:val="1F4E78"/>
                <w:sz w:val="20"/>
              </w:rPr>
              <w:t xml:space="preserve">PRODUCT VISION  </w:t>
            </w:r>
            <w:r>
              <w:rPr>
                <w:color w:val="17324D"/>
                <w:sz w:val="20"/>
              </w:rPr>
              <w:t>Give defenders, attackers, and joint teams a safe, repeatable environment to execute realistic adversary behaviors, observe telemetry, validate controls, and prove measurable readiness—without exposing production systems.</w:t>
            </w:r>
          </w:p>
        </w:tc>
      </w:tr>
    </w:tbl>
    <w:p>
      <w:pPr>
        <w:spacing w:after="20"/>
      </w:pPr>
    </w:p>
    <w:p>
      <w:pPr>
        <w:pStyle w:val="Heading1"/>
      </w:pPr>
      <w:r>
        <w:t>Executive summary</w:t>
      </w:r>
    </w:p>
    <w:p>
      <w:r>
        <w:t>CyberRange is a multi-tenant cyber exercise platform that deploys isolated Windows and Linux VM-based environments, including Docker hosts and containerized workloads, and runs curated scenarios mapped to MITRE ATT&amp;CK techniques. Red Teams execute approved adversary actions, Blue Teams investigate and contain them, and Purple Teams replay the same activity to tune detections and controls. Every exercise produces synchronized evidence, scoring, and an after-action report.</w:t>
      </w:r>
    </w:p>
    <w:p>
      <w:pPr>
        <w:pStyle w:val="Heading2"/>
      </w:pPr>
      <w:r>
        <w:t>MVP decision statement</w:t>
      </w:r>
    </w:p>
    <w:p>
      <w:r>
        <w:t>Build a single-node or small-cluster MVP that supports 1–20 concurrent ranges, Windows and Linux targets, Docker Engine and Docker Compose workloads, an attacker workstation, centralized telemetry, browser-based access, scenario reset, role-specific objectives, and an initial catalog of 24 safe TTP emulations. Design the control plane to scale later to Kubernetes-managed hypervisor pools and cloud-hosted ranges.</w:t>
      </w:r>
    </w:p>
    <w:p>
      <w:pPr>
        <w:pStyle w:val="Heading1"/>
      </w:pPr>
      <w:r>
        <w:t>1. Goals, users, and boundaries</w:t>
      </w:r>
    </w:p>
    <w:p>
      <w:pPr>
        <w:pStyle w:val="Heading2"/>
      </w:pPr>
      <w:r>
        <w:t>Goals</w:t>
      </w:r>
    </w:p>
    <w:p>
      <w:pPr>
        <w:pStyle w:val="ListBullet"/>
        <w:spacing w:after="80" w:line="276" w:lineRule="auto"/>
      </w:pPr>
      <w:r>
        <w:t>Provision a complete, isolated range in under 10 minutes and reset it in under 5 minutes.</w:t>
      </w:r>
    </w:p>
    <w:p>
      <w:pPr>
        <w:pStyle w:val="ListBullet"/>
        <w:spacing w:after="80" w:line="276" w:lineRule="auto"/>
      </w:pPr>
      <w:r>
        <w:t>Provide role-specific Red, Blue, Purple, instructor, and administrator experiences.</w:t>
      </w:r>
    </w:p>
    <w:p>
      <w:pPr>
        <w:pStyle w:val="ListBullet"/>
        <w:spacing w:after="80" w:line="276" w:lineRule="auto"/>
      </w:pPr>
      <w:r>
        <w:t>Map every scenario step, signal, detection, and response action to ATT&amp;CK IDs and expected evidence.</w:t>
      </w:r>
    </w:p>
    <w:p>
      <w:pPr>
        <w:pStyle w:val="ListBullet"/>
        <w:spacing w:after="80" w:line="276" w:lineRule="auto"/>
      </w:pPr>
      <w:r>
        <w:t>Capture commands/actions, host and network telemetry, alerts, timelines, scores, and learner notes in a unified exercise record.</w:t>
      </w:r>
    </w:p>
    <w:p>
      <w:pPr>
        <w:pStyle w:val="ListBullet"/>
        <w:spacing w:after="80" w:line="276" w:lineRule="auto"/>
      </w:pPr>
      <w:r>
        <w:t>Support repeatable control validation for EDR, SIEM, identity, email, network, and cloud-adjacent security workflows.</w:t>
      </w:r>
    </w:p>
    <w:p>
      <w:pPr>
        <w:pStyle w:val="Heading2"/>
      </w:pPr>
      <w:r>
        <w:t>Non-goals for MVP</w:t>
      </w:r>
    </w:p>
    <w:p>
      <w:pPr>
        <w:pStyle w:val="ListBullet"/>
        <w:spacing w:after="80" w:line="276" w:lineRule="auto"/>
      </w:pPr>
      <w:r>
        <w:t>Internet-scale offensive operations, autonomous exploitation of unknown external systems, or unrestricted malware execution.</w:t>
      </w:r>
    </w:p>
    <w:p>
      <w:pPr>
        <w:pStyle w:val="ListBullet"/>
        <w:spacing w:after="80" w:line="276" w:lineRule="auto"/>
      </w:pPr>
      <w:r>
        <w:t>Full production digital-twin fidelity, physical/OT hardware-in-the-loop, or mobile device labs.</w:t>
      </w:r>
    </w:p>
    <w:p>
      <w:pPr>
        <w:pStyle w:val="ListBullet"/>
        <w:spacing w:after="80" w:line="276" w:lineRule="auto"/>
      </w:pPr>
      <w:r>
        <w:t>Replacing an enterprise SIEM, EDR, SOAR, ticketing platform, or certification LMS.</w:t>
      </w:r>
    </w:p>
    <w:p>
      <w:pPr>
        <w:pStyle w:val="ListBullet"/>
        <w:spacing w:after="80" w:line="276" w:lineRule="auto"/>
      </w:pPr>
      <w:r>
        <w:t>Providing public, anonymous access to offensive tooling.</w:t>
      </w:r>
    </w:p>
    <w:p>
      <w:pPr>
        <w:pStyle w:val="Heading2"/>
      </w:pPr>
      <w:r>
        <w:t>Primary personas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3400"/>
        <w:gridCol w:w="4160"/>
      </w:tblGrid>
      <w:tr>
        <w:trPr>
          <w:tblHeader/>
        </w:trPr>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Persona</w:t>
            </w:r>
          </w:p>
        </w:tc>
        <w:tc>
          <w:tcPr>
            <w:tcW w:type="dxa" w:w="34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Primary job</w:t>
            </w:r>
          </w:p>
        </w:tc>
        <w:tc>
          <w:tcPr>
            <w:tcW w:type="dxa" w:w="4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Success measure</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 Team operator</w:t>
            </w:r>
          </w:p>
        </w:tc>
        <w:tc>
          <w:tcPr>
            <w:tcW w:type="dxa" w:w="3400"/>
            <w:tcW w:w="3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Execute authorized scenario actions and document attack path.</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Objectives completed with evidence; no policy violations.</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Blue Team analyst</w:t>
            </w:r>
          </w:p>
        </w:tc>
        <w:tc>
          <w:tcPr>
            <w:tcW w:type="dxa" w:w="3400"/>
            <w:tcW w:w="34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 triage, scope, contain, and recover.</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Low MTTD/MTTR; accurate findings; correct containment.</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Purple Team lead</w:t>
            </w:r>
          </w:p>
        </w:tc>
        <w:tc>
          <w:tcPr>
            <w:tcW w:type="dxa" w:w="3400"/>
            <w:tcW w:w="3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Coordinate replay and close detection/control gaps.</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Coverage improvement between baseline and replay.</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Instructor</w:t>
            </w:r>
          </w:p>
        </w:tc>
        <w:tc>
          <w:tcPr>
            <w:tcW w:type="dxa" w:w="3400"/>
            <w:tcW w:w="34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Launch, observe, inject events, grade, and debrief.</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Smooth delivery; objective and explainable scoring.</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Range administrator</w:t>
            </w:r>
          </w:p>
        </w:tc>
        <w:tc>
          <w:tcPr>
            <w:tcW w:type="dxa" w:w="3400"/>
            <w:tcW w:w="3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Manage images, quotas, isolation, integrations, and audit.</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Reliable, secure, cost-controlled operation.</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Security leader</w:t>
            </w:r>
          </w:p>
        </w:tc>
        <w:tc>
          <w:tcPr>
            <w:tcW w:type="dxa" w:w="3400"/>
            <w:tcW w:w="34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Assess readiness and investment priorities.</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Trendable risk and coverage evidence.</w:t>
            </w:r>
          </w:p>
        </w:tc>
      </w:tr>
    </w:tbl>
    <w:p>
      <w:pPr>
        <w:spacing w:after="40"/>
      </w:pPr>
    </w:p>
    <w:p>
      <w:pPr>
        <w:pStyle w:val="Heading1"/>
      </w:pPr>
      <w:r>
        <w:t>2. Product experience</w:t>
      </w:r>
    </w:p>
    <w:p>
      <w:pPr>
        <w:pStyle w:val="Heading2"/>
      </w:pPr>
      <w:r>
        <w:t>Core user journey</w:t>
      </w:r>
    </w:p>
    <w:p>
      <w:pPr>
        <w:pStyle w:val="ListNumber"/>
        <w:spacing w:after="80" w:line="276" w:lineRule="auto"/>
      </w:pPr>
      <w:r>
        <w:t>Select a scenario, team mode, difficulty, target environment, tools, and time limit.</w:t>
      </w:r>
    </w:p>
    <w:p>
      <w:pPr>
        <w:pStyle w:val="ListNumber"/>
        <w:spacing w:after="80" w:line="276" w:lineRule="auto"/>
      </w:pPr>
      <w:r>
        <w:t>Platform validates capacity and policy, clones signed VM templates, creates an isolated network, seeds identities/data, and starts telemetry.</w:t>
      </w:r>
    </w:p>
    <w:p>
      <w:pPr>
        <w:pStyle w:val="ListNumber"/>
        <w:spacing w:after="80" w:line="276" w:lineRule="auto"/>
      </w:pPr>
      <w:r>
        <w:t>Participants enter through a browser-based workspace with role-specific objectives, communications, hints, and approved tools.</w:t>
      </w:r>
    </w:p>
    <w:p>
      <w:pPr>
        <w:pStyle w:val="ListNumber"/>
        <w:spacing w:after="80" w:line="276" w:lineRule="auto"/>
      </w:pPr>
      <w:r>
        <w:t>The exercise engine publishes injects and records actions, signals, detections, decisions, and artifacts on one synchronized timeline.</w:t>
      </w:r>
    </w:p>
    <w:p>
      <w:pPr>
        <w:pStyle w:val="ListNumber"/>
        <w:spacing w:after="80" w:line="276" w:lineRule="auto"/>
      </w:pPr>
      <w:r>
        <w:t>Instructor ends or auto-completes the run; platform quarantines the environment, snapshots evidence, scores results, generates the report, and destroys or resets the range.</w:t>
      </w:r>
    </w:p>
    <w:p>
      <w:pPr>
        <w:pStyle w:val="ListNumber"/>
        <w:spacing w:after="80" w:line="276" w:lineRule="auto"/>
      </w:pPr>
      <w:r>
        <w:t>Purple Team replays selected steps, updates detections, and compares coverage and response metrics with the baseline.</w:t>
      </w:r>
    </w:p>
    <w:p>
      <w:pPr>
        <w:pStyle w:val="Heading2"/>
      </w:pPr>
      <w:r>
        <w:t>Role modes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400"/>
        <w:gridCol w:w="3000"/>
        <w:gridCol w:w="4960"/>
      </w:tblGrid>
      <w:tr>
        <w:trPr>
          <w:tblHeader/>
        </w:trPr>
        <w:tc>
          <w:tcPr>
            <w:tcW w:type="dxa" w:w="14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Mode</w:t>
            </w:r>
          </w:p>
        </w:tc>
        <w:tc>
          <w:tcPr>
            <w:tcW w:type="dxa" w:w="30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Participant view</w:t>
            </w:r>
          </w:p>
        </w:tc>
        <w:tc>
          <w:tcPr>
            <w:tcW w:type="dxa" w:w="49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Platform behavior</w:t>
            </w:r>
          </w:p>
        </w:tc>
      </w:tr>
      <w:tr>
        <w:tc>
          <w:tcPr>
            <w:tcW w:type="dxa" w:w="1400"/>
            <w:tcW w:w="1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w:t>
            </w:r>
          </w:p>
        </w:tc>
        <w:tc>
          <w:tcPr>
            <w:tcW w:type="dxa" w:w="3000"/>
            <w:tcW w:w="3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Attack objectives, target hints, rules of engagement, evidence submission.</w:t>
            </w:r>
          </w:p>
        </w:tc>
        <w:tc>
          <w:tcPr>
            <w:tcW w:type="dxa" w:w="4960"/>
            <w:tcW w:w="4960" w:type="dxa"/>
            <w:vAlign w:val="center"/>
            <w:tcMar>
              <w:top w:w="80" w:type="dxa"/>
              <w:start w:w="120" w:type="dxa"/>
              <w:bottom w:w="80" w:type="dxa"/>
              <w:end w:w="120" w:type="dxa"/>
            </w:tcMar>
          </w:tcPr>
          <w:p>
            <w:pPr>
              <w:spacing w:after="0" w:line="252" w:lineRule="auto"/>
            </w:pPr>
            <w:r/>
            <w:r>
              <w:rPr>
                <w:rFonts w:ascii="Calibri" w:hAnsi="Calibri"/>
                <w:b w:val="0"/>
                <w:color w:val="17324D"/>
                <w:sz w:val="17"/>
              </w:rPr>
              <w:t>Expose only approved tools/actions; record full audit trail; prevent egress.</w:t>
            </w:r>
          </w:p>
        </w:tc>
      </w:tr>
      <w:tr>
        <w:tc>
          <w:tcPr>
            <w:tcW w:type="dxa" w:w="1400"/>
            <w:tcW w:w="14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Blue</w:t>
            </w:r>
          </w:p>
        </w:tc>
        <w:tc>
          <w:tcPr>
            <w:tcW w:type="dxa" w:w="3000"/>
            <w:tcW w:w="30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Alerts, SIEM/EDR consoles, cases, asset context, response actions.</w:t>
            </w:r>
          </w:p>
        </w:tc>
        <w:tc>
          <w:tcPr>
            <w:tcW w:type="dxa" w:w="4960"/>
            <w:tcW w:w="49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Delay or suppress select signals by difficulty; score investigation quality.</w:t>
            </w:r>
          </w:p>
        </w:tc>
      </w:tr>
      <w:tr>
        <w:tc>
          <w:tcPr>
            <w:tcW w:type="dxa" w:w="1400"/>
            <w:tcW w:w="1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Purple</w:t>
            </w:r>
          </w:p>
        </w:tc>
        <w:tc>
          <w:tcPr>
            <w:tcW w:type="dxa" w:w="3000"/>
            <w:tcW w:w="3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Shared timeline, technique coverage, detection logic, replay controls.</w:t>
            </w:r>
          </w:p>
        </w:tc>
        <w:tc>
          <w:tcPr>
            <w:tcW w:type="dxa" w:w="4960"/>
            <w:tcW w:w="4960" w:type="dxa"/>
            <w:vAlign w:val="center"/>
            <w:tcMar>
              <w:top w:w="80" w:type="dxa"/>
              <w:start w:w="120" w:type="dxa"/>
              <w:bottom w:w="80" w:type="dxa"/>
              <w:end w:w="120" w:type="dxa"/>
            </w:tcMar>
          </w:tcPr>
          <w:p>
            <w:pPr>
              <w:spacing w:after="0" w:line="252" w:lineRule="auto"/>
            </w:pPr>
            <w:r/>
            <w:r>
              <w:rPr>
                <w:rFonts w:ascii="Calibri" w:hAnsi="Calibri"/>
                <w:b w:val="0"/>
                <w:color w:val="17324D"/>
                <w:sz w:val="17"/>
              </w:rPr>
              <w:t>Deterministically replay behaviors and compare before/after results.</w:t>
            </w:r>
          </w:p>
        </w:tc>
      </w:tr>
      <w:tr>
        <w:tc>
          <w:tcPr>
            <w:tcW w:type="dxa" w:w="1400"/>
            <w:tcW w:w="14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Instructor</w:t>
            </w:r>
          </w:p>
        </w:tc>
        <w:tc>
          <w:tcPr>
            <w:tcW w:type="dxa" w:w="3000"/>
            <w:tcW w:w="30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Live topology, team progress, injects, pause/resume, hints, scoring overrides.</w:t>
            </w:r>
          </w:p>
        </w:tc>
        <w:tc>
          <w:tcPr>
            <w:tcW w:type="dxa" w:w="4960"/>
            <w:tcW w:w="49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Observe all tenants; actions are attributed and audited.</w:t>
            </w:r>
          </w:p>
        </w:tc>
      </w:tr>
      <w:tr>
        <w:tc>
          <w:tcPr>
            <w:tcW w:type="dxa" w:w="1400"/>
            <w:tcW w:w="14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Solo</w:t>
            </w:r>
          </w:p>
        </w:tc>
        <w:tc>
          <w:tcPr>
            <w:tcW w:type="dxa" w:w="3000"/>
            <w:tcW w:w="3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Guided attacker and defender phases for one learner.</w:t>
            </w:r>
          </w:p>
        </w:tc>
        <w:tc>
          <w:tcPr>
            <w:tcW w:type="dxa" w:w="4960"/>
            <w:tcW w:w="49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Switch roles at checkpoints; retain one evidence timeline.</w:t>
            </w:r>
          </w:p>
        </w:tc>
      </w:tr>
    </w:tbl>
    <w:p>
      <w:pPr>
        <w:spacing w:after="40"/>
      </w:pPr>
    </w:p>
    <w:p>
      <w:pPr>
        <w:pStyle w:val="Heading1"/>
      </w:pPr>
      <w:r>
        <w:t>3. Reference range topology</w:t>
      </w:r>
    </w:p>
    <w:p>
      <w:r>
        <w:t>Each exercise is an ephemeral tenant with no route to other tenants, the host management plane, or the public Internet unless an administrator explicitly enables a controlled proxy allowlist.</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900"/>
        <w:gridCol w:w="3300"/>
        <w:gridCol w:w="4160"/>
      </w:tblGrid>
      <w:tr>
        <w:trPr>
          <w:tblHeader/>
        </w:trPr>
        <w:tc>
          <w:tcPr>
            <w:tcW w:type="dxa" w:w="19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Zone / component</w:t>
            </w:r>
          </w:p>
        </w:tc>
        <w:tc>
          <w:tcPr>
            <w:tcW w:type="dxa" w:w="33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Default VM or service</w:t>
            </w:r>
          </w:p>
        </w:tc>
        <w:tc>
          <w:tcPr>
            <w:tcW w:type="dxa" w:w="4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Purpose</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Access zone</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Browser gateway / bastion</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Identity-aware entry; clipboard, upload, and session policies.</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Red zone</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Kali or hardened operator Linux</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Approved emulation tools and evidence submission.</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Enterprise user zone</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Windows 11 workstation; optional Linux desktop</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User activity, documents, browser, email simulation.</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Server zone</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Windows Server AD/DNS; Linux web/app; file server</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Identity, application, data, and lateral-movement paths.</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Container zone</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Linux Docker host; Compose stack; private OCI registry</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Container image, runtime, network, volume, secret, and supply-chain scenarios.</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Container zone</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Linux Docker host; Compose stack; private OCI registry</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Container image, runtime, network, volume, secret, and supply-chain scenarios.</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Security zone</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SIEM, EDR console, network sensor, case console</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Blue Team telemetry, detections, investigation, and response.</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Control plane</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Orchestrator, scenario engine, scoring, evidence store</w:t>
            </w:r>
          </w:p>
        </w:tc>
        <w:tc>
          <w:tcPr>
            <w:tcW w:type="dxa" w:w="4160"/>
            <w:tcW w:w="4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Provisioning and governance; never reachable from tenant workloads.</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Optional services</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Email simulator, Git, object store, container host</w:t>
            </w:r>
          </w:p>
        </w:tc>
        <w:tc>
          <w:tcPr>
            <w:tcW w:type="dxa" w:w="4160"/>
            <w:tcW w:w="4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Scenario-specific business and developer workflows.</w:t>
            </w:r>
          </w:p>
        </w:tc>
      </w:tr>
    </w:tbl>
    <w:p>
      <w:pPr>
        <w:spacing w:after="40"/>
      </w:pPr>
    </w:p>
    <w:p>
      <w:pPr>
        <w:pStyle w:val="Heading2"/>
      </w:pPr>
      <w:r>
        <w:t>Deployment profiles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3700"/>
        <w:gridCol w:w="3860"/>
      </w:tblGrid>
      <w:tr>
        <w:trPr>
          <w:tblHeader/>
        </w:trPr>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Profile</w:t>
            </w:r>
          </w:p>
        </w:tc>
        <w:tc>
          <w:tcPr>
            <w:tcW w:type="dxa" w:w="37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Capacity</w:t>
            </w:r>
          </w:p>
        </w:tc>
        <w:tc>
          <w:tcPr>
            <w:tcW w:type="dxa" w:w="38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Recommended use</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Developer / demo</w:t>
            </w:r>
          </w:p>
        </w:tc>
        <w:tc>
          <w:tcPr>
            <w:tcW w:type="dxa" w:w="3700"/>
            <w:tcW w:w="3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1 host; 64–128 GB RAM; 16–32 cores; 2–4 TB NVMe</w:t>
            </w:r>
          </w:p>
        </w:tc>
        <w:tc>
          <w:tcPr>
            <w:tcW w:type="dxa" w:w="3860"/>
            <w:tcW w:w="38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Authoring and demonstrations; 1–3 concurrent ranges.</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Team appliance</w:t>
            </w:r>
          </w:p>
        </w:tc>
        <w:tc>
          <w:tcPr>
            <w:tcW w:type="dxa" w:w="3700"/>
            <w:tcW w:w="3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2–4 hypervisor nodes; 256–512 GB RAM/node; 10/25 GbE</w:t>
            </w:r>
          </w:p>
        </w:tc>
        <w:tc>
          <w:tcPr>
            <w:tcW w:type="dxa" w:w="3860"/>
            <w:tcW w:w="38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Training center; 5–20 concurrent ranges.</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Enterprise cluster</w:t>
            </w:r>
          </w:p>
        </w:tc>
        <w:tc>
          <w:tcPr>
            <w:tcW w:type="dxa" w:w="3700"/>
            <w:tcW w:w="3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HA control plane; elastic hypervisor pools; shared image/evidence storage</w:t>
            </w:r>
          </w:p>
        </w:tc>
        <w:tc>
          <w:tcPr>
            <w:tcW w:type="dxa" w:w="3860"/>
            <w:tcW w:w="3860" w:type="dxa"/>
            <w:vAlign w:val="center"/>
            <w:tcMar>
              <w:top w:w="80" w:type="dxa"/>
              <w:start w:w="120" w:type="dxa"/>
              <w:bottom w:w="80" w:type="dxa"/>
              <w:end w:w="120" w:type="dxa"/>
            </w:tcMar>
          </w:tcPr>
          <w:p>
            <w:pPr>
              <w:spacing w:after="0" w:line="252" w:lineRule="auto"/>
            </w:pPr>
            <w:r/>
            <w:r>
              <w:rPr>
                <w:rFonts w:ascii="Calibri" w:hAnsi="Calibri"/>
                <w:b w:val="0"/>
                <w:color w:val="17324D"/>
                <w:sz w:val="17"/>
              </w:rPr>
              <w:t>Multiple business units; scheduled events; 20+ ranges.</w:t>
            </w:r>
          </w:p>
        </w:tc>
      </w:tr>
    </w:tbl>
    <w:p>
      <w:pPr>
        <w:spacing w:after="40"/>
      </w:pPr>
    </w:p>
    <w:p>
      <w:pPr>
        <w:pStyle w:val="Heading1"/>
      </w:pPr>
      <w:r>
        <w:t>4. Functional requirements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900"/>
        <w:gridCol w:w="2100"/>
        <w:gridCol w:w="6360"/>
      </w:tblGrid>
      <w:tr>
        <w:trPr>
          <w:tblHeader/>
        </w:trPr>
        <w:tc>
          <w:tcPr>
            <w:tcW w:type="dxa" w:w="9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ID</w:t>
            </w:r>
          </w:p>
        </w:tc>
        <w:tc>
          <w:tcPr>
            <w:tcW w:type="dxa" w:w="21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Capability</w:t>
            </w:r>
          </w:p>
        </w:tc>
        <w:tc>
          <w:tcPr>
            <w:tcW w:type="dxa" w:w="63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Requirement</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FR-01</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Scenario catalog</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Search/filter by role, ATT&amp;CK tactic, difficulty, duration, OS, telemetry, and industry.</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FR-02</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Topology templates</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Versioned declarative topology describing VMs, networks, identities, data, tools, and resource limits.</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FR-03</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Lifecycle</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Preflight, provision, seed, start, pause, checkpoint, reset, stop, quarantine, archive, destroy.</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FR-04</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Scenario engine</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Ordered and branching objectives, injects, timers, dependencies, hints, success/failure conditions.</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FR-05</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Role workspaces</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Browser console, objectives, collaboration, notes, evidence capture, and approved file transfer.</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FR-06</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TTP emulation</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Signed, parameterized behavior modules with preconditions, expected telemetry, cleanup, and ATT&amp;CK mapping.</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FR-07</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Telemetry</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Collect endpoint, identity, network, DNS, application, audit, and exercise events with synchronized time.</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FR-08</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Detection content</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Import, test, version, and export Sigma-like rules, SIEM queries, and EDR policies.</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FR-09</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Scoring</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Automatic metrics plus instructor rubric; evidence-backed, explainable, and override-audited.</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FR-10</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Replay</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Re-run selected modules deterministically against updated controls; compare signals and outcomes.</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FR-11</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Reporting</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Participant report, instructor report, executive scorecard, timeline, gaps, and recommended actions.</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FR-12</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Administration</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RBAC, SSO, quotas, image approval, integrations, scheduling, retention, audit, and health.</w:t>
            </w:r>
          </w:p>
        </w:tc>
      </w:tr>
      <w:tr>
        <w:tc>
          <w:tcPr>
            <w:tcW w:type="dxa" w:w="900"/>
            <w:tcW w:w="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FR-13</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Authoring SDK</w:t>
            </w:r>
          </w:p>
        </w:tc>
        <w:tc>
          <w:tcPr>
            <w:tcW w:type="dxa" w:w="6360"/>
            <w:tcW w:w="63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Schema validation, local preview, test harness, linting, packaging, signing, and publishing workflow.</w:t>
            </w:r>
          </w:p>
        </w:tc>
      </w:tr>
      <w:tr>
        <w:tc>
          <w:tcPr>
            <w:tcW w:type="dxa" w:w="900"/>
            <w:tcW w:w="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FR-14</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APIs</w:t>
            </w:r>
          </w:p>
        </w:tc>
        <w:tc>
          <w:tcPr>
            <w:tcW w:type="dxa" w:w="6360"/>
            <w:tcW w:w="63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REST/event APIs for lifecycle, catalog, evidence, scoring, users, and integrations; idempotent operations.</w:t>
            </w:r>
          </w:p>
        </w:tc>
      </w:tr>
    </w:tbl>
    <w:p>
      <w:pPr>
        <w:spacing w:after="40"/>
      </w:pPr>
    </w:p>
    <w:p>
      <w:pPr>
        <w:pStyle w:val="Heading2"/>
      </w:pPr>
      <w:r>
        <w:t>Recommended detection stack</w:t>
      </w:r>
    </w:p>
    <w:p>
      <w:r>
        <w:t>Use Wazuh as the default MVP endpoint/SIEM layer, supplemented by network and container sensors. Keep all integrations behind a normalized telemetry adapter so customers can later substitute Elastic Security, Microsoft Sentinel, Splunk, or their existing SOC stack.</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700"/>
        <w:gridCol w:w="2500"/>
        <w:gridCol w:w="5160"/>
      </w:tblGrid>
      <w:tr>
        <w:trPr>
          <w:tblHeader/>
        </w:trPr>
        <w:tc>
          <w:tcPr>
            <w:tcW w:type="dxa" w:w="17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Layer</w:t>
            </w:r>
          </w:p>
        </w:tc>
        <w:tc>
          <w:tcPr>
            <w:tcW w:type="dxa" w:w="25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MVP choice</w:t>
            </w:r>
          </w:p>
        </w:tc>
        <w:tc>
          <w:tcPr>
            <w:tcW w:type="dxa" w:w="5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Coverage / rationale</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Windows endpoint</w:t>
            </w:r>
          </w:p>
        </w:tc>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Wazuh agent + Sysmon + PowerShell and Defender logs</w:t>
            </w:r>
          </w:p>
        </w:tc>
        <w:tc>
          <w:tcPr>
            <w:tcW w:type="dxa" w:w="5160"/>
            <w:tcW w:w="5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Process trees, authentication, registry, file integrity, script activity, alerts, and inventory.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Linux endpoint</w:t>
            </w:r>
          </w:p>
        </w:tc>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Wazuh agent + auditd/journald; optional osquery</w:t>
            </w:r>
          </w:p>
        </w:tc>
        <w:tc>
          <w:tcPr>
            <w:tcW w:type="dxa" w:w="5160"/>
            <w:tcW w:w="5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Process, authentication, sudo, file integrity, packages, services, and system inventory.</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Docker host</w:t>
            </w:r>
          </w:p>
        </w:tc>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Wazuh Docker listener + Docker daemon/container logs</w:t>
            </w:r>
          </w:p>
        </w:tc>
        <w:tc>
          <w:tcPr>
            <w:tcW w:type="dxa" w:w="5160"/>
            <w:tcW w:w="5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Container lifecycle, image, network, volume, and Docker API activity.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Container runtime</w:t>
            </w:r>
          </w:p>
        </w:tc>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Falco on Linux Docker hosts</w:t>
            </w:r>
          </w:p>
        </w:tc>
        <w:tc>
          <w:tcPr>
            <w:tcW w:type="dxa" w:w="5160"/>
            <w:tcW w:w="5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Near-real-time syscall and container-aware detections such as shells, sensitive mounts, and unexpected writes.</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Network</w:t>
            </w:r>
          </w:p>
        </w:tc>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Suricata for IDS; Zeek metadata where resources permit</w:t>
            </w:r>
          </w:p>
        </w:tc>
        <w:tc>
          <w:tcPr>
            <w:tcW w:type="dxa" w:w="5160"/>
            <w:tcW w:w="5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Traffic alerts, DNS/HTTP/TLS metadata, lateral movement, C2, and exfiltration evidence.</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Unified view</w:t>
            </w:r>
          </w:p>
        </w:tc>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CyberRange evidence/timeline API fed by all sensors</w:t>
            </w:r>
          </w:p>
        </w:tc>
        <w:tc>
          <w:tcPr>
            <w:tcW w:type="dxa" w:w="5160"/>
            <w:tcW w:w="5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One role-aware timeline and scoring model independent of the underlying SIEM.</w:t>
            </w:r>
          </w:p>
        </w:tc>
      </w:tr>
    </w:tbl>
    <w:p>
      <w:pPr>
        <w:spacing w:after="40"/>
      </w:pPr>
    </w:p>
    <w:tbl>
      <w:tblPr>
        <w:tblW w:type="dxa" w:w="9360"/>
        <w:jc w:val="left"/>
        <w:tblLayout w:type="fixed"/>
        <w:tblLook w:firstColumn="1" w:firstRow="1" w:lastColumn="0" w:lastRow="0" w:noHBand="0" w:noVBand="1" w:val="04A0"/>
        <w:tblInd w:w="120" w:type="dxa"/>
        <w:tblBorders>
          <w:top w:val="single" w:sz="8" w:color="1F4E78"/>
          <w:left w:val="single" w:sz="8" w:color="1F4E78"/>
          <w:bottom w:val="single" w:sz="8" w:color="1F4E78"/>
          <w:right w:val="single" w:sz="8" w:color="1F4E78"/>
          <w:insideH w:val="single" w:sz="8" w:color="1F4E78"/>
          <w:insideV w:val="single" w:sz="8" w:color="1F4E78"/>
        </w:tblBorders>
      </w:tblPr>
      <w:tblGrid>
        <w:gridCol w:w="9360"/>
      </w:tblGrid>
      <w:tr>
        <w:tc>
          <w:tcPr>
            <w:tcW w:type="dxa" w:w="9360"/>
            <w:shd w:fill="EAF2F8"/>
            <w:tcMar>
              <w:top w:w="140" w:type="dxa"/>
              <w:start w:w="180" w:type="dxa"/>
              <w:bottom w:w="140" w:type="dxa"/>
              <w:end w:w="180" w:type="dxa"/>
            </w:tcMar>
          </w:tcPr>
          <w:p>
            <w:pPr>
              <w:spacing w:after="0"/>
            </w:pPr>
            <w:r/>
            <w:r>
              <w:rPr>
                <w:b/>
                <w:color w:val="1F4E78"/>
                <w:sz w:val="20"/>
              </w:rPr>
              <w:t xml:space="preserve">RECOMMENDATION  </w:t>
            </w:r>
            <w:r>
              <w:rPr>
                <w:color w:val="17324D"/>
                <w:sz w:val="20"/>
              </w:rPr>
              <w:t>Start with Wazuh + Sysmon/auditd + Suricata + Falco. Add Zeek when deeper network hunting is required. Offer Security Onion as an advanced network-centric profile, not the default MVP, because it is operationally heavier for small per-range deployments.</w:t>
            </w:r>
          </w:p>
        </w:tc>
      </w:tr>
    </w:tbl>
    <w:p>
      <w:pPr>
        <w:spacing w:after="20"/>
      </w:pPr>
    </w:p>
    <w:p>
      <w:pPr>
        <w:pStyle w:val="Heading1"/>
      </w:pPr>
      <w:r>
        <w:t>5. TTP and scenario catalog</w:t>
      </w:r>
    </w:p>
    <w:tbl>
      <w:tblPr>
        <w:tblW w:type="dxa" w:w="9360"/>
        <w:jc w:val="left"/>
        <w:tblLayout w:type="fixed"/>
        <w:tblLook w:firstColumn="1" w:firstRow="1" w:lastColumn="0" w:lastRow="0" w:noHBand="0" w:noVBand="1" w:val="04A0"/>
        <w:tblInd w:w="120" w:type="dxa"/>
        <w:tblBorders>
          <w:top w:val="single" w:sz="8" w:color="9A6700"/>
          <w:left w:val="single" w:sz="8" w:color="9A6700"/>
          <w:bottom w:val="single" w:sz="8" w:color="9A6700"/>
          <w:right w:val="single" w:sz="8" w:color="9A6700"/>
          <w:insideH w:val="single" w:sz="8" w:color="9A6700"/>
          <w:insideV w:val="single" w:sz="8" w:color="9A6700"/>
        </w:tblBorders>
      </w:tblPr>
      <w:tblGrid>
        <w:gridCol w:w="9360"/>
      </w:tblGrid>
      <w:tr>
        <w:tc>
          <w:tcPr>
            <w:tcW w:type="dxa" w:w="9360"/>
            <w:shd w:fill="FFF8E1"/>
            <w:tcMar>
              <w:top w:w="140" w:type="dxa"/>
              <w:start w:w="180" w:type="dxa"/>
              <w:bottom w:w="140" w:type="dxa"/>
              <w:end w:w="180" w:type="dxa"/>
            </w:tcMar>
          </w:tcPr>
          <w:p>
            <w:pPr>
              <w:spacing w:after="0"/>
            </w:pPr>
            <w:r/>
            <w:r>
              <w:rPr>
                <w:b/>
                <w:color w:val="9A6700"/>
                <w:sz w:val="20"/>
              </w:rPr>
              <w:t xml:space="preserve">SAFETY MODEL  </w:t>
            </w:r>
            <w:r>
              <w:rPr>
                <w:color w:val="17324D"/>
                <w:sz w:val="20"/>
              </w:rPr>
              <w:t>Modules emulate observable adversary behavior inside owned lab assets. The catalog should favor atomic, deterministic simulations and benign stand-ins over live malware or uncontrolled exploit chains.</w:t>
            </w:r>
          </w:p>
        </w:tc>
      </w:tr>
    </w:tbl>
    <w:p>
      <w:pPr>
        <w:spacing w:after="20"/>
      </w:pP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700"/>
        <w:gridCol w:w="1200"/>
        <w:gridCol w:w="3300"/>
        <w:gridCol w:w="3160"/>
      </w:tblGrid>
      <w:tr>
        <w:trPr>
          <w:tblHeader/>
        </w:trPr>
        <w:tc>
          <w:tcPr>
            <w:tcW w:type="dxa" w:w="17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Tactic</w:t>
            </w:r>
          </w:p>
        </w:tc>
        <w:tc>
          <w:tcPr>
            <w:tcW w:type="dxa" w:w="12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ATT&amp;CK</w:t>
            </w:r>
          </w:p>
        </w:tc>
        <w:tc>
          <w:tcPr>
            <w:tcW w:type="dxa" w:w="33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Lab behavior</w:t>
            </w:r>
          </w:p>
        </w:tc>
        <w:tc>
          <w:tcPr>
            <w:tcW w:type="dxa" w:w="3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Expected evidence</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Reconnaissance</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T1595</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Controlled discovery of lab-exposed services</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Asset/network inventory, scan telemetry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Initial Access</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T1566</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Simulated phishing attachment or link</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Mail, browser, endpoint, user report</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Execution</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T1059</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Approved shell/interpreter behavior</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Process creation, command line, parent/child</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Persistence</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T1053</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Scheduled task/job in lab</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Task creation, autorun, EDR alert</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Privilege Escalation</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T1548</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Preconfigured local misconfiguration path</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Auth, process, policy telemetry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Defense Evasion</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T1070</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Benign log or artifact manipulation</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Audit gaps, tamper alert, file events</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Credential Access</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T1003</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Synthetic credential-dump simulation</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Sensitive-process access alert</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Discovery</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T1087 / T1018</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Account and remote-system discovery</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Directory queries, host/network events</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Lateral Movement</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T1021</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Remote services using seeded accounts</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Logon type, remote service, network flow</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Collection</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T1005</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Collect tagged synthetic files</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File reads, archive creation, DLP signal</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Command &amp; Control</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T1071</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Beacon to internal C2 simulator</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DNS/HTTP patterns, proxy/network alert</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Exfiltration</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T1041</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Transfer synthetic data to internal sink</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DLP, flow volume, destination alert</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Container Discovery</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T1613</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Enumerate lab containers, images, networks, and volumes</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Docker audit, runtime, and process telemetry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Escape to Host</w:t>
            </w:r>
          </w:p>
        </w:tc>
        <w:tc>
          <w:tcPr>
            <w:tcW w:type="dxa" w:w="1200"/>
            <w:tcW w:w="1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T1611</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Safe preconfigured container-to-host boundary test</w:t>
            </w:r>
          </w:p>
        </w:tc>
        <w:tc>
          <w:tcPr>
            <w:tcW w:type="dxa" w:w="3160"/>
            <w:tcW w:w="3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Falco/runtime alert, mount and host process events</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Impact</w:t>
            </w:r>
          </w:p>
        </w:tc>
        <w:tc>
          <w:tcPr>
            <w:tcW w:type="dxa" w:w="1200"/>
            <w:tcW w:w="1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T1486</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Safe canary-file encryption simulation</w:t>
            </w:r>
          </w:p>
        </w:tc>
        <w:tc>
          <w:tcPr>
            <w:tcW w:type="dxa" w:w="3160"/>
            <w:tcW w:w="3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File modifications and recovery action</w:t>
            </w:r>
          </w:p>
        </w:tc>
      </w:tr>
    </w:tbl>
    <w:p>
      <w:pPr>
        <w:spacing w:after="40"/>
      </w:pPr>
    </w:p>
    <w:p>
      <w:pPr>
        <w:pStyle w:val="Heading2"/>
      </w:pPr>
      <w:r>
        <w:t>Initial scenario packs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2000"/>
        <w:gridCol w:w="3300"/>
        <w:gridCol w:w="2900"/>
        <w:gridCol w:w="1160"/>
      </w:tblGrid>
      <w:tr>
        <w:trPr>
          <w:tblHeader/>
        </w:trPr>
        <w:tc>
          <w:tcPr>
            <w:tcW w:type="dxa" w:w="20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Scenario</w:t>
            </w:r>
          </w:p>
        </w:tc>
        <w:tc>
          <w:tcPr>
            <w:tcW w:type="dxa" w:w="33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Team objective</w:t>
            </w:r>
          </w:p>
        </w:tc>
        <w:tc>
          <w:tcPr>
            <w:tcW w:type="dxa" w:w="29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Key techniques</w:t>
            </w:r>
          </w:p>
        </w:tc>
        <w:tc>
          <w:tcPr>
            <w:tcW w:type="dxa" w:w="1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Duration</w:t>
            </w:r>
          </w:p>
        </w:tc>
      </w:tr>
      <w:tr>
        <w:tc>
          <w:tcPr>
            <w:tcW w:type="dxa" w:w="2000"/>
            <w:tcW w:w="2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Phish to foothold</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 gains a controlled foothold; Blue validates user report and endpoint containment.</w:t>
            </w:r>
          </w:p>
        </w:tc>
        <w:tc>
          <w:tcPr>
            <w:tcW w:type="dxa" w:w="2900"/>
            <w:tcW w:w="2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T1566, T1059, T1105</w:t>
            </w:r>
          </w:p>
        </w:tc>
        <w:tc>
          <w:tcPr>
            <w:tcW w:type="dxa" w:w="1160"/>
            <w:tcW w:w="1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60–90 min</w:t>
            </w:r>
          </w:p>
        </w:tc>
      </w:tr>
      <w:tr>
        <w:tc>
          <w:tcPr>
            <w:tcW w:type="dxa" w:w="2000"/>
            <w:tcW w:w="20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Identity compromise</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Investigate seeded password reuse and remote logons; revoke sessions and reset identities.</w:t>
            </w:r>
          </w:p>
        </w:tc>
        <w:tc>
          <w:tcPr>
            <w:tcW w:type="dxa" w:w="2900"/>
            <w:tcW w:w="2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T1078, T1087, T1021</w:t>
            </w:r>
          </w:p>
        </w:tc>
        <w:tc>
          <w:tcPr>
            <w:tcW w:type="dxa" w:w="1160"/>
            <w:tcW w:w="1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90 min</w:t>
            </w:r>
          </w:p>
        </w:tc>
      </w:tr>
      <w:tr>
        <w:tc>
          <w:tcPr>
            <w:tcW w:type="dxa" w:w="2000"/>
            <w:tcW w:w="2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Ransomware precursor</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Detect discovery, staging, and safe canary encryption; contain before impact.</w:t>
            </w:r>
          </w:p>
        </w:tc>
        <w:tc>
          <w:tcPr>
            <w:tcW w:type="dxa" w:w="2900"/>
            <w:tcW w:w="2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T1018, T1005, T1486</w:t>
            </w:r>
          </w:p>
        </w:tc>
        <w:tc>
          <w:tcPr>
            <w:tcW w:type="dxa" w:w="1160"/>
            <w:tcW w:w="1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90–120 min</w:t>
            </w:r>
          </w:p>
        </w:tc>
      </w:tr>
      <w:tr>
        <w:tc>
          <w:tcPr>
            <w:tcW w:type="dxa" w:w="2000"/>
            <w:tcW w:w="20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Web app intrusion</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Trace a preconfigured vulnerable Linux app path to host activity and data access.</w:t>
            </w:r>
          </w:p>
        </w:tc>
        <w:tc>
          <w:tcPr>
            <w:tcW w:type="dxa" w:w="2900"/>
            <w:tcW w:w="2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T1190, T1059, T1005</w:t>
            </w:r>
          </w:p>
        </w:tc>
        <w:tc>
          <w:tcPr>
            <w:tcW w:type="dxa" w:w="1160"/>
            <w:tcW w:w="1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120 min</w:t>
            </w:r>
          </w:p>
        </w:tc>
      </w:tr>
      <w:tr>
        <w:tc>
          <w:tcPr>
            <w:tcW w:type="dxa" w:w="2000"/>
            <w:tcW w:w="2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Docker compromise</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Investigate a vulnerable container, exposed synthetic secret, abnormal runtime activity, and safe host-boundary test.</w:t>
            </w:r>
          </w:p>
        </w:tc>
        <w:tc>
          <w:tcPr>
            <w:tcW w:type="dxa" w:w="2900"/>
            <w:tcW w:w="2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T1613, T1610, T1611</w:t>
            </w:r>
          </w:p>
        </w:tc>
        <w:tc>
          <w:tcPr>
            <w:tcW w:type="dxa" w:w="1160"/>
            <w:tcW w:w="1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90–120 min</w:t>
            </w:r>
          </w:p>
        </w:tc>
      </w:tr>
      <w:tr>
        <w:tc>
          <w:tcPr>
            <w:tcW w:type="dxa" w:w="2000"/>
            <w:tcW w:w="20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Insider collection</w:t>
            </w:r>
          </w:p>
        </w:tc>
        <w:tc>
          <w:tcPr>
            <w:tcW w:type="dxa" w:w="3300"/>
            <w:tcW w:w="3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Distinguish legitimate access from abnormal synthetic-data collection.</w:t>
            </w:r>
          </w:p>
        </w:tc>
        <w:tc>
          <w:tcPr>
            <w:tcW w:type="dxa" w:w="2900"/>
            <w:tcW w:w="2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T1078, T1005, T1560</w:t>
            </w:r>
          </w:p>
        </w:tc>
        <w:tc>
          <w:tcPr>
            <w:tcW w:type="dxa" w:w="1160"/>
            <w:tcW w:w="1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60–90 min</w:t>
            </w:r>
          </w:p>
        </w:tc>
      </w:tr>
      <w:tr>
        <w:tc>
          <w:tcPr>
            <w:tcW w:type="dxa" w:w="2000"/>
            <w:tcW w:w="20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Purple detection sprint</w:t>
            </w:r>
          </w:p>
        </w:tc>
        <w:tc>
          <w:tcPr>
            <w:tcW w:type="dxa" w:w="3300"/>
            <w:tcW w:w="3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Replay Windows, Linux, and Docker behaviors; tune rules and demonstrate improved coverage.</w:t>
            </w:r>
          </w:p>
        </w:tc>
        <w:tc>
          <w:tcPr>
            <w:tcW w:type="dxa" w:w="2900"/>
            <w:tcW w:w="2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Selected techniques</w:t>
            </w:r>
          </w:p>
        </w:tc>
        <w:tc>
          <w:tcPr>
            <w:tcW w:type="dxa" w:w="1160"/>
            <w:tcW w:w="1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2–4 hours</w:t>
            </w:r>
          </w:p>
        </w:tc>
      </w:tr>
    </w:tbl>
    <w:p>
      <w:pPr>
        <w:spacing w:after="40"/>
      </w:pPr>
    </w:p>
    <w:p>
      <w:pPr>
        <w:pStyle w:val="Heading1"/>
      </w:pPr>
      <w:r>
        <w:t>6. Architecture and data model</w:t>
      </w:r>
    </w:p>
    <w:p>
      <w:pPr>
        <w:pStyle w:val="Heading2"/>
      </w:pPr>
      <w:r>
        <w:t>Logical services</w:t>
      </w:r>
    </w:p>
    <w:p>
      <w:pPr>
        <w:pStyle w:val="ListBullet"/>
        <w:spacing w:after="80" w:line="276" w:lineRule="auto"/>
      </w:pPr>
      <w:r>
        <w:t>API gateway and identity service: SSO/OIDC, RBAC, tenant and session enforcement.</w:t>
      </w:r>
    </w:p>
    <w:p>
      <w:pPr>
        <w:pStyle w:val="ListBullet"/>
        <w:spacing w:after="80" w:line="276" w:lineRule="auto"/>
      </w:pPr>
      <w:r>
        <w:t>Range orchestrator: capacity placement, hypervisor abstraction, network creation, VM clone/reset, health state machine.</w:t>
      </w:r>
    </w:p>
    <w:p>
      <w:pPr>
        <w:pStyle w:val="ListBullet"/>
        <w:spacing w:after="80" w:line="276" w:lineRule="auto"/>
      </w:pPr>
      <w:r>
        <w:t>Scenario service: versioned content, objectives, inject scheduler, hints, branching, and authoring validation.</w:t>
      </w:r>
    </w:p>
    <w:p>
      <w:pPr>
        <w:pStyle w:val="ListBullet"/>
        <w:spacing w:after="80" w:line="276" w:lineRule="auto"/>
      </w:pPr>
      <w:r>
        <w:t>Telemetry broker: normalizes participant, infrastructure, endpoint, network, and security-tool events onto one timeline.</w:t>
      </w:r>
    </w:p>
    <w:p>
      <w:pPr>
        <w:pStyle w:val="ListBullet"/>
        <w:spacing w:after="80" w:line="276" w:lineRule="auto"/>
      </w:pPr>
      <w:r>
        <w:t>Evidence and scoring service: immutable artifacts, correlation, objective evaluation, rubric, and comparison.</w:t>
      </w:r>
    </w:p>
    <w:p>
      <w:pPr>
        <w:pStyle w:val="ListBullet"/>
        <w:spacing w:after="80" w:line="276" w:lineRule="auto"/>
      </w:pPr>
      <w:r>
        <w:t>Integration service: SIEM/EDR adapters, webhooks, ticketing, content import/export.</w:t>
      </w:r>
    </w:p>
    <w:p>
      <w:pPr>
        <w:pStyle w:val="ListBullet"/>
        <w:spacing w:after="80" w:line="276" w:lineRule="auto"/>
      </w:pPr>
      <w:r>
        <w:t>Artifact services: signed image registry, module registry, object storage, report generator, and audit ledger.</w:t>
      </w:r>
    </w:p>
    <w:p>
      <w:pPr>
        <w:pStyle w:val="Heading2"/>
      </w:pPr>
      <w:r>
        <w:t>Core entities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rPr>
          <w:tblHeader/>
        </w:trPr>
        <w:tc>
          <w:tcPr>
            <w:tcW w:type="dxa" w:w="22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Entity</w:t>
            </w:r>
          </w:p>
        </w:tc>
        <w:tc>
          <w:tcPr>
            <w:tcW w:type="dxa" w:w="71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Key fields / relationships</w:t>
            </w:r>
          </w:p>
        </w:tc>
      </w:tr>
      <w:tr>
        <w:tc>
          <w:tcPr>
            <w:tcW w:type="dxa" w:w="2200"/>
            <w:tcW w:w="2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Tenant</w:t>
            </w:r>
          </w:p>
        </w:tc>
        <w:tc>
          <w:tcPr>
            <w:tcW w:type="dxa" w:w="7160"/>
            <w:tcW w:w="7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Organization, policy, quota, retention, integrations.</w:t>
            </w:r>
          </w:p>
        </w:tc>
      </w:tr>
      <w:tr>
        <w:tc>
          <w:tcPr>
            <w:tcW w:type="dxa" w:w="2200"/>
            <w:tcW w:w="2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User / Team</w:t>
            </w:r>
          </w:p>
        </w:tc>
        <w:tc>
          <w:tcPr>
            <w:tcW w:type="dxa" w:w="7160"/>
            <w:tcW w:w="7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Identity, roles, team membership, exercise assignments.</w:t>
            </w:r>
          </w:p>
        </w:tc>
      </w:tr>
      <w:tr>
        <w:tc>
          <w:tcPr>
            <w:tcW w:type="dxa" w:w="2200"/>
            <w:tcW w:w="2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TopologyTemplate</w:t>
            </w:r>
          </w:p>
        </w:tc>
        <w:tc>
          <w:tcPr>
            <w:tcW w:type="dxa" w:w="7160"/>
            <w:tcW w:w="7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Version, VM images, networks, resources, service dependencies.</w:t>
            </w:r>
          </w:p>
        </w:tc>
      </w:tr>
      <w:tr>
        <w:tc>
          <w:tcPr>
            <w:tcW w:type="dxa" w:w="2200"/>
            <w:tcW w:w="2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ScenarioVersion</w:t>
            </w:r>
          </w:p>
        </w:tc>
        <w:tc>
          <w:tcPr>
            <w:tcW w:type="dxa" w:w="7160"/>
            <w:tcW w:w="7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Objectives, injects, TTP modules, expected evidence, scoring policy.</w:t>
            </w:r>
          </w:p>
        </w:tc>
      </w:tr>
      <w:tr>
        <w:tc>
          <w:tcPr>
            <w:tcW w:type="dxa" w:w="2200"/>
            <w:tcW w:w="2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RangeInstance</w:t>
            </w:r>
          </w:p>
        </w:tc>
        <w:tc>
          <w:tcPr>
            <w:tcW w:type="dxa" w:w="7160"/>
            <w:tcW w:w="7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Tenant, topology version, scenario version, lifecycle state, expiry.</w:t>
            </w:r>
          </w:p>
        </w:tc>
      </w:tr>
      <w:tr>
        <w:tc>
          <w:tcPr>
            <w:tcW w:type="dxa" w:w="2200"/>
            <w:tcW w:w="2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ExerciseRun</w:t>
            </w:r>
          </w:p>
        </w:tc>
        <w:tc>
          <w:tcPr>
            <w:tcW w:type="dxa" w:w="7160"/>
            <w:tcW w:w="7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Participants, start/end, timeline, submissions, metrics, score.</w:t>
            </w:r>
          </w:p>
        </w:tc>
      </w:tr>
      <w:tr>
        <w:tc>
          <w:tcPr>
            <w:tcW w:type="dxa" w:w="2200"/>
            <w:tcW w:w="2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BehaviorModule</w:t>
            </w:r>
          </w:p>
        </w:tc>
        <w:tc>
          <w:tcPr>
            <w:tcW w:type="dxa" w:w="7160"/>
            <w:tcW w:w="7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Technique IDs, inputs, safety class, execution adapter, cleanup, signature.</w:t>
            </w:r>
          </w:p>
        </w:tc>
      </w:tr>
      <w:tr>
        <w:tc>
          <w:tcPr>
            <w:tcW w:type="dxa" w:w="2200"/>
            <w:tcW w:w="2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Event / Artifact</w:t>
            </w:r>
          </w:p>
        </w:tc>
        <w:tc>
          <w:tcPr>
            <w:tcW w:type="dxa" w:w="7160"/>
            <w:tcW w:w="7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Timestamp, source, actor, integrity hash, classification, run correlation.</w:t>
            </w:r>
          </w:p>
        </w:tc>
      </w:tr>
      <w:tr>
        <w:tc>
          <w:tcPr>
            <w:tcW w:type="dxa" w:w="2200"/>
            <w:tcW w:w="22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DetectionResult</w:t>
            </w:r>
          </w:p>
        </w:tc>
        <w:tc>
          <w:tcPr>
            <w:tcW w:type="dxa" w:w="7160"/>
            <w:tcW w:w="71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Rule version, technique, signal, verdict, latency, false-positive context.</w:t>
            </w:r>
          </w:p>
        </w:tc>
      </w:tr>
      <w:tr>
        <w:tc>
          <w:tcPr>
            <w:tcW w:type="dxa" w:w="2200"/>
            <w:tcW w:w="22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Finding / Action</w:t>
            </w:r>
          </w:p>
        </w:tc>
        <w:tc>
          <w:tcPr>
            <w:tcW w:type="dxa" w:w="7160"/>
            <w:tcW w:w="71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Owner, severity, evidence, remediation, validation status.</w:t>
            </w:r>
          </w:p>
        </w:tc>
      </w:tr>
    </w:tbl>
    <w:p>
      <w:pPr>
        <w:spacing w:after="40"/>
      </w:pPr>
    </w:p>
    <w:p>
      <w:pPr>
        <w:pStyle w:val="Heading2"/>
      </w:pPr>
      <w:r>
        <w:t>Lifecycle state machine</w:t>
      </w:r>
    </w:p>
    <w:p>
      <w:r>
        <w:t>REQUESTED → PREFLIGHT → PROVISIONING → SEEDING → READY → RUNNING ↔ PAUSED → COMPLETING → EVIDENCE_LOCKED → ARCHIVED → DESTROYED. Any anomalous workload transitions to QUARANTINED; only an administrator can release or destroy it.</w:t>
      </w:r>
    </w:p>
    <w:p>
      <w:pPr>
        <w:pStyle w:val="Heading1"/>
      </w:pPr>
      <w:r>
        <w:t>7. Scoring and analytics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5760"/>
        <w:gridCol w:w="1800"/>
      </w:tblGrid>
      <w:tr>
        <w:trPr>
          <w:tblHeader/>
        </w:trPr>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Dimension</w:t>
            </w:r>
          </w:p>
        </w:tc>
        <w:tc>
          <w:tcPr>
            <w:tcW w:type="dxa" w:w="57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Example metrics</w:t>
            </w:r>
          </w:p>
        </w:tc>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Suggested weight</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 execution</w:t>
            </w:r>
          </w:p>
        </w:tc>
        <w:tc>
          <w:tcPr>
            <w:tcW w:type="dxa" w:w="5760"/>
            <w:tcW w:w="5760" w:type="dxa"/>
            <w:vAlign w:val="center"/>
            <w:tcMar>
              <w:top w:w="80" w:type="dxa"/>
              <w:start w:w="120" w:type="dxa"/>
              <w:bottom w:w="80" w:type="dxa"/>
              <w:end w:w="120" w:type="dxa"/>
            </w:tcMar>
          </w:tcPr>
          <w:p>
            <w:pPr>
              <w:spacing w:after="0" w:line="252" w:lineRule="auto"/>
            </w:pPr>
            <w:r/>
            <w:r>
              <w:rPr>
                <w:rFonts w:ascii="Calibri" w:hAnsi="Calibri"/>
                <w:b w:val="0"/>
                <w:color w:val="17324D"/>
                <w:sz w:val="17"/>
              </w:rPr>
              <w:t>Objective completion, evidence quality, path efficiency, operational discipline.</w:t>
            </w:r>
          </w:p>
        </w:tc>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25%</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Detection</w:t>
            </w:r>
          </w:p>
        </w:tc>
        <w:tc>
          <w:tcPr>
            <w:tcW w:type="dxa" w:w="5760"/>
            <w:tcW w:w="57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Coverage, signal quality, MTTD, correct technique attribution.</w:t>
            </w:r>
          </w:p>
        </w:tc>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25%</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Investigation</w:t>
            </w:r>
          </w:p>
        </w:tc>
        <w:tc>
          <w:tcPr>
            <w:tcW w:type="dxa" w:w="5760"/>
            <w:tcW w:w="57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Scope accuracy, hypothesis quality, timeline completeness, evidence handling.</w:t>
            </w:r>
          </w:p>
        </w:tc>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20%</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Response</w:t>
            </w:r>
          </w:p>
        </w:tc>
        <w:tc>
          <w:tcPr>
            <w:tcW w:type="dxa" w:w="5760"/>
            <w:tcW w:w="57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MTTR, containment correctness, service impact, recovery validation.</w:t>
            </w:r>
          </w:p>
        </w:tc>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20%</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Collaboration</w:t>
            </w:r>
          </w:p>
        </w:tc>
        <w:tc>
          <w:tcPr>
            <w:tcW w:type="dxa" w:w="5760"/>
            <w:tcW w:w="57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Communication, handoffs, documentation, rules-of-engagement compliance.</w:t>
            </w:r>
          </w:p>
        </w:tc>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10%</w:t>
            </w:r>
          </w:p>
        </w:tc>
      </w:tr>
    </w:tbl>
    <w:p>
      <w:pPr>
        <w:spacing w:after="40"/>
      </w:pPr>
    </w:p>
    <w:p>
      <w:r>
        <w:t>Default team score = weighted objective points − safety/policy penalties. The system must show every scoring input, evidence link, timestamp, rule version, and instructor override. Purple Team improvement is reported as baseline-to-replay change, not as a winner/loser score.</w:t>
      </w:r>
    </w:p>
    <w:p>
      <w:pPr>
        <w:pStyle w:val="Heading2"/>
      </w:pPr>
      <w:r>
        <w:t>Executive metrics</w:t>
      </w:r>
    </w:p>
    <w:p>
      <w:pPr>
        <w:pStyle w:val="ListBullet"/>
        <w:spacing w:after="80" w:line="276" w:lineRule="auto"/>
      </w:pPr>
      <w:r>
        <w:t>ATT&amp;CK technique coverage observed, detected, investigated, and contained.</w:t>
      </w:r>
    </w:p>
    <w:p>
      <w:pPr>
        <w:pStyle w:val="ListBullet"/>
        <w:spacing w:after="80" w:line="276" w:lineRule="auto"/>
      </w:pPr>
      <w:r>
        <w:t>Median and percentile MTTD/MTTR by scenario, team, control, and quarter.</w:t>
      </w:r>
    </w:p>
    <w:p>
      <w:pPr>
        <w:pStyle w:val="ListBullet"/>
        <w:spacing w:after="80" w:line="276" w:lineRule="auto"/>
      </w:pPr>
      <w:r>
        <w:t>Detection replay pass rate and regression count by content version.</w:t>
      </w:r>
    </w:p>
    <w:p>
      <w:pPr>
        <w:pStyle w:val="ListBullet"/>
        <w:spacing w:after="80" w:line="276" w:lineRule="auto"/>
      </w:pPr>
      <w:r>
        <w:t>Repeated failure patterns, control gaps, and remediation validation rate.</w:t>
      </w:r>
    </w:p>
    <w:p>
      <w:pPr>
        <w:pStyle w:val="ListBullet"/>
        <w:spacing w:after="80" w:line="276" w:lineRule="auto"/>
      </w:pPr>
      <w:r>
        <w:t>Range reliability: provision success, time-to-ready, reset time, session disruption, and cost per exercise.</w:t>
      </w:r>
    </w:p>
    <w:p>
      <w:pPr>
        <w:pStyle w:val="Heading1"/>
      </w:pPr>
      <w:r>
        <w:t>8. Security, safety, and governance</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7560"/>
      </w:tblGrid>
      <w:tr>
        <w:trPr>
          <w:tblHeader/>
        </w:trPr>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Control area</w:t>
            </w:r>
          </w:p>
        </w:tc>
        <w:tc>
          <w:tcPr>
            <w:tcW w:type="dxa" w:w="75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Requirement</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Isolation</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Per-range VLAN/VXLAN or equivalent; default-deny east/west and north/south; management plane physically/logically separate.</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Egress</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No Internet by default. Optional authenticated proxy with DNS and domain allowlists, bandwidth caps, full logging, and emergency kill switch.</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Images</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Signed, scanned, approved, immutable base images; controlled patch level; secrets injected at runtime and rotated after use.</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Modules</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Signed packages; declared technique, permissions, targets, timeout, cleanup, and safety class; allowlisted executors only.</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Identity</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SSO/MFA for admins and instructors; least privilege; short-lived session credentials; participant accounts scoped to one run.</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Data</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Synthetic data only by default; classification labels; encryption; retention policy; evidence integrity hashes; secure deletion.</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Monitoring</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Host and fabric telemetry independent of tenant tools; resource anomaly detection; tamper alerts; administrator audit ledger.</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Abuse prevention</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Named users, enrollment approval, acceptable-use agreement, rate limits, command/tool policy, session recording, incident workflow.</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Emergency response</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Global and per-range pause/kill; isolate snapshots; preserve audit/evidence; revoke sessions; notify administrators.</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Compliance</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Configurable retention and regional deployment; exportable audit, access, change, exercise, and evidence records.</w:t>
            </w:r>
          </w:p>
        </w:tc>
      </w:tr>
    </w:tbl>
    <w:p>
      <w:pPr>
        <w:spacing w:after="40"/>
      </w:pPr>
    </w:p>
    <w:p>
      <w:pPr>
        <w:pStyle w:val="Heading2"/>
      </w:pPr>
      <w:r>
        <w:t>Module safety classes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700"/>
        <w:gridCol w:w="5560"/>
        <w:gridCol w:w="2100"/>
      </w:tblGrid>
      <w:tr>
        <w:trPr>
          <w:tblHeader/>
        </w:trPr>
        <w:tc>
          <w:tcPr>
            <w:tcW w:type="dxa" w:w="17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Class</w:t>
            </w:r>
          </w:p>
        </w:tc>
        <w:tc>
          <w:tcPr>
            <w:tcW w:type="dxa" w:w="55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Description</w:t>
            </w:r>
          </w:p>
        </w:tc>
        <w:tc>
          <w:tcPr>
            <w:tcW w:type="dxa" w:w="21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Approval</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S0 – Simulation</w:t>
            </w:r>
          </w:p>
        </w:tc>
        <w:tc>
          <w:tcPr>
            <w:tcW w:type="dxa" w:w="5560"/>
            <w:tcW w:w="5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Generates synthetic telemetry or calls a benign test endpoint.</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Scenario author</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S1 – Atomic emulation</w:t>
            </w:r>
          </w:p>
        </w:tc>
        <w:tc>
          <w:tcPr>
            <w:tcW w:type="dxa" w:w="5560"/>
            <w:tcW w:w="5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Executes bounded behavior on disposable lab assets with automatic cleanup.</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Security content reviewer</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S2 – High-impact lab action</w:t>
            </w:r>
          </w:p>
        </w:tc>
        <w:tc>
          <w:tcPr>
            <w:tcW w:type="dxa" w:w="5560"/>
            <w:tcW w:w="5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May disrupt a lab VM, change identity state, or require checkpoint rollback.</w:t>
            </w:r>
          </w:p>
        </w:tc>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Administrator + explicit scenario policy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Prohibited</w:t>
            </w:r>
          </w:p>
        </w:tc>
        <w:tc>
          <w:tcPr>
            <w:tcW w:type="dxa" w:w="5560"/>
            <w:tcW w:w="5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Self-propagation, external targeting, unbounded destructive action, real credential theft, or uncontrolled live malware.</w:t>
            </w:r>
          </w:p>
        </w:tc>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Not permitted</w:t>
            </w:r>
          </w:p>
        </w:tc>
      </w:tr>
    </w:tbl>
    <w:p>
      <w:pPr>
        <w:spacing w:after="40"/>
      </w:pPr>
    </w:p>
    <w:p>
      <w:pPr>
        <w:pStyle w:val="Heading1"/>
      </w:pPr>
      <w:r>
        <w:t>9. Non-functional requirements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7560"/>
      </w:tblGrid>
      <w:tr>
        <w:trPr>
          <w:tblHeader/>
        </w:trPr>
        <w:tc>
          <w:tcPr>
            <w:tcW w:type="dxa" w:w="1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Quality</w:t>
            </w:r>
          </w:p>
        </w:tc>
        <w:tc>
          <w:tcPr>
            <w:tcW w:type="dxa" w:w="75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Acceptance target</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Availability</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99.5% monthly for control plane in production tier; active exercise should survive one control-service restart.</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Performance</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P95 API read &lt;500 ms; live event display &lt;3 s; command console interactive under normal site latency.</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Provisioning</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MVP time-to-ready &lt;10 min P90; reset &lt;5 min P90 for standard five-VM topology.</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Scale</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MVP 20 concurrent ranges / 200 users; architecture supports horizontal orchestration and telemetry partitioning.</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Reliability</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Provision success ≥98%; idempotent lifecycle operations; automatic rollback on failed seed/provision.</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Evidence integrity</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UTC time sync; append-only exercise events; artifact hashes; complete actor and source attribution.</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Accessibility</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WCAG 2.2 AA target for web UI; keyboard operability and non-color status indicators.</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Observability</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Service metrics, traces, logs, capacity dashboards, synthetic health exercise, and auditable admin actions.</w:t>
            </w:r>
          </w:p>
        </w:tc>
      </w:tr>
      <w:tr>
        <w:tc>
          <w:tcPr>
            <w:tcW w:type="dxa" w:w="1800"/>
            <w:tcW w:w="1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Portability</w:t>
            </w:r>
          </w:p>
        </w:tc>
        <w:tc>
          <w:tcPr>
            <w:tcW w:type="dxa" w:w="7560"/>
            <w:tcW w:w="7560" w:type="dxa"/>
            <w:vAlign w:val="center"/>
            <w:tcMar>
              <w:top w:w="80" w:type="dxa"/>
              <w:start w:w="120" w:type="dxa"/>
              <w:bottom w:w="80" w:type="dxa"/>
              <w:end w:w="120" w:type="dxa"/>
            </w:tcMar>
          </w:tcPr>
          <w:p>
            <w:pPr>
              <w:spacing w:after="0" w:line="252" w:lineRule="auto"/>
            </w:pPr>
            <w:r/>
            <w:r>
              <w:rPr>
                <w:rFonts w:ascii="Calibri" w:hAnsi="Calibri"/>
                <w:b w:val="0"/>
                <w:color w:val="17324D"/>
                <w:sz w:val="17"/>
              </w:rPr>
              <w:t>Hypervisor adapter interface; initial KVM/Proxmox or VMware implementation; exportable content schemas.</w:t>
            </w:r>
          </w:p>
        </w:tc>
      </w:tr>
      <w:tr>
        <w:tc>
          <w:tcPr>
            <w:tcW w:type="dxa" w:w="1800"/>
            <w:tcW w:w="1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Recovery</w:t>
            </w:r>
          </w:p>
        </w:tc>
        <w:tc>
          <w:tcPr>
            <w:tcW w:type="dxa" w:w="7560"/>
            <w:tcW w:w="75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Control-plane RPO ≤15 min and RTO ≤4 hr; exercise evidence committed continuously.</w:t>
            </w:r>
          </w:p>
        </w:tc>
      </w:tr>
    </w:tbl>
    <w:p>
      <w:pPr>
        <w:spacing w:after="40"/>
      </w:pPr>
    </w:p>
    <w:p>
      <w:pPr>
        <w:pStyle w:val="Heading1"/>
      </w:pPr>
      <w:r>
        <w:t>10. MVP scope and roadmap</w:t>
      </w:r>
    </w:p>
    <w:p>
      <w:pPr>
        <w:pStyle w:val="Heading2"/>
      </w:pPr>
      <w:r>
        <w:t>MVP (12–16 weeks)</w:t>
      </w:r>
    </w:p>
    <w:p>
      <w:pPr>
        <w:pStyle w:val="ListBullet"/>
        <w:spacing w:after="80" w:line="276" w:lineRule="auto"/>
      </w:pPr>
      <w:r>
        <w:t>Single tenant deployment with SSO/RBAC; Red, Blue, Purple, instructor roles.</w:t>
      </w:r>
    </w:p>
    <w:p>
      <w:pPr>
        <w:pStyle w:val="ListBullet"/>
        <w:spacing w:after="80" w:line="276" w:lineRule="auto"/>
      </w:pPr>
      <w:r>
        <w:t>KVM/Proxmox or VMware adapter; Windows workstation, AD server, Linux server, attacker, and security console templates.</w:t>
      </w:r>
    </w:p>
    <w:p>
      <w:pPr>
        <w:pStyle w:val="ListBullet"/>
        <w:spacing w:after="80" w:line="276" w:lineRule="auto"/>
      </w:pPr>
      <w:r>
        <w:t>Isolated networking, browser access, lifecycle control, checkpoints, reset, and expiry.</w:t>
      </w:r>
    </w:p>
    <w:p>
      <w:pPr>
        <w:pStyle w:val="ListBullet"/>
        <w:spacing w:after="80" w:line="276" w:lineRule="auto"/>
      </w:pPr>
      <w:r>
        <w:t>Six scenario packs and at least 20 signed S0/S1 behavior modules.</w:t>
      </w:r>
    </w:p>
    <w:p>
      <w:pPr>
        <w:pStyle w:val="ListBullet"/>
        <w:spacing w:after="80" w:line="276" w:lineRule="auto"/>
      </w:pPr>
      <w:r>
        <w:t>Endpoint, Windows event, Linux audit, DNS, and network telemetry into one bundled SIEM experience.</w:t>
      </w:r>
    </w:p>
    <w:p>
      <w:pPr>
        <w:pStyle w:val="ListBullet"/>
        <w:spacing w:after="80" w:line="276" w:lineRule="auto"/>
      </w:pPr>
      <w:r>
        <w:t>Objective engine, evidence submission, automatic scoring, instructor overrides, and DOCX/PDF/JSON reporting.</w:t>
      </w:r>
    </w:p>
    <w:p>
      <w:pPr>
        <w:pStyle w:val="ListBullet"/>
        <w:spacing w:after="80" w:line="276" w:lineRule="auto"/>
      </w:pPr>
      <w:r>
        <w:t>Baseline/replay comparison for Purple Team; audit, retention, quota, and emergency kill controls.</w:t>
      </w:r>
    </w:p>
    <w:p>
      <w:pPr>
        <w:pStyle w:val="ListBullet"/>
        <w:spacing w:after="80" w:line="276" w:lineRule="auto"/>
      </w:pPr>
      <w:r>
        <w:t>Linux Docker host template with Docker Engine, Docker Compose, a private OCI registry, pinned image digests, isolated networks, and resettable volumes.</w:t>
      </w:r>
    </w:p>
    <w:p>
      <w:pPr>
        <w:pStyle w:val="ListBullet"/>
        <w:spacing w:after="80" w:line="276" w:lineRule="auto"/>
      </w:pPr>
      <w:r>
        <w:t>Wazuh-based bundled Blue Team console with Sysmon for Windows, auditd/journald for Linux, Docker listener, Suricata network alerts, and Falco container-runtime alerts.</w:t>
      </w:r>
    </w:p>
    <w:p>
      <w:pPr>
        <w:pStyle w:val="ListBullet"/>
        <w:spacing w:after="80" w:line="276" w:lineRule="auto"/>
      </w:pPr>
      <w:r>
        <w:t>Seven launch scenarios and at least 24 signed behavior modules covering Windows, Linux, and Docker targets.</w:t>
      </w:r>
    </w:p>
    <w:p>
      <w:pPr>
        <w:pStyle w:val="Heading2"/>
      </w:pPr>
      <w:r>
        <w:t>Phase 2</w:t>
      </w:r>
    </w:p>
    <w:p>
      <w:pPr>
        <w:pStyle w:val="ListBullet"/>
        <w:spacing w:after="80" w:line="276" w:lineRule="auto"/>
      </w:pPr>
      <w:r>
        <w:t>Multi-tenant HA cluster, scheduler, reservations, quotas, image pipeline, cost metering.</w:t>
      </w:r>
    </w:p>
    <w:p>
      <w:pPr>
        <w:pStyle w:val="ListBullet"/>
        <w:spacing w:after="80" w:line="276" w:lineRule="auto"/>
      </w:pPr>
      <w:r>
        <w:t>Commercial SIEM/EDR adapters; email simulation; ticketing and LMS integrations.</w:t>
      </w:r>
    </w:p>
    <w:p>
      <w:pPr>
        <w:pStyle w:val="ListBullet"/>
        <w:spacing w:after="80" w:line="276" w:lineRule="auto"/>
      </w:pPr>
      <w:r>
        <w:t>No-code scenario editor, content marketplace, CI validation for modules and detection rules.</w:t>
      </w:r>
    </w:p>
    <w:p>
      <w:pPr>
        <w:pStyle w:val="ListBullet"/>
        <w:spacing w:after="80" w:line="276" w:lineRule="auto"/>
      </w:pPr>
      <w:r>
        <w:t>Additional cloud, container/Kubernetes, and developer-environment scenario packs.</w:t>
      </w:r>
    </w:p>
    <w:p>
      <w:pPr>
        <w:pStyle w:val="Heading2"/>
      </w:pPr>
      <w:r>
        <w:t>Phase 3</w:t>
      </w:r>
    </w:p>
    <w:p>
      <w:pPr>
        <w:pStyle w:val="ListBullet"/>
        <w:spacing w:after="80" w:line="276" w:lineRule="auto"/>
      </w:pPr>
      <w:r>
        <w:t>Distributed regional pools, federated content, advanced digital twins, cyber exercise federation.</w:t>
      </w:r>
    </w:p>
    <w:p>
      <w:pPr>
        <w:pStyle w:val="ListBullet"/>
        <w:spacing w:after="80" w:line="276" w:lineRule="auto"/>
      </w:pPr>
      <w:r>
        <w:t>Adaptive difficulty, AI-assisted instructor summaries, investigation coaching, and remediation recommendations with human approval.</w:t>
      </w:r>
    </w:p>
    <w:p>
      <w:pPr>
        <w:pStyle w:val="ListBullet"/>
        <w:spacing w:after="80" w:line="276" w:lineRule="auto"/>
      </w:pPr>
      <w:r>
        <w:t>Continuous control validation schedules and executive readiness benchmarking.</w:t>
      </w:r>
    </w:p>
    <w:p>
      <w:pPr>
        <w:pStyle w:val="Heading1"/>
      </w:pPr>
      <w:r>
        <w:t>11. Acceptance criteria</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2100"/>
        <w:gridCol w:w="7260"/>
      </w:tblGrid>
      <w:tr>
        <w:trPr>
          <w:tblHeader/>
        </w:trPr>
        <w:tc>
          <w:tcPr>
            <w:tcW w:type="dxa" w:w="21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Test</w:t>
            </w:r>
          </w:p>
        </w:tc>
        <w:tc>
          <w:tcPr>
            <w:tcW w:type="dxa" w:w="72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Definition of done</w:t>
            </w:r>
          </w:p>
        </w:tc>
      </w:tr>
      <w:tr>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Provision and isolate</w:t>
            </w:r>
          </w:p>
        </w:tc>
        <w:tc>
          <w:tcPr>
            <w:tcW w:type="dxa" w:w="7260"/>
            <w:tcW w:w="7260" w:type="dxa"/>
            <w:vAlign w:val="center"/>
            <w:tcMar>
              <w:top w:w="80" w:type="dxa"/>
              <w:start w:w="120" w:type="dxa"/>
              <w:bottom w:w="80" w:type="dxa"/>
              <w:end w:w="120" w:type="dxa"/>
            </w:tcMar>
          </w:tcPr>
          <w:p>
            <w:pPr>
              <w:spacing w:after="0" w:line="252" w:lineRule="auto"/>
            </w:pPr>
            <w:r/>
            <w:r>
              <w:rPr>
                <w:rFonts w:ascii="Calibri" w:hAnsi="Calibri"/>
                <w:b w:val="0"/>
                <w:color w:val="17324D"/>
                <w:sz w:val="17"/>
              </w:rPr>
              <w:t>Two simultaneous standard ranges start successfully; neither can reach the other, the host, or Internet.</w:t>
            </w:r>
          </w:p>
        </w:tc>
      </w:tr>
      <w:tr>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Exercise delivery</w:t>
            </w:r>
          </w:p>
        </w:tc>
        <w:tc>
          <w:tcPr>
            <w:tcW w:type="dxa" w:w="7260"/>
            <w:tcW w:w="72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Instructor launches Phish to Foothold, injects an event, pauses, resumes, and ends without participant reconnect.</w:t>
            </w:r>
          </w:p>
        </w:tc>
      </w:tr>
      <w:tr>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Evidence</w:t>
            </w:r>
          </w:p>
        </w:tc>
        <w:tc>
          <w:tcPr>
            <w:tcW w:type="dxa" w:w="7260"/>
            <w:tcW w:w="72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Actions from all roles and at least five telemetry sources appear in one UTC timeline with actor/source attribution.</w:t>
            </w:r>
          </w:p>
        </w:tc>
      </w:tr>
      <w:tr>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Detection validation</w:t>
            </w:r>
          </w:p>
        </w:tc>
        <w:tc>
          <w:tcPr>
            <w:tcW w:type="dxa" w:w="7260"/>
            <w:tcW w:w="72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Purple Team replays a module before and after a rule change and receives an evidence-backed comparison.</w:t>
            </w:r>
          </w:p>
        </w:tc>
      </w:tr>
      <w:tr>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Reset</w:t>
            </w:r>
          </w:p>
        </w:tc>
        <w:tc>
          <w:tcPr>
            <w:tcW w:type="dxa" w:w="7260"/>
            <w:tcW w:w="72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 modified five-VM range returns to its known checkpoint within five minutes at P90.</w:t>
            </w:r>
          </w:p>
        </w:tc>
      </w:tr>
      <w:tr>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Safety</w:t>
            </w:r>
          </w:p>
        </w:tc>
        <w:tc>
          <w:tcPr>
            <w:tcW w:type="dxa" w:w="7260"/>
            <w:tcW w:w="72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Unapproved egress, unsigned module, cross-tenant access, and forbidden lifecycle action are blocked and audited.</w:t>
            </w:r>
          </w:p>
        </w:tc>
      </w:tr>
      <w:tr>
        <w:tc>
          <w:tcPr>
            <w:tcW w:type="dxa" w:w="2100"/>
            <w:tcW w:w="21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Reporting</w:t>
            </w:r>
          </w:p>
        </w:tc>
        <w:tc>
          <w:tcPr>
            <w:tcW w:type="dxa" w:w="7260"/>
            <w:tcW w:w="72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Run produces participant and instructor reports containing objectives, timeline, evidence, score, gaps, and recommendations.</w:t>
            </w:r>
          </w:p>
        </w:tc>
      </w:tr>
      <w:tr>
        <w:tc>
          <w:tcPr>
            <w:tcW w:type="dxa" w:w="2100"/>
            <w:tcW w:w="21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Failure recovery</w:t>
            </w:r>
          </w:p>
        </w:tc>
        <w:tc>
          <w:tcPr>
            <w:tcW w:type="dxa" w:w="7260"/>
            <w:tcW w:w="72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 failed VM clone causes an idempotent rollback with no orphaned network, VM, credential, or reservation.</w:t>
            </w:r>
          </w:p>
        </w:tc>
      </w:tr>
    </w:tbl>
    <w:p>
      <w:pPr>
        <w:spacing w:after="40"/>
      </w:pPr>
    </w:p>
    <w:p>
      <w:pPr>
        <w:pStyle w:val="Heading2"/>
      </w:pPr>
      <w:r>
        <w:t>Platform coverage acceptance</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700"/>
        <w:gridCol w:w="7660"/>
      </w:tblGrid>
      <w:tr>
        <w:trPr>
          <w:tblHeader/>
        </w:trPr>
        <w:tc>
          <w:tcPr>
            <w:tcW w:type="dxa" w:w="17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Target</w:t>
            </w:r>
          </w:p>
        </w:tc>
        <w:tc>
          <w:tcPr>
            <w:tcW w:type="dxa" w:w="76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Definition of done</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Windows</w:t>
            </w:r>
          </w:p>
        </w:tc>
        <w:tc>
          <w:tcPr>
            <w:tcW w:type="dxa" w:w="7660"/>
            <w:tcW w:w="7660" w:type="dxa"/>
            <w:vAlign w:val="center"/>
            <w:tcMar>
              <w:top w:w="80" w:type="dxa"/>
              <w:start w:w="120" w:type="dxa"/>
              <w:bottom w:w="80" w:type="dxa"/>
              <w:end w:w="120" w:type="dxa"/>
            </w:tcMar>
          </w:tcPr>
          <w:p>
            <w:pPr>
              <w:spacing w:after="0" w:line="252" w:lineRule="auto"/>
            </w:pPr>
            <w:r/>
            <w:r>
              <w:rPr>
                <w:rFonts w:ascii="Calibri" w:hAnsi="Calibri"/>
                <w:b w:val="0"/>
                <w:color w:val="17324D"/>
                <w:sz w:val="17"/>
              </w:rPr>
              <w:t>Windows 11 and Windows Server templates enroll in Wazuh, emit Sysmon/authentication/PowerShell evidence, run approved modules, and reset cleanly.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Linux</w:t>
            </w:r>
          </w:p>
        </w:tc>
        <w:tc>
          <w:tcPr>
            <w:tcW w:type="dxa" w:w="7660"/>
            <w:tcW w:w="76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Supported Linux templates enroll in Wazuh, emit auditd/journald/process evidence, run approved modules, and reset cleanly.</w:t>
            </w:r>
          </w:p>
        </w:tc>
      </w:tr>
      <w:tr>
        <w:tc>
          <w:tcPr>
            <w:tcW w:type="dxa" w:w="1700"/>
            <w:tcW w:w="1700" w:type="dxa"/>
            <w:vAlign w:val="center"/>
            <w:tcMar>
              <w:top w:w="80" w:type="dxa"/>
              <w:start w:w="120" w:type="dxa"/>
              <w:bottom w:w="80" w:type="dxa"/>
              <w:end w:w="120" w:type="dxa"/>
            </w:tcMar>
          </w:tcPr>
          <w:p>
            <w:pPr>
              <w:spacing w:after="0" w:line="252" w:lineRule="auto"/>
            </w:pPr>
            <w:r/>
            <w:r>
              <w:rPr>
                <w:rFonts w:ascii="Calibri" w:hAnsi="Calibri"/>
                <w:b w:val="0"/>
                <w:color w:val="17324D"/>
                <w:sz w:val="17"/>
              </w:rPr>
              <w:t>Docker</w:t>
            </w:r>
          </w:p>
        </w:tc>
        <w:tc>
          <w:tcPr>
            <w:tcW w:type="dxa" w:w="7660"/>
            <w:tcW w:w="76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 three-service Compose stack deploys from pinned OCI images; Wazuh and Falco observe it; container, network, secret, and volume state reset deterministically.</w:t>
            </w:r>
          </w:p>
        </w:tc>
      </w:tr>
      <w:tr>
        <w:tc>
          <w:tcPr>
            <w:tcW w:type="dxa" w:w="1700"/>
            <w:tcW w:w="17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Cross-platform replay</w:t>
            </w:r>
          </w:p>
        </w:tc>
        <w:tc>
          <w:tcPr>
            <w:tcW w:type="dxa" w:w="7660"/>
            <w:tcW w:w="76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Purple Team replays at least one Windows, one Linux, and one Docker behavior and compares evidence before and after detection changes.</w:t>
            </w:r>
          </w:p>
        </w:tc>
      </w:tr>
    </w:tbl>
    <w:p>
      <w:pPr>
        <w:spacing w:after="40"/>
      </w:pPr>
    </w:p>
    <w:p>
      <w:pPr>
        <w:pStyle w:val="Heading1"/>
      </w:pPr>
      <w:r>
        <w:t>12. Delivery plan and ownership</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1900"/>
        <w:gridCol w:w="4800"/>
        <w:gridCol w:w="2660"/>
      </w:tblGrid>
      <w:tr>
        <w:trPr>
          <w:tblHeader/>
        </w:trPr>
        <w:tc>
          <w:tcPr>
            <w:tcW w:type="dxa" w:w="19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Workstream</w:t>
            </w:r>
          </w:p>
        </w:tc>
        <w:tc>
          <w:tcPr>
            <w:tcW w:type="dxa" w:w="48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Primary outputs</w:t>
            </w:r>
          </w:p>
        </w:tc>
        <w:tc>
          <w:tcPr>
            <w:tcW w:type="dxa" w:w="26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Owner profile</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Platform</w:t>
            </w:r>
          </w:p>
        </w:tc>
        <w:tc>
          <w:tcPr>
            <w:tcW w:type="dxa" w:w="4800"/>
            <w:tcW w:w="4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API, identity, UI, lifecycle, scenario engine, evidence, reporting.</w:t>
            </w:r>
          </w:p>
        </w:tc>
        <w:tc>
          <w:tcPr>
            <w:tcW w:type="dxa" w:w="2660"/>
            <w:tcW w:w="26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Product engineering</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Virtualization</w:t>
            </w:r>
          </w:p>
        </w:tc>
        <w:tc>
          <w:tcPr>
            <w:tcW w:type="dxa" w:w="4800"/>
            <w:tcW w:w="4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Hypervisor adapter, images, network isolation, access gateway, capacity.</w:t>
            </w:r>
          </w:p>
        </w:tc>
        <w:tc>
          <w:tcPr>
            <w:tcW w:type="dxa" w:w="2660"/>
            <w:tcW w:w="26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Infrastructure engineering</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Security content</w:t>
            </w:r>
          </w:p>
        </w:tc>
        <w:tc>
          <w:tcPr>
            <w:tcW w:type="dxa" w:w="4800"/>
            <w:tcW w:w="4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TTP modules, scenarios, expected telemetry, detection content, rubrics.</w:t>
            </w:r>
          </w:p>
        </w:tc>
        <w:tc>
          <w:tcPr>
            <w:tcW w:type="dxa" w:w="2660"/>
            <w:tcW w:w="26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Red/Purple Team content</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Detection stack</w:t>
            </w:r>
          </w:p>
        </w:tc>
        <w:tc>
          <w:tcPr>
            <w:tcW w:type="dxa" w:w="4800"/>
            <w:tcW w:w="4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Collectors, normalization, SIEM/EDR experience, rule testing.</w:t>
            </w:r>
          </w:p>
        </w:tc>
        <w:tc>
          <w:tcPr>
            <w:tcW w:type="dxa" w:w="2660"/>
            <w:tcW w:w="26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Detection engineering</w:t>
            </w:r>
          </w:p>
        </w:tc>
      </w:tr>
      <w:tr>
        <w:tc>
          <w:tcPr>
            <w:tcW w:type="dxa" w:w="1900"/>
            <w:tcW w:w="19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Safety &amp; assurance</w:t>
            </w:r>
          </w:p>
        </w:tc>
        <w:tc>
          <w:tcPr>
            <w:tcW w:type="dxa" w:w="4800"/>
            <w:tcW w:w="48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Threat model, module review, abuse controls, penetration test, runbooks.</w:t>
            </w:r>
          </w:p>
        </w:tc>
        <w:tc>
          <w:tcPr>
            <w:tcW w:type="dxa" w:w="2660"/>
            <w:tcW w:w="266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Product security</w:t>
            </w:r>
          </w:p>
        </w:tc>
      </w:tr>
      <w:tr>
        <w:tc>
          <w:tcPr>
            <w:tcW w:type="dxa" w:w="1900"/>
            <w:tcW w:w="19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Operations</w:t>
            </w:r>
          </w:p>
        </w:tc>
        <w:tc>
          <w:tcPr>
            <w:tcW w:type="dxa" w:w="4800"/>
            <w:tcW w:w="48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Deployment, monitoring, backup, recovery, support, cost and SLOs.</w:t>
            </w:r>
          </w:p>
        </w:tc>
        <w:tc>
          <w:tcPr>
            <w:tcW w:type="dxa" w:w="2660"/>
            <w:tcW w:w="26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SRE / platform operations</w:t>
            </w:r>
          </w:p>
        </w:tc>
      </w:tr>
    </w:tbl>
    <w:p>
      <w:pPr>
        <w:spacing w:after="40"/>
      </w:pPr>
    </w:p>
    <w:p>
      <w:pPr>
        <w:pStyle w:val="Heading2"/>
      </w:pPr>
      <w:r>
        <w:t>Key risks and mitigations</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2500"/>
        <w:gridCol w:w="6860"/>
      </w:tblGrid>
      <w:tr>
        <w:trPr>
          <w:tblHeader/>
        </w:trPr>
        <w:tc>
          <w:tcPr>
            <w:tcW w:type="dxa" w:w="25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Risk</w:t>
            </w:r>
          </w:p>
        </w:tc>
        <w:tc>
          <w:tcPr>
            <w:tcW w:type="dxa" w:w="68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Mitigation</w:t>
            </w:r>
          </w:p>
        </w:tc>
      </w:tr>
      <w:tr>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Range escape or external abuse</w:t>
            </w:r>
          </w:p>
        </w:tc>
        <w:tc>
          <w:tcPr>
            <w:tcW w:type="dxa" w:w="6860"/>
            <w:tcW w:w="6860" w:type="dxa"/>
            <w:vAlign w:val="center"/>
            <w:tcMar>
              <w:top w:w="80" w:type="dxa"/>
              <w:start w:w="120" w:type="dxa"/>
              <w:bottom w:w="80" w:type="dxa"/>
              <w:end w:w="120" w:type="dxa"/>
            </w:tcMar>
          </w:tcPr>
          <w:p>
            <w:pPr>
              <w:spacing w:after="0" w:line="252" w:lineRule="auto"/>
            </w:pPr>
            <w:r/>
            <w:r>
              <w:rPr>
                <w:rFonts w:ascii="Calibri" w:hAnsi="Calibri"/>
                <w:b w:val="0"/>
                <w:color w:val="17324D"/>
                <w:sz w:val="17"/>
              </w:rPr>
              <w:t>Default-deny networking, hardened hypervisor, separate management plane, signed content, kill switch, independent monitoring.</w:t>
            </w:r>
          </w:p>
        </w:tc>
      </w:tr>
      <w:tr>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VM cost and slow provisioning</w:t>
            </w:r>
          </w:p>
        </w:tc>
        <w:tc>
          <w:tcPr>
            <w:tcW w:type="dxa" w:w="6860"/>
            <w:tcW w:w="68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Linked clones, warm pools, resource presets, quotas, expiry, capacity-aware scheduling.</w:t>
            </w:r>
          </w:p>
        </w:tc>
      </w:tr>
      <w:tr>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Fragile scenarios</w:t>
            </w:r>
          </w:p>
        </w:tc>
        <w:tc>
          <w:tcPr>
            <w:tcW w:type="dxa" w:w="6860"/>
            <w:tcW w:w="6860" w:type="dxa"/>
            <w:vAlign w:val="center"/>
            <w:tcMar>
              <w:top w:w="80" w:type="dxa"/>
              <w:start w:w="120" w:type="dxa"/>
              <w:bottom w:w="80" w:type="dxa"/>
              <w:end w:w="120" w:type="dxa"/>
            </w:tcMar>
          </w:tcPr>
          <w:p>
            <w:pPr>
              <w:spacing w:after="0" w:line="252" w:lineRule="auto"/>
            </w:pPr>
            <w:r/>
            <w:r>
              <w:rPr>
                <w:rFonts w:ascii="Calibri" w:hAnsi="Calibri"/>
                <w:b w:val="0"/>
                <w:color w:val="17324D"/>
                <w:sz w:val="17"/>
              </w:rPr>
              <w:t>Versioned dependencies, deterministic seeds, automated preflight, health checks, golden replay tests.</w:t>
            </w:r>
          </w:p>
        </w:tc>
      </w:tr>
      <w:tr>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Unfair or opaque scoring</w:t>
            </w:r>
          </w:p>
        </w:tc>
        <w:tc>
          <w:tcPr>
            <w:tcW w:type="dxa" w:w="6860"/>
            <w:tcW w:w="68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Evidence-based scoring, published rubrics, role-aware objectives, override audit, replayable timeline.</w:t>
            </w:r>
          </w:p>
        </w:tc>
      </w:tr>
      <w:tr>
        <w:tc>
          <w:tcPr>
            <w:tcW w:type="dxa" w:w="2500"/>
            <w:tcW w:w="25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Telemetry overload</w:t>
            </w:r>
          </w:p>
        </w:tc>
        <w:tc>
          <w:tcPr>
            <w:tcW w:type="dxa" w:w="6860"/>
            <w:tcW w:w="686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Scenario-scoped schemas, time sync, source health, retention tiers, event sampling only where safe.</w:t>
            </w:r>
          </w:p>
        </w:tc>
      </w:tr>
      <w:tr>
        <w:tc>
          <w:tcPr>
            <w:tcW w:type="dxa" w:w="2500"/>
            <w:tcW w:w="25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Content maintenance burden</w:t>
            </w:r>
          </w:p>
        </w:tc>
        <w:tc>
          <w:tcPr>
            <w:tcW w:type="dxa" w:w="6860"/>
            <w:tcW w:w="68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Authoring SDK, schema lint, CI tests, modular behaviors, ownership and deprecation policy.</w:t>
            </w:r>
          </w:p>
        </w:tc>
      </w:tr>
    </w:tbl>
    <w:p>
      <w:pPr>
        <w:spacing w:after="40"/>
      </w:pPr>
    </w:p>
    <w:p>
      <w:pPr>
        <w:pStyle w:val="Heading1"/>
      </w:pPr>
      <w:r>
        <w:t>13. Open decisions</w:t>
      </w:r>
    </w:p>
    <w:p>
      <w:pPr>
        <w:pStyle w:val="ListBullet"/>
        <w:spacing w:after="80" w:line="276" w:lineRule="auto"/>
      </w:pPr>
      <w:r>
        <w:t>Initial virtualization target: Proxmox/KVM, VMware, or a dual-adapter MVP?</w:t>
      </w:r>
    </w:p>
    <w:p>
      <w:pPr>
        <w:pStyle w:val="ListBullet"/>
        <w:spacing w:after="80" w:line="276" w:lineRule="auto"/>
      </w:pPr>
      <w:r>
        <w:t>Bundled open security stack versus customer-provided SIEM/EDR for the first release?</w:t>
      </w:r>
    </w:p>
    <w:p>
      <w:pPr>
        <w:pStyle w:val="ListBullet"/>
        <w:spacing w:after="80" w:line="276" w:lineRule="auto"/>
      </w:pPr>
      <w:r>
        <w:t>On-prem appliance only, hosted service only, or hybrid control plane?</w:t>
      </w:r>
    </w:p>
    <w:p>
      <w:pPr>
        <w:pStyle w:val="ListBullet"/>
        <w:spacing w:after="80" w:line="276" w:lineRule="auto"/>
      </w:pPr>
      <w:r>
        <w:t>Maximum concurrent ranges and standard VM sizing for the first customer profile?</w:t>
      </w:r>
    </w:p>
    <w:p>
      <w:pPr>
        <w:pStyle w:val="ListBullet"/>
        <w:spacing w:after="80" w:line="276" w:lineRule="auto"/>
      </w:pPr>
      <w:r>
        <w:t>Which six scenarios and industries should anchor launch content?</w:t>
      </w:r>
    </w:p>
    <w:p>
      <w:pPr>
        <w:pStyle w:val="ListBullet"/>
        <w:spacing w:after="80" w:line="276" w:lineRule="auto"/>
      </w:pPr>
      <w:r>
        <w:t>Evidence retention default, regional residency requirements, and report branding model?</w:t>
      </w:r>
    </w:p>
    <w:p>
      <w:pPr>
        <w:pStyle w:val="ListBullet"/>
        <w:spacing w:after="80" w:line="276" w:lineRule="auto"/>
      </w:pPr>
      <w:r>
        <w:t>Whether certification, LMS grading, and competitive team play are launch or later features?</w:t>
      </w:r>
    </w:p>
    <w:p>
      <w:pPr>
        <w:pStyle w:val="Heading1"/>
      </w:pPr>
      <w:r>
        <w:t>Appendix A — Example scenario contract</w:t>
      </w:r>
    </w:p>
    <w:tbl>
      <w:tblPr>
        <w:tblW w:type="dxa" w:w="9360"/>
        <w:jc w:val="left"/>
        <w:tblLayout w:type="fixed"/>
        <w:tblLook w:firstColumn="1" w:firstRow="1" w:lastColumn="0" w:lastRow="0" w:noHBand="0" w:noVBand="1" w:val="04A0"/>
        <w:tblInd w:w="120" w:type="dxa"/>
        <w:tblBorders>
          <w:top w:val="single" w:sz="4" w:color="D0D7DE"/>
          <w:left w:val="single" w:sz="4" w:color="D0D7DE"/>
          <w:bottom w:val="single" w:sz="4" w:color="D0D7DE"/>
          <w:right w:val="single" w:sz="4" w:color="D0D7DE"/>
          <w:insideH w:val="single" w:sz="4" w:color="D0D7DE"/>
          <w:insideV w:val="single" w:sz="4" w:color="D0D7DE"/>
        </w:tblBorders>
      </w:tblPr>
      <w:tblGrid>
        <w:gridCol w:w="2300"/>
        <w:gridCol w:w="7060"/>
      </w:tblGrid>
      <w:tr>
        <w:trPr>
          <w:tblHeader/>
        </w:trPr>
        <w:tc>
          <w:tcPr>
            <w:tcW w:type="dxa" w:w="230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Field</w:t>
            </w:r>
          </w:p>
        </w:tc>
        <w:tc>
          <w:tcPr>
            <w:tcW w:type="dxa" w:w="7060"/>
            <w:shd w:fill="1F4E78"/>
            <w:vAlign w:val="center"/>
            <w:tcMar>
              <w:top w:w="80" w:type="dxa"/>
              <w:start w:w="120" w:type="dxa"/>
              <w:bottom w:w="80" w:type="dxa"/>
              <w:end w:w="120" w:type="dxa"/>
            </w:tcMar>
          </w:tcPr>
          <w:p>
            <w:pPr>
              <w:spacing w:after="0" w:line="252" w:lineRule="auto"/>
            </w:pPr>
            <w:r/>
            <w:r>
              <w:rPr>
                <w:rFonts w:ascii="Calibri" w:hAnsi="Calibri"/>
                <w:b/>
                <w:color w:val="FFFFFF"/>
                <w:sz w:val="18"/>
              </w:rPr>
              <w:t>Example</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Scenario ID / version</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CR-PHISH-001 / 1.0.0</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Mode / difficulty</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Red vs. Blue / Intermediate</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Topology</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AD, Windows endpoint, Linux app, attacker, security console</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Duration</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90 minutes; 15-minute setup; 20-minute debrief</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Objectives</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Red: establish controlled execution and prove access. Blue: validate alert, scope, contain, preserve evidence.</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Techniques</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T1566, T1204, T1059, T1105</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Preconditions</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All agents healthy; synthetic user and mailbox seeded; clocks synchronized.</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Injects</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User report at +15; manager escalation at +35; optional hint at +45.</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Expected evidence</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Mail event, browser/download event, process lineage, network connection, alert, case actions.</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Success</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Required evidence submitted; correct affected asset; containment without disabling unrelated service.</w:t>
            </w:r>
          </w:p>
        </w:tc>
      </w:tr>
      <w:tr>
        <w:tc>
          <w:tcPr>
            <w:tcW w:type="dxa" w:w="2300"/>
            <w:tcW w:w="2300" w:type="dxa"/>
            <w:vAlign w:val="center"/>
            <w:tcMar>
              <w:top w:w="80" w:type="dxa"/>
              <w:start w:w="120" w:type="dxa"/>
              <w:bottom w:w="80" w:type="dxa"/>
              <w:end w:w="120" w:type="dxa"/>
            </w:tcMar>
          </w:tcPr>
          <w:p>
            <w:pPr>
              <w:spacing w:after="0" w:line="252" w:lineRule="auto"/>
            </w:pPr>
            <w:r/>
            <w:r>
              <w:rPr>
                <w:rFonts w:ascii="Calibri" w:hAnsi="Calibri"/>
                <w:b w:val="0"/>
                <w:color w:val="17324D"/>
                <w:sz w:val="17"/>
              </w:rPr>
              <w:t>Cleanup</w:t>
            </w:r>
          </w:p>
        </w:tc>
        <w:tc>
          <w:tcPr>
            <w:tcW w:type="dxa" w:w="7060"/>
            <w:tcW w:w="7060" w:type="dxa"/>
            <w:vAlign w:val="center"/>
            <w:tcMar>
              <w:top w:w="80" w:type="dxa"/>
              <w:start w:w="120" w:type="dxa"/>
              <w:bottom w:w="80" w:type="dxa"/>
              <w:end w:w="120" w:type="dxa"/>
            </w:tcMar>
          </w:tcPr>
          <w:p>
            <w:pPr>
              <w:spacing w:after="0" w:line="252" w:lineRule="auto"/>
            </w:pPr>
            <w:r/>
            <w:r>
              <w:rPr>
                <w:rFonts w:ascii="Calibri" w:hAnsi="Calibri"/>
                <w:b w:val="0"/>
                <w:color w:val="17324D"/>
                <w:sz w:val="17"/>
              </w:rPr>
              <w:t>Revoke exercise credentials, restore checkpoint, remove seeded artifacts, archive evidence.</w:t>
            </w:r>
          </w:p>
        </w:tc>
      </w:tr>
      <w:tr>
        <w:tc>
          <w:tcPr>
            <w:tcW w:type="dxa" w:w="2300"/>
            <w:tcW w:w="230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Safety</w:t>
            </w:r>
          </w:p>
        </w:tc>
        <w:tc>
          <w:tcPr>
            <w:tcW w:type="dxa" w:w="7060"/>
            <w:tcW w:w="7060" w:type="dxa"/>
            <w:shd w:fill="F4F7FA"/>
            <w:vAlign w:val="center"/>
            <w:tcMar>
              <w:top w:w="80" w:type="dxa"/>
              <w:start w:w="120" w:type="dxa"/>
              <w:bottom w:w="80" w:type="dxa"/>
              <w:end w:w="120" w:type="dxa"/>
            </w:tcMar>
          </w:tcPr>
          <w:p>
            <w:pPr>
              <w:spacing w:after="0" w:line="252" w:lineRule="auto"/>
            </w:pPr>
            <w:r/>
            <w:r>
              <w:rPr>
                <w:rFonts w:ascii="Calibri" w:hAnsi="Calibri"/>
                <w:b w:val="0"/>
                <w:color w:val="17324D"/>
                <w:sz w:val="17"/>
              </w:rPr>
              <w:t>Internal URLs only; benign payload; no public egress; S1 module approval.</w:t>
            </w:r>
          </w:p>
        </w:tc>
      </w:tr>
    </w:tbl>
    <w:p>
      <w:pPr>
        <w:spacing w:after="40"/>
      </w:pPr>
    </w:p>
    <w:p>
      <w:pPr>
        <w:pStyle w:val="Heading1"/>
        <w:pageBreakBefore/>
      </w:pPr>
      <w:r>
        <w:t>Appendix B — Definition of ready for a new TTP module</w:t>
      </w:r>
    </w:p>
    <w:p>
      <w:pPr>
        <w:pStyle w:val="ListBullet"/>
        <w:spacing w:after="80" w:line="276" w:lineRule="auto"/>
      </w:pPr>
      <w:r>
        <w:t>ATT&amp;CK mapping, purpose, scope, safety class, supported Windows/Linux distributions or Docker runtime/image, and ownership are documented.</w:t>
      </w:r>
    </w:p>
    <w:p>
      <w:pPr>
        <w:pStyle w:val="ListBullet"/>
        <w:spacing w:after="80" w:line="276" w:lineRule="auto"/>
      </w:pPr>
      <w:r>
        <w:t>Inputs are typed and bounded; targets are explicit; module cannot discover or act outside the assigned range.</w:t>
      </w:r>
    </w:p>
    <w:p>
      <w:pPr>
        <w:pStyle w:val="ListBullet"/>
        <w:spacing w:after="80" w:line="276" w:lineRule="auto"/>
      </w:pPr>
      <w:r>
        <w:t>Preflight, execution timeout, success test, expected OS/container telemetry, cleanup, and rollback are implemented.</w:t>
      </w:r>
    </w:p>
    <w:p>
      <w:pPr>
        <w:pStyle w:val="ListBullet"/>
        <w:spacing w:after="80" w:line="276" w:lineRule="auto"/>
      </w:pPr>
      <w:r>
        <w:t>Automated tests pass against supported VM and OCI images and prove network, mount, capability, registry, and policy boundaries.</w:t>
      </w:r>
    </w:p>
    <w:p>
      <w:pPr>
        <w:pStyle w:val="ListBullet"/>
        <w:spacing w:after="80" w:line="276" w:lineRule="auto"/>
      </w:pPr>
      <w:r>
        <w:t>Security content reviewer approves and signs the version; VM/OCI provenance, image digest, and dependencies are recorded.</w:t>
      </w:r>
    </w:p>
    <w:p>
      <w:pPr>
        <w:pStyle w:val="ListBullet"/>
        <w:spacing w:after="80" w:line="276" w:lineRule="auto"/>
      </w:pPr>
      <w:r>
        <w:t>Detection and investigation notes explain what Blue Teams should observe without revealing exercise answers to participants.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CYBERRANGE  |  PRODUCT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CyberRange Product Specification</dc:title>
  <dc:subject>VM-based Red, Blue and Purple Team cyber range product requirements</dc:subject>
  <dc:creator>Product &amp; Security Engineering</dc:creator>
  <cp:keywords>cyber range, red team, blue team, purple team, MITRE ATT&amp;CK, virtual machines</cp:keywords>
  <dc:description>generated by python-docx</dc:description>
  <cp:lastModifiedBy/>
  <cp:revision>1</cp:revision>
  <dcterms:created xsi:type="dcterms:W3CDTF">2013-12-23T23:15:00Z</dcterms:created>
  <dcterms:modified xsi:type="dcterms:W3CDTF">2013-12-23T23:15:00Z</dcterms:modified>
  <cp:category/>
</cp:coreProperties>
</file>