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 w:line="288"/>
        <w:jc w:val="left"/>
      </w:pPr>
      <w:r>
        <w:rPr>
          <w:b/>
          <w:bCs/>
          <w:color w:val="1F7A8C"/>
          <w:sz w:val="16"/>
          <w:szCs w:val="16"/>
          <w:caps/>
          <w:rFonts w:ascii="Calibri" w:cs="Calibri" w:eastAsia="Calibri" w:hAnsi="Calibri"/>
          <w:spacing w:val="24"/>
        </w:rPr>
        <w:t xml:space="preserve">Votal AI  ·  CyberRange</w:t>
      </w:r>
    </w:p>
    <w:p>
      <w:pPr>
        <w:spacing w:before="0" w:after="60" w:line="300"/>
        <w:jc w:val="left"/>
      </w:pPr>
      <w:r>
        <w:rPr>
          <w:b/>
          <w:bCs/>
          <w:color w:val="0F3B57"/>
          <w:sz w:val="42"/>
          <w:szCs w:val="42"/>
          <w:rFonts w:ascii="Calibri" w:cs="Calibri" w:eastAsia="Calibri" w:hAnsi="Calibri"/>
        </w:rPr>
        <w:t xml:space="preserve">Cyber Range — Enterprise Technical Specification</w:t>
      </w:r>
    </w:p>
    <w:p>
      <w:pPr>
        <w:spacing w:before="0" w:after="260" w:line="288"/>
        <w:jc w:val="left"/>
      </w:pPr>
      <w:r>
        <w:rPr>
          <w:color w:val="667783"/>
          <w:sz w:val="24"/>
          <w:szCs w:val="24"/>
          <w:rFonts w:ascii="Calibri" w:cs="Calibri" w:eastAsia="Calibri" w:hAnsi="Calibri"/>
        </w:rPr>
        <w:t xml:space="preserve">RFP technical requirements and compliance response</w:t>
      </w:r>
    </w:p>
    <w:p>
      <w:pPr>
        <w:pBdr>
          <w:bottom w:val="single" w:color="1F7A8C" w:sz="12"/>
        </w:pBdr>
        <w:spacing w:after="2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0F3B57"/>
                <w:sz w:val="18"/>
                <w:szCs w:val="18"/>
                <w:caps/>
                <w:rFonts w:ascii="Calibri" w:cs="Calibri" w:eastAsia="Calibri" w:hAnsi="Calibri"/>
                <w:spacing w:val="14"/>
              </w:rPr>
              <w:t xml:space="preserve">Prepared by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9"/>
                <w:szCs w:val="19"/>
                <w:rFonts w:ascii="Calibri" w:cs="Calibri" w:eastAsia="Calibri" w:hAnsi="Calibri"/>
              </w:rPr>
              <w:t xml:space="preserve">Votal AI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0F3B57"/>
                <w:sz w:val="18"/>
                <w:szCs w:val="18"/>
                <w:caps/>
                <w:rFonts w:ascii="Calibri" w:cs="Calibri" w:eastAsia="Calibri" w:hAnsi="Calibri"/>
                <w:spacing w:val="14"/>
              </w:rPr>
              <w:t xml:space="preserve">Document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9"/>
                <w:szCs w:val="19"/>
                <w:rFonts w:ascii="Calibri" w:cs="Calibri" w:eastAsia="Calibri" w:hAnsi="Calibri"/>
              </w:rPr>
              <w:t xml:space="preserve">Cyber Range Technical Specification (RFP input)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0F3B57"/>
                <w:sz w:val="18"/>
                <w:szCs w:val="18"/>
                <w:caps/>
                <w:rFonts w:ascii="Calibri" w:cs="Calibri" w:eastAsia="Calibri" w:hAnsi="Calibri"/>
                <w:spacing w:val="14"/>
              </w:rPr>
              <w:t xml:space="preserve">Version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9"/>
                <w:szCs w:val="19"/>
                <w:rFonts w:ascii="Calibri" w:cs="Calibri" w:eastAsia="Calibri" w:hAnsi="Calibri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0F3B57"/>
                <w:sz w:val="18"/>
                <w:szCs w:val="18"/>
                <w:caps/>
                <w:rFonts w:ascii="Calibri" w:cs="Calibri" w:eastAsia="Calibri" w:hAnsi="Calibri"/>
                <w:spacing w:val="14"/>
              </w:rPr>
              <w:t xml:space="preserve">Date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9"/>
                <w:szCs w:val="19"/>
                <w:rFonts w:ascii="Calibri" w:cs="Calibri" w:eastAsia="Calibri" w:hAnsi="Calibri"/>
              </w:rPr>
              <w:t xml:space="preserve">29 October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0F3B57"/>
                <w:sz w:val="18"/>
                <w:szCs w:val="18"/>
                <w:caps/>
                <w:rFonts w:ascii="Calibri" w:cs="Calibri" w:eastAsia="Calibri" w:hAnsi="Calibri"/>
                <w:spacing w:val="14"/>
              </w:rPr>
              <w:t xml:space="preserve">Classification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9"/>
                <w:szCs w:val="19"/>
                <w:rFonts w:ascii="Calibri" w:cs="Calibri" w:eastAsia="Calibri" w:hAnsi="Calibri"/>
              </w:rPr>
              <w:t xml:space="preserve">Confidential — for the named recipient only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0F3B57"/>
                <w:sz w:val="18"/>
                <w:szCs w:val="18"/>
                <w:caps/>
                <w:rFonts w:ascii="Calibri" w:cs="Calibri" w:eastAsia="Calibri" w:hAnsi="Calibri"/>
                <w:spacing w:val="14"/>
              </w:rPr>
              <w:t xml:space="preserve">Basis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9"/>
                <w:szCs w:val="19"/>
                <w:rFonts w:ascii="Calibri" w:cs="Calibri" w:eastAsia="Calibri" w:hAnsi="Calibri"/>
              </w:rPr>
              <w:t xml:space="preserve">Prepared from the shipping CyberRange build; capability counts verifiable via the platform API</w:t>
            </w:r>
          </w:p>
        </w:tc>
      </w:tr>
    </w:tbl>
    <w:p>
      <w:pPr>
        <w:spacing w:before="360" w:after="0"/>
      </w:pPr>
      <w:r>
        <w:rPr>
          <w:b/>
          <w:bCs/>
          <w:color w:val="0F3B57"/>
          <w:sz w:val="18"/>
          <w:szCs w:val="18"/>
          <w:rFonts w:ascii="Calibri" w:cs="Calibri" w:eastAsia="Calibri" w:hAnsi="Calibri"/>
        </w:rPr>
        <w:t xml:space="preserve">Delivery legend:  </w:t>
      </w:r>
      <w:r>
        <w:rPr>
          <w:b/>
          <w:bCs/>
          <w:color w:val="1E7A4D"/>
          <w:sz w:val="18"/>
          <w:szCs w:val="18"/>
          <w:rFonts w:ascii="Calibri" w:cs="Calibri" w:eastAsia="Calibri" w:hAnsi="Calibri"/>
        </w:rPr>
        <w:t xml:space="preserve">GA</w:t>
      </w:r>
      <w:r>
        <w:rPr>
          <w:color w:val="22313D"/>
          <w:sz w:val="18"/>
          <w:szCs w:val="18"/>
          <w:rFonts w:ascii="Calibri" w:cs="Calibri" w:eastAsia="Calibri" w:hAnsi="Calibri"/>
        </w:rPr>
        <w:t xml:space="preserve"> = shipping today, demonstrated live at POC.   </w:t>
      </w:r>
      <w:r>
        <w:rPr>
          <w:b/>
          <w:bCs/>
          <w:color w:val="B06A00"/>
          <w:sz w:val="18"/>
          <w:szCs w:val="18"/>
          <w:rFonts w:ascii="Calibri" w:cs="Calibri" w:eastAsia="Calibri" w:hAnsi="Calibri"/>
        </w:rPr>
        <w:t xml:space="preserve">P1</w:t>
      </w:r>
      <w:r>
        <w:rPr>
          <w:color w:val="22313D"/>
          <w:sz w:val="18"/>
          <w:szCs w:val="18"/>
          <w:rFonts w:ascii="Calibri" w:cs="Calibri" w:eastAsia="Calibri" w:hAnsi="Calibri"/>
        </w:rPr>
        <w:t xml:space="preserve"> = committed Phase-1 deliverable, accepted at contract go-live against the same test.</w:t>
      </w:r>
    </w:p>
    <w:p>
      <w:r>
        <w:br w:type="page"/>
      </w:r>
    </w:p>
    <w:p>
      <w:pPr>
        <w:spacing w:before="0" w:after="120" w:line="288"/>
        <w:jc w:val="left"/>
      </w:pPr>
      <w:r>
        <w:rPr>
          <w:b/>
          <w:bCs/>
          <w:color w:val="0F3B57"/>
          <w:sz w:val="24"/>
          <w:szCs w:val="24"/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Prepared for: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Cyber Range RFP — technical requirements input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Author: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Votal AI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Document status: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RFP-ready specification describing the Votal AI CyberRange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platform as delivered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 Requirements are stated to be demanding, measurable,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and vendor-neutral, and every bar is anchored in a capability Votal AI stands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behind contractually.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Delivery-status legend (used on every requirement):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2"/>
        <w:gridCol w:w="4683"/>
        <w:gridCol w:w="4555"/>
      </w:tblGrid>
      <w:tr>
        <w:trPr>
          <w:tblHeader/>
        </w:trPr>
        <w:tc>
          <w:tcPr>
            <w:tcW w:type="dxa" w:w="842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Tag</w:t>
            </w:r>
          </w:p>
        </w:tc>
        <w:tc>
          <w:tcPr>
            <w:tcW w:type="dxa" w:w="4683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Meaning</w:t>
            </w:r>
          </w:p>
        </w:tc>
        <w:tc>
          <w:tcPr>
            <w:tcW w:type="dxa" w:w="4555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How it is accepted</w:t>
            </w:r>
          </w:p>
        </w:tc>
      </w:tr>
      <w:tr>
        <w:tc>
          <w:tcPr>
            <w:tcW w:type="dxa" w:w="842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  <w:tc>
          <w:tcPr>
            <w:tcW w:type="dxa" w:w="4683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In the current build; operates in the Purchaser's environment on day one</w:t>
            </w:r>
          </w:p>
        </w:tc>
        <w:tc>
          <w:tcPr>
            <w:tcW w:type="dxa" w:w="455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Demonstrated live at POC</w:t>
            </w:r>
          </w:p>
        </w:tc>
      </w:tr>
      <w:tr>
        <w:tc>
          <w:tcPr>
            <w:tcW w:type="dxa" w:w="842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P1</w:t>
            </w:r>
          </w:p>
        </w:tc>
        <w:tc>
          <w:tcPr>
            <w:tcW w:type="dxa" w:w="4683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Committed Phase-1 deliverable, delivered and accepted at contract go-live</w:t>
            </w:r>
          </w:p>
        </w:tc>
        <w:tc>
          <w:tcPr>
            <w:tcW w:type="dxa" w:w="455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Accepted at a staged go-live milestone against the same acceptance test</w:t>
            </w:r>
          </w:p>
        </w:tc>
      </w:tr>
    </w:tbl>
    <w:p>
      <w:pPr>
        <w:spacing w:after="120"/>
      </w:pP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Both GA and P1 are contractual capabilities Votal AI is bound to deliver.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only difference is *when* the Purchaser witnesses the acceptance test — at POC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or at the go-live milestone </w:t>
      </w:r>
      <w:r>
        <w:rPr>
          <w:b/>
          <w:bCs/>
          <w:i w:val="false"/>
          <w:iCs w:val="false"/>
          <w:color w:val="B06A00"/>
          <w:sz w:val="20"/>
          <w:szCs w:val="20"/>
          <w:rFonts w:ascii="Calibri" w:cs="Calibri" w:eastAsia="Calibri" w:hAnsi="Calibri"/>
        </w:rPr>
        <w:t xml:space="preserve">(P1)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 Nothing in this document is aspirational.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0. How to read this document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Each requirement is a triplet so it can be scored objectively by any evaluator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and met by any capable bidder:</w:t>
      </w:r>
    </w:p>
    <w:p>
      <w:pPr>
        <w:pBdr>
          <w:left w:val="single" w:color="1F7A8C" w:sz="18" w:space="12"/>
        </w:pBdr>
        <w:shd w:fill="EEF3F6" w:color="auto" w:val="clear"/>
        <w:spacing w:before="100" w:after="120" w:line="288"/>
        <w:ind w:left="240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Requirement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(what the solution does) →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Acceptance test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(the measurable pass/fail check) →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Evidence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(the artifact that proves it).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Two deliberate choices keep this specification both demanding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procurement-safe: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**Requirements describe operational and training *outcomes*, not one vendor's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feature names.** Where a bar is high, the underlying operational need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justifies it. A requirement written to a single product's datasheet is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most common reason a tender is challenged, re-run, or voided; this document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avoids that while still setting a bar most bidders will struggle to clear.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Every claim is verifiable.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GA capabilities are demonstrated live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their counts are read back from the platform's own API, not asserted in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prose. P1 capabilities are accepted against the identical test at go-live.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Keyword convention: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= mandatory (non-compliance disqualifies on that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line); </w:t>
      </w:r>
      <w:r>
        <w:rPr>
          <w:b/>
          <w:bCs/>
          <w:i w:val="false"/>
          <w:iCs w:val="false"/>
          <w:color w:val="1F7A8C"/>
          <w:sz w:val="20"/>
          <w:szCs w:val="20"/>
          <w:rFonts w:ascii="Calibri" w:cs="Calibri" w:eastAsia="Calibri" w:hAnsi="Calibri"/>
        </w:rPr>
        <w:t xml:space="preserve">SHOULD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= strongly preferred (scored, not disqualifying).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1. On-premises prerequisites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1.1 Compute, storage, and network sizing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solution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publish sizing tiers with concrete, testable figures and a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per-range resource model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so a Purchaser can provision precisely rather than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by guesswork.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Reference tiers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20"/>
        <w:gridCol w:w="2405"/>
        <w:gridCol w:w="975"/>
        <w:gridCol w:w="2080"/>
        <w:gridCol w:w="847"/>
        <w:gridCol w:w="1105"/>
        <w:gridCol w:w="847"/>
      </w:tblGrid>
      <w:tr>
        <w:trPr>
          <w:tblHeader/>
        </w:trP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Tier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Compute</w:t>
            </w:r>
          </w:p>
        </w:tc>
        <w:tc>
          <w:tcPr>
            <w:tcW w:type="dxa" w:w="975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RAM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Storage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Network</w:t>
            </w:r>
          </w:p>
        </w:tc>
        <w:tc>
          <w:tcPr>
            <w:tcW w:type="dxa" w:w="1105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Concurrent ranges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Delivery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Evaluation (simulated)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2 cores</w:t>
            </w:r>
          </w:p>
        </w:tc>
        <w:tc>
          <w:tcPr>
            <w:tcW w:type="dxa" w:w="97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4 GB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~2 GB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 GbE</w:t>
            </w:r>
          </w:p>
        </w:tc>
        <w:tc>
          <w:tcPr>
            <w:tcW w:type="dxa" w:w="11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1–3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Single-node real execution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4 cores</w:t>
            </w:r>
          </w:p>
        </w:tc>
        <w:tc>
          <w:tcPr>
            <w:tcW w:type="dxa" w:w="97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8–16 GB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50 GB+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 GbE</w:t>
            </w:r>
          </w:p>
        </w:tc>
        <w:tc>
          <w:tcPr>
            <w:tcW w:type="dxa" w:w="11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3–5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Full detection stack (+SIEM)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+4 cores</w:t>
            </w:r>
          </w:p>
        </w:tc>
        <w:tc>
          <w:tcPr>
            <w:tcW w:type="dxa" w:w="97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+4 GB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+ log volume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 GbE</w:t>
            </w:r>
          </w:p>
        </w:tc>
        <w:tc>
          <w:tcPr>
            <w:tcW w:type="dxa" w:w="11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per node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VM tier (Windows/AD)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8 vCPU (nested-virt)</w:t>
            </w:r>
          </w:p>
        </w:tc>
        <w:tc>
          <w:tcPr>
            <w:tcW w:type="dxa" w:w="97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32 GB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~150 GB SSD/node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1/10 GbE</w:t>
            </w:r>
          </w:p>
        </w:tc>
        <w:tc>
          <w:tcPr>
            <w:tcW w:type="dxa" w:w="11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1–3 per node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P1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Team appliance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2–4 nodes</w:t>
            </w:r>
          </w:p>
        </w:tc>
        <w:tc>
          <w:tcPr>
            <w:tcW w:type="dxa" w:w="97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256–512 GB/node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shared image+evidence store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10/25 GbE</w:t>
            </w:r>
          </w:p>
        </w:tc>
        <w:tc>
          <w:tcPr>
            <w:tcW w:type="dxa" w:w="11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5–20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P1</w:t>
            </w:r>
          </w:p>
        </w:tc>
      </w:tr>
      <w:tr>
        <w:tc>
          <w:tcPr>
            <w:tcW w:type="dxa" w:w="18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Enterprise cluster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HA control plane + elastic exec pools</w:t>
            </w:r>
          </w:p>
        </w:tc>
        <w:tc>
          <w:tcPr>
            <w:tcW w:type="dxa" w:w="97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per node above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shared store (NFS/S3-compatible)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10/25 GbE</w:t>
            </w:r>
          </w:p>
        </w:tc>
        <w:tc>
          <w:tcPr>
            <w:tcW w:type="dxa" w:w="110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20+</w:t>
            </w:r>
          </w:p>
        </w:tc>
        <w:tc>
          <w:tcPr>
            <w:tcW w:type="dxa" w:w="847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P1</w:t>
            </w:r>
          </w:p>
        </w:tc>
      </w:tr>
    </w:tbl>
    <w:p>
      <w:pPr>
        <w:spacing w:after="120"/>
      </w:pP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Per-range resource model (for capacity planning)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Control plane: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~256 MB RAM + &lt;1 vCPU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steady state per node (stdlib HTTP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server + datastore client); scales with API request rate, not range count.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Atomic container run: bounded by the module's own caps (default **≤512 MB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RAM, ≤1 vCPU, ≤256 PIDs**, 60–600 s lifetime), reclaimed on exit.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Live connected range: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~1–2 GB RAM + 1–2 vCPU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 the per-range network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persistent hosts; directory-backed identity scenarios add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~512 MB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synthetic directory.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Evidence/log storage: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~5–50 MB per completed exercise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(timeline + captured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output + detections), linear in exercise length and module count.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Requirements: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1.1.1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run the full control plane (catalog, lifecycle,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scoring, reporting, audit) within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2-core / 4 GB / 2 GB-disk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footprint.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*Acceptance:* deploy on a 4 GB host; complete a simulated exercise end to end.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/api/health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+ completed after-action report.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1.1.2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publish per-tier concurrent-range capacity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sustain the stated count with **median control-plane API latency &lt; 500 ms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p95 &lt; 1500 ms**. *Acceptance:* drive N concurrent ranges at the quoted tier.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load-test transcript + range list.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1.1.3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cap every execution artifact (RAM, CPU, PID count,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wall-clock) and reclaim it deterministically, so range count cannot exhaust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host. *Acceptance:* launch to the tier limit; confirm reclaim 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completion. *Evidence:* host resource trace across the run.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1.2 Supported operating systems, hypervisors, databases, dependencies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1.2.1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run the control plane on any OS providing **Python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3.10+** (Linux — RHEL/Rocky/Alma 8+, Ubuntu 20.04+, Debian 11+; macOS 12+;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Windows Server 2019+), with **no build step and no mandatory third-party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runtime dependency**. *Acceptance:* clone and start with zero package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installation. *Evidence:* install transcript showing no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pip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install for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core.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1.2.2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SQLite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(zero-config default) **and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PostgreSQL 14+** (production, including managed Postgres) behind one storage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interface, switchable by connection string with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 code change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schema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auto-created on boot, verified against real Postgres in the test suite.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*Acceptance:* same build on both backends. *Evidence:* standalone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schema.sql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(with optional row-level security) + a run against real Postgres.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1.2.3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execute real adversary behavior on a reachable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container runtime (Docker Engine 20.10+ / OCI)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*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*, and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integrate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with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hypervisor (KVM/Proxmox VE 8+/VMware ESXi 7+)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 full-VM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Windows/Active Directory targets *</w:t>
      </w:r>
      <w:r>
        <w:rPr>
          <w:b/>
          <w:bCs/>
          <w:i w:val="false"/>
          <w:iCs w:val="false"/>
          <w:color w:val="B06A00"/>
          <w:sz w:val="20"/>
          <w:szCs w:val="20"/>
          <w:rFonts w:ascii="Calibri" w:cs="Calibri" w:eastAsia="Calibri" w:hAnsi="Calibri"/>
        </w:rPr>
        <w:t xml:space="preserve">(P1)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 through a declarative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topology/provisioner interface. *Acceptance:* container tier demonstrated 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POC; VM/AD tier accepted at go-live against the same execution-fidelity test.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1.2.4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enumerate every third-party component and its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license (see §1.4); the core dependency surface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 **standard-library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only** (the optional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psycopg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Postgres driver and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PyYAML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 YAML authoring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are the only add-ons, both shipped in the container image).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Dependency inventory (core path)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16"/>
        <w:gridCol w:w="4133"/>
        <w:gridCol w:w="3931"/>
      </w:tblGrid>
      <w:tr>
        <w:trPr>
          <w:tblHeader/>
        </w:trPr>
        <w:tc>
          <w:tcPr>
            <w:tcW w:type="dxa" w:w="2016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Component</w:t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Role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Dependency</w:t>
            </w:r>
          </w:p>
        </w:tc>
      </w:tr>
      <w:tr>
        <w:tc>
          <w:tcPr>
            <w:tcW w:type="dxa" w:w="20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Control plane</w:t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API, lifecycle, scoring, reporting, audit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Python 3.10+ stdlib only</w:t>
            </w:r>
          </w:p>
        </w:tc>
      </w:tr>
      <w:tr>
        <w:tc>
          <w:tcPr>
            <w:tcW w:type="dxa" w:w="20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Datastore</w:t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persistence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SQLite (stdlib) or PostgreSQL + </w:t>
            </w:r>
            <w:r>
              <w:rPr>
                <w:b w:val="false"/>
                <w:bCs w:val="false"/>
                <w:color w:val="1F7A8C"/>
                <w:sz w:val="17"/>
                <w:szCs w:val="17"/>
                <w:rFonts w:ascii="Consolas" w:cs="Consolas" w:eastAsia="Consolas" w:hAnsi="Consolas"/>
              </w:rPr>
              <w:t xml:space="preserve">psycopg</w:t>
            </w:r>
          </w:p>
        </w:tc>
      </w:tr>
      <w:tr>
        <w:tc>
          <w:tcPr>
            <w:tcW w:type="dxa" w:w="20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Execution</w:t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real runs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Docker Engine / OCI runtime</w:t>
            </w:r>
          </w:p>
        </w:tc>
      </w:tr>
      <w:tr>
        <w:tc>
          <w:tcPr>
            <w:tcW w:type="dxa" w:w="20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SIEM (optional)</w:t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real alerting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Wazuh (manager/indexer/dashboard)</w:t>
            </w:r>
          </w:p>
        </w:tc>
      </w:tr>
      <w:tr>
        <w:tc>
          <w:tcPr>
            <w:tcW w:type="dxa" w:w="20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Authoring (optional)</w:t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YAML scenario configs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7A8C"/>
                <w:sz w:val="17"/>
                <w:szCs w:val="17"/>
                <w:rFonts w:ascii="Consolas" w:cs="Consolas" w:eastAsia="Consolas" w:hAnsi="Consolas"/>
              </w:rPr>
              <w:t xml:space="preserve">PyYAML</w:t>
            </w: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 (JSON needs nothing)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1.3 Connectivity and installation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1.3.1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install as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single service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(container image or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stdlib process) exposing one HTTP(S) port, with configuration by environment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variable only (no config-file sprawl). *Acceptance:*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docker compose up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or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single start command yields a working dashboard + API in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≤ 30 minutes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from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 clean host. *Evidence:* timed install transcript + running URL.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1.3.2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reject unauthenticated API access by default and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 NOT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enable any developer identity shortcut unless explicitly configured.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*Acceptance:* unauthenticated call returns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401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 *Evidence:* request log.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1.3.3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document every listening port, every outbound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connection the platform makes (the core path makes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none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), and the exact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firewall posture required. *Evidence:* port/flow table.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1.4 Licensing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1.4.1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require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 paid third-party runtime license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shipping Linux/Docker path: control plane = Python stdlib + SQLite;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detection stack (Wazuh, Sysmon, Suricata, Zeek, osquery) and imported content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(Atomic Red Team — MIT; MITRE CALDERA — Apache-2.0) are open source.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license inventory table.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1.4.2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state plainly that the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only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customer-supplied paid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licensing is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Microsoft Windows/AD media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 the VM tier *</w:t>
      </w:r>
      <w:r>
        <w:rPr>
          <w:b/>
          <w:bCs/>
          <w:i w:val="false"/>
          <w:iCs w:val="false"/>
          <w:color w:val="B06A00"/>
          <w:sz w:val="20"/>
          <w:szCs w:val="20"/>
          <w:rFonts w:ascii="Calibri" w:cs="Calibri" w:eastAsia="Calibri" w:hAnsi="Calibri"/>
        </w:rPr>
        <w:t xml:space="preserve">(P1)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*;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platform ships no Windows media and relies on the Purchaser's evaluation or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volume licensing. *Rationale:* disclosing this up front prevents a post-award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licensing dispute.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1.4.3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impose no per-seat or per-exercise metering that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requires outbound license check-in, so an air-gapped deployment is never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license-blocked.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1.5 Isolated / air-gapped environments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1.5.1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install and operate fully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offline / air-gapped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: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 outbound connectivity required at install or runtime for the core platform.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*Acceptance:* install from a local artifact bundle on a host with egress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blocked at the firewall; run a full exercise. *Evidence:* firewall log showing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zero egress + completed report.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1.5.2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an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offline artifact bundle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(platform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image, signed content pack, container base images, optional SIEM images) that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loads into a local registry with no internet access, plus a documented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checksum/signature verification step. *Evidence:* bundle manifest + load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transcript.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1.5.3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default ranges to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egress-deny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and keep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control plane on a network unreachable from tenant/lab workloads.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*Acceptance:* attempt outbound from inside a provisioned range → blocked.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network policy + blocked-connection log.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2. Deployment architecture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solution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offer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both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an on-premises/self-hosted model and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managed/SaaS model from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one codebase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so capability never forks between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them. Differences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 limited to who operates the infrastructure, not what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platform can do.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2.1 On-premises / customer-hosted model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2.1.1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give the Purchaser **full ownership of all data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lab assets**, deployable on customer Docker/hypervisor infrastructure,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including air-gapped (per §1.5).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2.1.2 — Scalability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scale from a single node to a multi-node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hypervisor cluster with elastic execution pools *(team/enterprise tiers: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P1)*, and the **stateless control plane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scale horizontally behind a load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balancer with a shared PostgreSQL backend** *(GA — the app tier holds no local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session state beyond the datastore)*. *Acceptance:* run two control-plane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replicas against one Postgres; sessions and ranges are consistent across both.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dual-replica test transcript.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2.1.3 — Concurrent users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role-separated concurrent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participants (red / blue / purple / instructor / observer) per range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multiple concurrent ranges per the §1.1 tiers. *Acceptance:* the quoted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concurrent-user count demonstrated with live sessions. *Evidence:* multi-session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test.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2.1.4 — Availability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an HA control-plane topology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(stateless app replicas + replicated Postgres) with a **target of 99.5%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monthly availability** for the control plane, excluding Purchaser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infrastructure outages *(HA topology: P1; stateless app tier enabling it: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GA)*. *Evidence:* HA deployment diagram + failover test.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2.1.5 — Backup/DR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consistent backup and restore of all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state. *Acceptance:* back up (single SQLite file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or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Postgres</w:t>
      </w:r>
    </w:p>
    <w:p>
      <w:pPr>
        <w:spacing w:before="0" w:after="130" w:line="288"/>
        <w:jc w:val="left"/>
      </w:pP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pg_dump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/PITR), restore to a clean host, resume operations with the evidence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timeline's integrity hashes intact.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Targets: RPO ≤ 24 h, RTO ≤ 4 h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on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reference tier;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RPO ≤ 15 min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with Postgres PITR/WAL archiving.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restore transcript + hash-verified evidence timeline. *(GA for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SQLite + Postgres dump; PITR topology: P1.)*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2.1.6 — Upgrades/maintenance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apply forward-compatible schema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migrations automatically on boot, support a documented rollback to the prior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image, and perform routine platform upgrades with **no loss of locked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evidence**. *Acceptance:* upgrade across a schema change; prior exercises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their locked evidence remain readable. *Evidence:* upgrade transcript. *(GA.)*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2.2 SaaS / managed model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2.2.1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offer a hosted control plane with managed TLS and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managed PostgreSQL backend, provisionable without any Purchaser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infrastructure.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2.2.2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state the hosted-execution model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plainly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: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hosted application container without a co-located Docker host runs modules in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simulation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with technique-basis detection; **real container execution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requires a reachable Docker host**, which the managed tier provisions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alongside the control plane. *Rationale:* no hidden fidelity gap discovered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after purchase.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2.2.3 — Managed scaling/availability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scaling, backup,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patching, and availability as a Votal AI operator responsibility under a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published SLA (target 99.5% monthly)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with the Purchaser retaining data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export rights at any time. *(Managed tier operation: P1; export: GA.)*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2.2.4 — Data residency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allow selection of hosting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region/jurisdiction at provisioning time and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 NOT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move Purchaser data out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of the selected region (see §4.5). *(P1.)*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2.3 Maintenance responsibility (RACI)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936"/>
        <w:gridCol w:w="2784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Activity</w:t>
            </w:r>
          </w:p>
        </w:tc>
        <w:tc>
          <w:tcPr>
            <w:tcW w:type="dxa" w:w="3936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On-prem</w:t>
            </w:r>
          </w:p>
        </w:tc>
        <w:tc>
          <w:tcPr>
            <w:tcW w:type="dxa" w:w="2784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SaaS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Infrastructure / OS patching</w:t>
            </w:r>
          </w:p>
        </w:tc>
        <w:tc>
          <w:tcPr>
            <w:tcW w:type="dxa" w:w="393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Purchaser</w:t>
            </w:r>
          </w:p>
        </w:tc>
        <w:tc>
          <w:tcPr>
            <w:tcW w:type="dxa" w:w="278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Votal AI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Platform upgrades</w:t>
            </w:r>
          </w:p>
        </w:tc>
        <w:tc>
          <w:tcPr>
            <w:tcW w:type="dxa" w:w="393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Purchaser (Votal AI-assisted, documented)</w:t>
            </w:r>
          </w:p>
        </w:tc>
        <w:tc>
          <w:tcPr>
            <w:tcW w:type="dxa" w:w="278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Votal AI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Backup execution &amp; DR drills</w:t>
            </w:r>
          </w:p>
        </w:tc>
        <w:tc>
          <w:tcPr>
            <w:tcW w:type="dxa" w:w="393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Purchaser (procedure + tooling supplied)</w:t>
            </w:r>
          </w:p>
        </w:tc>
        <w:tc>
          <w:tcPr>
            <w:tcW w:type="dxa" w:w="278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Votal AI (Purchaser verifies)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Content library updates</w:t>
            </w:r>
          </w:p>
        </w:tc>
        <w:tc>
          <w:tcPr>
            <w:tcW w:type="dxa" w:w="393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Votal AI (signed packs delivered)</w:t>
            </w:r>
          </w:p>
        </w:tc>
        <w:tc>
          <w:tcPr>
            <w:tcW w:type="dxa" w:w="278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Votal AI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Scenario/content authoring</w:t>
            </w:r>
          </w:p>
        </w:tc>
        <w:tc>
          <w:tcPr>
            <w:tcW w:type="dxa" w:w="393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Purchaser + Votal AI</w:t>
            </w:r>
          </w:p>
        </w:tc>
        <w:tc>
          <w:tcPr>
            <w:tcW w:type="dxa" w:w="278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Purchaser + Votal AI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User &amp; role administration</w:t>
            </w:r>
          </w:p>
        </w:tc>
        <w:tc>
          <w:tcPr>
            <w:tcW w:type="dxa" w:w="393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Purchaser</w:t>
            </w:r>
          </w:p>
        </w:tc>
        <w:tc>
          <w:tcPr>
            <w:tcW w:type="dxa" w:w="278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Purchaser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Lab asset / target lifecycle</w:t>
            </w:r>
          </w:p>
        </w:tc>
        <w:tc>
          <w:tcPr>
            <w:tcW w:type="dxa" w:w="393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Purchaser</w:t>
            </w:r>
          </w:p>
        </w:tc>
        <w:tc>
          <w:tcPr>
            <w:tcW w:type="dxa" w:w="278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Shared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Security monitoring of the platform</w:t>
            </w:r>
          </w:p>
        </w:tc>
        <w:tc>
          <w:tcPr>
            <w:tcW w:type="dxa" w:w="393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Purchaser</w:t>
            </w:r>
          </w:p>
        </w:tc>
        <w:tc>
          <w:tcPr>
            <w:tcW w:type="dxa" w:w="278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Votal AI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3. Cyber range capabilities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3.0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deliver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red, blue, and purple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team exercises,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solo guided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exercises (one learner runs both attacker and defender phases 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one timeline), and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purple detection sprints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from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single platform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with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 separate product, environment, or license per mode.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3.1 Scenario creation and customisation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3.1.1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ship a populated, versioned scenario/TTP catalog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mapped to MITRE ATT&amp;CK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searchable and filterable by role, tactic,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technique, difficulty, platform, and safety class. *Current build:* a catalog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spanning introductory→advanced difficulty and **13 of 14 Enterprise ATT&amp;CK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tactics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including a full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ransomware kill chain** (recon → persistence →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discovery → collection → inhibit-recovery → service-stop → canary-impact →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ransom-note) and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cloud intrusion kill chain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(metadata-credential theft →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account manipulation → cross-bucket collection → external-storage exfil →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mailbox-rule and OAuth-consent footholds). *Acceptance:* catalog returns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scenarios with ATT&amp;CK mappings and the live counts. *Evidence:*</w:t>
      </w:r>
    </w:p>
    <w:p>
      <w:pPr>
        <w:spacing w:before="0" w:after="130" w:line="288"/>
        <w:jc w:val="left"/>
      </w:pP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/api/scenarios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/api/tactics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/api/frameworks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3.1.2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let a Purchaser **author their own scenarios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behavior modules from a compact declarative config without vendor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engineering**, and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require authored executable content to be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cryptographically signed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before it can run; unsigned content is refused 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execution. *Acceptance:* evaluator authors a new scenario, signs it, launches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it. *Evidence:* authored config + signature record + run.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3.1.3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bind each scenario to a declarative **topology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template** (VM / network / identity), versioned with the scenario.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/api/topologies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3.1.4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content import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from Atomic Red Team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MITRE CALDERA, with imported content **unsigned and non-executable until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reviewer signs it** (a reviewer sign workflow). *Evidence:* import →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review → sign → run transcript.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3.2 Attack &amp; defence simulation (fidelity)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3.2.1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execute adversary behavior as **genuine commands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inside isolated targets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capturing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actual stdout, stderr, exit code,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timing** as telemetry — never pre-recorded transcripts. Atomic execution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containers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network-isolated (`--network none`)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memory/CPU/PID-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capped, started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`--no-new-privileges`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given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 host mounts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removed 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exit (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--rm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), and bounded by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60–600 s per-module timeout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 *Acceptance:*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run a module; inspect captured real output and enforced constraints.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timeline event with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real: true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+ container run spec.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3.2.2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persistent, connected live ranges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where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 foothold established in one step survives into the next and targets are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mutually reachable across a per-range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no-egress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internal network — a real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kill chain, not disconnected atomic actions. Identity scenarios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stand up a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real directory seeded with synthetic users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 genuine enumeration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(T1087). *Acceptance:* a multi-step chain demonstrates persistence + lateral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reachability. *Evidence:* cross-step timeline.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3.2.3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full-VM Windows and Active Directory targets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(real domain controller, Kerberos, SMB, GPO) for AD attack-path exercises via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hypervisor provisioner. *(P1 — accepted at go-live against a live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AD-enumeration-and-attack exercise; the container tier's directory stand-in is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GA equivalent for Linux identity.)*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3.2.4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degrade gracefully: where the execution tier is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unavailable or a module carries no execution spec, fall back to a **simulated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adapter** that emits declared telemetry rather than failing the exercise, and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label every timeline event `real` or `sim`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so fidelity is never in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doubt. *Acceptance:* disable the execution host; the exercise still runs,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scores, reports, and labels events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sim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 *Evidence:* mixed-mode timeline.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3.2.5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Safety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classify every executable item (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S0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simulation /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S1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atomic emulation /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S2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high-impact lab action /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Prohibited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), enforce approval authority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 the execution path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(not by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policy document), refuse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unsigned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modules at execution, and make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Prohibited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behavior (self-propagation, external targeting, real credential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theft, live malware)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non-executable by any role including admin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High-impact actions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 scoped to lab canaries (e.g. ransomware impact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encrypts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canary files only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). *Acceptance:* attempt an unsigned / prohibited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/ over-privileged action → refused. *Evidence:* refusal + audit entry.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3.3 Training environments &amp; orchestration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3.3.1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manage range lifecycle as an **enforced state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machine** — requested → preflight → provisioning → seeding → ready → running ⇄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paused → completing → evidence-locked → archived → destroyed, plus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QUARANTINED with admin-only release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rejecting illegal transitions with</w:t>
      </w:r>
    </w:p>
    <w:p>
      <w:pPr>
        <w:spacing w:before="0" w:after="130" w:line="288"/>
        <w:jc w:val="left"/>
      </w:pP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409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 *Evidence:* lifecycle API + a rejected transition.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3.3.2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auto-quarantine any anomalous workload and allow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only an administrator to release or destroy it, and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emergency pause/kill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across a range. *Evidence:* quarantine + release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audit trail.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3.3.3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an integrated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learning platform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: classes,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CSV roster bulk-enrolment (generated passwords returned for distribution),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assignments, guided lessons (briefing, concepts, ordered hands-on steps that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run a real or simulated module on the learner's own auto-provisioned range),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and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auto-graded knowledge checks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with per-student gradebook export — so no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external LMS is required. </w:t>
      </w:r>
      <w:r>
        <w:rPr>
          <w:b/>
          <w:bCs/>
          <w:i w:val="false"/>
          <w:iCs w:val="false"/>
          <w:color w:val="1F7A8C"/>
          <w:sz w:val="20"/>
          <w:szCs w:val="20"/>
          <w:rFonts w:ascii="Calibri" w:cs="Calibri" w:eastAsia="Calibri" w:hAnsi="Calibri"/>
        </w:rPr>
        <w:t xml:space="preserve">SHOULD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also expose the full API for LMS/ticketing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integration. *Evidence:* class → roster → assignment → gradebook CSV.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3.4 Observation, assessment &amp; reporting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3.4.1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record all activity on one **synchronized UTC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timeline with per-event integrity hashes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shared across roles,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lockable 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completion** for an immutable after-action / accreditation record. *Evidence:*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locked timeline + hash verification.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3.4.2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Fog of war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present defenders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redacted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SOC-style log search: technique attribution, module IDs, command lines, safety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class, and adapter metadata stripped, and the event source relabelled from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attacker tooling to the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affected asset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(e.g.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host:victim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). Redaction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be enforced at the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query layer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not by asking participants not to look.</w:t>
      </w:r>
    </w:p>
    <w:p>
      <w:pPr>
        <w:spacing w:before="160" w:after="130" w:line="288"/>
        <w:jc w:val="left"/>
      </w:pPr>
      <w:r>
        <w:rPr>
          <w:b w:val="false"/>
          <w:bCs w:val="false"/>
          <w:i/>
          <w:iCs/>
          <w:color w:val="667783"/>
          <w:sz w:val="18"/>
          <w:szCs w:val="18"/>
          <w:rFonts w:ascii="Calibri" w:cs="Calibri" w:eastAsia="Calibri" w:hAnsi="Calibri"/>
        </w:rPr>
        <w:t xml:space="preserve">Acceptance:* the defender view contains no attacker attribution. *Evidence: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side-by-side operator vs. defender query results.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3.4.3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Detection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auto-evaluate **versioned, Sigma-style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rules** against real telemetry (including captured container output), recording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**which rule fired, the matched evidence line, severity, and the latency from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activity to verdict (MTTD)** without human input, with a manual-verdict path 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top. *Evidence:* detection record with rule id, matched line, severity, MTTD.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3.4.4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Scoring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produce an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explainable weighted score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across five dimensions — **red execution 25%, detection 25%, investigation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20%, response 20%, collaboration 10%** — returning every dimension's raw score,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weight, and contribution, each penalty, and **every instructor override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audited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with a named approver and written justification. A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derived score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exist from observed activity before any human judgement** is applied.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full score breakdown + an override audit entry.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3.4.5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Purple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report purple exercises as a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baseline-to-replay coverage delta per technique and in aggregate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never as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win/lose. *Evidence:* a purple comparison report.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3.4.6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Reporting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export after-action reports (technique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coverage, detection gaps, evidence inventory, recommendations) in **JSON, CSV,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HTML, and DOCX**, and class gradebooks in CSV. *Evidence:* the four report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exports.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3.5 Integrations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3.5.1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ship optional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real SIEM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integration (bundled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Wazuh: manager, indexer, dashboard) that ingests normalized event JSON, raises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genuine alerts from the platform's detection rules, and posts those alerts back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onto the exercise timeline as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basis=siem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detections, simultaneously visible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 the SIEM dashboard. The telemetry contract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normalized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so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substituting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Elastic, Microsoft Sentinel, or Splunk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is a configuration/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adapter exercise, not a redesign. *(Wazuh: GA; additional SIEM adapters: P1.)*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a SIEM alert appearing as a timeline detection.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3.5.2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expose a complete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REST/JSON API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(bearer-token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auth) for every dashboard action, with structured status codes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(400/401/403/404/409/500) and filterable catalog queries, so the platform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integrates with existing LMS, ticketing, and analytics pipelines rather than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requiring operators to live in its UI. *Evidence:* API reference + a scripted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exercise run.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3.5.3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host- and network-sensor telemetry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(kernel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runtime sensing via Falco; network IDS via Suricata/Zeek) feeding the same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normalized detection contract, for higher-fidelity blue-team hunting. *(P1 —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telemetry contract is GA; the additional sensors are accepted at go-live.)*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3.6 Framework crosswalks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3.6.1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crosswalk techniques to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NIST CSF 2.0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the **NICE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Workforce Framework (SP 800-181r1)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CIS Controls v8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and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NSA/DHS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CAE-CD Knowledge Units**, served through the API for curriculum mapping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accreditation evidence, and presented as a curated curriculum alignment (not an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official MITRE dataset). *Evidence:*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/api/frameworks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4. Security and administration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4.1 Access controls (RBAC)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4.1.1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enforce a role→permission mapping **server-side 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every API call**, with distinct least-privilege roles (admin, instructor, red,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blue, purple, solo, read-only security leader). Red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 NOT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execute S2; blue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 NOT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execute attacker modules; only admin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 able to provision users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or release a quarantined range. *Acceptance:* each role is blocked from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out-of-scope actions. *Evidence:* the live permission matrix (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/api/roles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) +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denied-action logs.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4.2 Authentication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4.2.1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store passwords as **PBKDF2-HMAC-SHA256 with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per-user random salt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(never plaintext), issue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opaque random session tokens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with a bounded TTL (≤ 12 h)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return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non-enumerating** login errors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(identical response for unknown user / wrong password / disabled account), and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immediately revoke all live sessions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when a user is disabled. *Evidence:*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auth configuration + a disable-then-denied test.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4.2.2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enterprise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SSO/OIDC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(SAML/OIDC IdP) with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RBAC layer unchanged — an identity integration, not a permissions redesign.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*(P1 — the identity layer is isolated from RBAC in the GA build, so SSO is an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adapter at the edge; accepted at go-live against a live IdP login.)*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4.3 Tenant isolation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4.3.1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isolate ranges on per-range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no-egress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networks,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label every artifact by range ID, run all execution **non-privileged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resource-capped**, and keep the control plane unreachable from tenant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workloads. *Acceptance:* a cross-range reachability test fails. *Evidence:*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network policy + test log.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4.3.2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logical multi-tenant separation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(org/tenant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scoping of users, classes, ranges, evidence, and reports) on the managed tier,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so one tenant cannot read another's data. *(P1 — accepted at go-live via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two-tenant isolation test; on-prem single-tenant isolation is GA.)*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4.4 Encryption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4.4.1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serve all remote access over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TLS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(managed on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hosted tier; Purchaser-terminated on-prem) and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**encryption 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rest** for the datastore (PostgreSQL TDE or encrypted volume; SQLite on an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encrypted volume). *Evidence:* TLS configuration + at-rest encryption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attestation.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4.5 Audit logs &amp; data residency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4.5.1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write every state change to an **append-only audit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ledger** readable by admins, covering lifecycle transitions, module execution,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score overrides, quarantine actions, and user management, each entry carrying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actor, action, target, and UTC timestamp. *Evidence:*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/api/audit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output.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4.5.2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keep all data within Purchaser-controlled infrastructure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on-prem *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*, and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allow **region/jurisdiction selection with no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out-of-region data movement** on the managed tier *</w:t>
      </w:r>
      <w:r>
        <w:rPr>
          <w:b/>
          <w:bCs/>
          <w:i w:val="false"/>
          <w:iCs w:val="false"/>
          <w:color w:val="B06A00"/>
          <w:sz w:val="20"/>
          <w:szCs w:val="20"/>
          <w:rFonts w:ascii="Calibri" w:cs="Calibri" w:eastAsia="Calibri" w:hAnsi="Calibri"/>
        </w:rPr>
        <w:t xml:space="preserve">(P1)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*. *Evidence:* residency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attestation.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4.6 Monitoring &amp; administrative controls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4.6.1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expose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health endpoint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reporting execution mode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and component status, and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admin controls for user provisioning,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image management,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emergency pause/kill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quarantine release, and audited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score override. *Evidence:* </w:t>
      </w:r>
      <w:r>
        <w:rPr>
          <w:b w:val="false"/>
          <w:bCs w:val="false"/>
          <w:color w:val="1F7A8C"/>
          <w:sz w:val="19"/>
          <w:szCs w:val="19"/>
          <w:rFonts w:ascii="Consolas" w:cs="Consolas" w:eastAsia="Consolas" w:hAnsi="Consolas"/>
        </w:rPr>
        <w:t xml:space="preserve">/api/health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+ an admin-panel walkthrough.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4.6.2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emit platform operational metrics/logs in a form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Purchaser SOC can ingest (structured logs; metrics endpoint). *(P1 — structured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audit/event logs are GA; a dedicated metrics endpoint is accepted at go-live.)*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5. Acceptance criteria, demonstration &amp; proof-of-concept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Every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GA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benchmark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 demonstrated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live at POC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Purchaser-witnessed infrastructure, with the named evidence artifact produced 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spot. Every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P1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benchmark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 accepted against the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identical test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at the contract go-live milestone. Both are contractual.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5.1 Measurable performance benchmarks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1"/>
        <w:gridCol w:w="1096"/>
        <w:gridCol w:w="5816"/>
        <w:gridCol w:w="1525"/>
        <w:gridCol w:w="821"/>
      </w:tblGrid>
      <w:tr>
        <w:trPr>
          <w:tblHeader/>
        </w:trP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#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Benchmark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Pass criterion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Evidence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Delivery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Install footprint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Full control plane on 2-core/4 GB/2 GB-disk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7A8C"/>
                <w:sz w:val="17"/>
                <w:szCs w:val="17"/>
                <w:rFonts w:ascii="Consolas" w:cs="Consolas" w:eastAsia="Consolas" w:hAnsi="Consolas"/>
              </w:rPr>
              <w:t xml:space="preserve">/api/health</w:t>
            </w: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 + completed exercise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B2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Air-gapped install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Install + full exercise with host egress blocked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Firewall log + report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B3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Deploy time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Running dashboard + API from a clean host in </w:t>
            </w: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≤ 30 min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Timed transcript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B4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Real execution fidelity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Genuine stdout/stderr/exit/timing captured in a network-isolated, capped, non-privileged, no-mount, auto-removed container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Timeline </w:t>
            </w:r>
            <w:r>
              <w:rPr>
                <w:b w:val="false"/>
                <w:bCs w:val="false"/>
                <w:color w:val="1F7A8C"/>
                <w:sz w:val="17"/>
                <w:szCs w:val="17"/>
                <w:rFonts w:ascii="Consolas" w:cs="Consolas" w:eastAsia="Consolas" w:hAnsi="Consolas"/>
              </w:rPr>
              <w:t xml:space="preserve">real:true</w:t>
            </w: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 + run spec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B5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Graceful degradation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With the execution host disabled, exercise still runs, scores, reports, labels events </w:t>
            </w:r>
            <w:r>
              <w:rPr>
                <w:b w:val="false"/>
                <w:bCs w:val="false"/>
                <w:color w:val="1F7A8C"/>
                <w:sz w:val="17"/>
                <w:szCs w:val="17"/>
                <w:rFonts w:ascii="Consolas" w:cs="Consolas" w:eastAsia="Consolas" w:hAnsi="Consolas"/>
              </w:rPr>
              <w:t xml:space="preserve">sim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Mixed-mode timeline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B6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Fog-of-war redaction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Defender view carries zero attacker attribution/command lines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Operator vs. defender query diff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B7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Auto-detection + MTTD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Rule fires automatically on real output; MTTD recorded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Detection record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B8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Explainable scoring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Score returns per-dimension raw/weight/contribution + audited overrides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Score breakdown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B9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Concurrency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Sustain quoted concurrent ranges/users; </w:t>
            </w: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median API latency &lt; 500 ms, p95 &lt; 1500 ms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Load-test transcript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B10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Backup/restore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Restore to a clean host; evidence hashes verify; resume ops (</w:t>
            </w: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RPO ≤ 24 h, RTO ≤ 4 h</w:t>
            </w: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; ≤ 15 min RPO with PITR)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Restore transcript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 (PITR: P1)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B11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Safety enforcement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Unsigned/prohibited/over-privileged action refused </w:t>
            </w: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in the execution path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Refusal + audit entry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B12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Reporting formats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After-action report exports JSON, CSV, HTML, DOCX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Four files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B13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Customer authoring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Evaluator authors, signs, and runs a new scenario without vendor code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Authored config + run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B14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Portability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Switch SQLite→Postgres and built-in detection→real SIEM by configuration only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Both backends + SIEM alert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B15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Horizontal scale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Two stateless control-plane replicas on one Postgres stay consistent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Dual-replica transcript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B16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Windows/AD fidelity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Live AD enumeration + attack path against a real domain controller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AD exercise timeline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P1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B17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SSO/OIDC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Login via the Purchaser's IdP; RBAC unchanged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Live IdP login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P1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B18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Multi-tenant isolation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Two tenants; neither can read the other's data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Two-tenant isolation test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P1</w:t>
            </w:r>
          </w:p>
        </w:tc>
      </w:tr>
      <w:tr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B19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HA failover</w:t>
            </w:r>
          </w:p>
        </w:tc>
        <w:tc>
          <w:tcPr>
            <w:tcW w:type="dxa" w:w="581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Control-plane node loss with no exercise data loss</w:t>
            </w:r>
          </w:p>
        </w:tc>
        <w:tc>
          <w:tcPr>
            <w:tcW w:type="dxa" w:w="1525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Failover transcript</w:t>
            </w:r>
          </w:p>
        </w:tc>
        <w:tc>
          <w:tcPr>
            <w:tcW w:type="dxa" w:w="82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5.2 Demonstration requirements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5.2.1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run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live red→blue exercise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end to end: red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executes a real technique; blue hunts it in the redacted SOC search with no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foreknowledge; detection fires and records MTTD; a five-dimension score and an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after-action report are produced.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5.2.2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demonstrate the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governance path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: unsigned-module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refusal, S2 gating, auto-quarantine with admin-only release, and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append-only audit ledger.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5.2.3 </w:t>
      </w:r>
      <w:r>
        <w:rPr>
          <w:b/>
          <w:bCs/>
          <w:i w:val="false"/>
          <w:iCs w:val="false"/>
          <w:color w:val="B06A00"/>
          <w:sz w:val="20"/>
          <w:szCs w:val="20"/>
          <w:rFonts w:ascii="Calibri" w:cs="Calibri" w:eastAsia="Calibri" w:hAnsi="Calibri"/>
        </w:rPr>
        <w:t xml:space="preserve">(P1)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demonstrate, at go-live, the **AD attack-path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exercise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against a real domain controller and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SSO login** via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Purchaser's IdP.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5.3 Supporting evidence (with the bid)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5.3.1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supply an automated **test suite that runs on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standard library with no external services** (tests requiring Docker/Postgres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skip cleanly) and report pass counts. The suite covers the API surface,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lifecycle state machine, detection engine, execution adapters, scoring,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log-search redaction, persistence (incl. the Postgres path), learning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platform, SIEM integration, and user management. *Evidence:* test run output.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5.3.2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supply the **live capability counts via the catalog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API** (scenarios, behavior modules, real-execution modules, ATT&amp;CK techniques,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detection rules, topology templates) so every claimed number is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independently verifiable at POC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not asserted in prose.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5.3.3 </w:t>
      </w:r>
      <w:r>
        <w:rPr>
          <w:b/>
          <w:bCs/>
          <w:i w:val="false"/>
          <w:iCs w:val="false"/>
          <w:color w:val="B06A00"/>
          <w:sz w:val="20"/>
          <w:szCs w:val="20"/>
          <w:rFonts w:ascii="Calibri" w:cs="Calibri" w:eastAsia="Calibri" w:hAnsi="Calibri"/>
        </w:rPr>
        <w:t xml:space="preserve">(P1)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supply, at go-live, acceptance evidence for each P1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benchmark (B16–B19, PITR) against the identical tests above.</w:t>
      </w:r>
    </w:p>
    <w:p>
      <w:pPr>
        <w:pStyle w:val="Heading2"/>
        <w:keepNext/>
        <w:spacing w:before="240" w:after="80" w:line="288"/>
      </w:pPr>
      <w:r>
        <w:rPr>
          <w:b/>
          <w:bCs/>
          <w:color w:val="1F7A8C"/>
          <w:sz w:val="21"/>
          <w:szCs w:val="21"/>
          <w:rFonts w:ascii="Calibri" w:cs="Calibri" w:eastAsia="Calibri" w:hAnsi="Calibri"/>
        </w:rPr>
        <w:t xml:space="preserve">5.4 Proposed POC and staged-acceptance plan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POC (2–3 days, witnessed, GA scope):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Day 1 — Deploy &amp; isolate: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B1, B2, B3; walk the lifecycle state machine;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verify B13 customer authoring.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Day 2 — Fidelity &amp; defence: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B4–B8 via a live red→blue exercise; B11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governance path; B15 horizontal scale.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Day 3 — Operate &amp; verify: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B9 concurrency, B10 backup/restore, B12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reporting, B14 portability; verify all capability counts against the catalog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API (B/Req 5.3.2).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Go-live staged acceptance (P1 scope):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B16 Windows/AD fidelity, B17 SSO/OIDC,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B18 multi-tenant isolation, B19 HA failover, and PITR backup — each witnessed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against the identical acceptance test defined above.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Scoring: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each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is pass/fail; each </w:t>
      </w:r>
      <w:r>
        <w:rPr>
          <w:b/>
          <w:bCs/>
          <w:i w:val="false"/>
          <w:iCs w:val="false"/>
          <w:color w:val="1F7A8C"/>
          <w:sz w:val="20"/>
          <w:szCs w:val="20"/>
          <w:rFonts w:ascii="Calibri" w:cs="Calibri" w:eastAsia="Calibri" w:hAnsi="Calibri"/>
        </w:rPr>
        <w:t xml:space="preserve">SHOULD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is weighted. A bidder claiming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compliance on any requirement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evidence it — live at POC for GA scope, or 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go-live for committed scope — against these exact tests. Votal AI holds itself to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same standard: GA is demonstrated at POC; committed capability is accepted 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go-live, and both are contractual.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6. Support, service levels &amp; maintenance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6.1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tiered technical support with **severity-based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response targets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: Sev-1 (platform down / exercise-blocking) response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≤ 1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business hour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Sev-2 (major function impaired)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≤ 4 business hours**, Sev-3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(minor / question)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≤ 1 business day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during contracted support hours.</w:t>
      </w:r>
    </w:p>
    <w:p>
      <w:pPr>
        <w:spacing w:before="160" w:after="130" w:line="288"/>
        <w:jc w:val="left"/>
      </w:pPr>
      <w:r>
        <w:rPr>
          <w:b w:val="false"/>
          <w:bCs w:val="false"/>
          <w:i/>
          <w:iCs/>
          <w:color w:val="667783"/>
          <w:sz w:val="18"/>
          <w:szCs w:val="18"/>
          <w:rFonts w:ascii="Calibri" w:cs="Calibri" w:eastAsia="Calibri" w:hAnsi="Calibri"/>
        </w:rPr>
        <w:t xml:space="preserve">Evidence:* support policy + ticketing channel. *(P1.)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6.2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publish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security-patch SLA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: critical-severity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vulnerabilities in the platform or its shipped dependencies remediated or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mitigated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≤ 14 days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of a fix being available, high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≤ 30 days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</w:t>
      </w:r>
    </w:p>
    <w:p>
      <w:pPr>
        <w:spacing w:before="160" w:after="130" w:line="288"/>
        <w:jc w:val="left"/>
      </w:pPr>
      <w:r>
        <w:rPr>
          <w:b w:val="false"/>
          <w:bCs w:val="false"/>
          <w:i/>
          <w:iCs/>
          <w:color w:val="667783"/>
          <w:sz w:val="18"/>
          <w:szCs w:val="18"/>
          <w:rFonts w:ascii="Calibri" w:cs="Calibri" w:eastAsia="Calibri" w:hAnsi="Calibri"/>
        </w:rPr>
        <w:t xml:space="preserve">Evidence:* vulnerability-management policy. *(P1.)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6.3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deliver platform upgrades with **forward-compatible,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auto-applied schema migrations**, a documented rollback to the prior image,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and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 loss of locked evidence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so an upgrade is a controlled operation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rather than a migration project. *Evidence:* upgrade-across-schema-change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transcript.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6.4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publish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version-support / end-of-life policy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(how long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 release is supported, upgrade windows, deprecation notice period).</w:t>
      </w:r>
    </w:p>
    <w:p>
      <w:pPr>
        <w:spacing w:before="160" w:after="130" w:line="288"/>
        <w:jc w:val="left"/>
      </w:pPr>
      <w:r>
        <w:rPr>
          <w:b w:val="false"/>
          <w:bCs w:val="false"/>
          <w:i/>
          <w:iCs/>
          <w:color w:val="667783"/>
          <w:sz w:val="18"/>
          <w:szCs w:val="18"/>
          <w:rFonts w:ascii="Calibri" w:cs="Calibri" w:eastAsia="Calibri" w:hAnsi="Calibri"/>
        </w:rPr>
        <w:t xml:space="preserve">Evidence:* lifecycle policy. *(P1.)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6.5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ship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signed content-library updates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(new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scenarios, modules, detection rules) that install without a platform upgrade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and without outbound connectivity (air-gap-compatible packs). *Evidence:*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content-pack install transcript.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7. Platform security assurance &amp; compliance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7.1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follow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secure development practice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: all shipped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executable content cryptographically signed, unsigned content refused at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execution, least-privilege execution, and a safety-class model enforced in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execution path. *Evidence:* signing + refusal demonstration (B11).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7.2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supply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Software Bill of Materials (SBOM)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and run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dependency vulnerability scanning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remediating per the §6.2 SLA. The core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platform's standard-library-only design minimises third-party CVE exposure by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construction. *Evidence:* SBOM + latest scan summary. *(SBOM: GA; managed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scanning cadence: P1.)*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7.3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undergo an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independent third-party penetration test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of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platform at least annually and make a summary/attestation available under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NDA, and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operate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responsible-disclosure channel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 *Evidence:*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pen-test attestation + disclosure policy. *(P1.)*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7.4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operate the managed service under **controls aligned to SOC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2 / ISO 27001 and GDPR**. *Stated honestly:* this is **control-framework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alignment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; a formal SOC 2 Type II / ISO 27001 certificate is a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committed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pursuit </w:t>
      </w:r>
      <w:r>
        <w:rPr>
          <w:b/>
          <w:bCs/>
          <w:i w:val="false"/>
          <w:iCs w:val="false"/>
          <w:color w:val="B06A00"/>
          <w:sz w:val="20"/>
          <w:szCs w:val="20"/>
          <w:rFonts w:ascii="Calibri" w:cs="Calibri" w:eastAsia="Calibri" w:hAnsi="Calibri"/>
        </w:rPr>
        <w:t xml:space="preserve">(P1)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** and will be evidenced by the auditor's report when issued — not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claimed as held today. *Evidence:* control-mapping document; certificate 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issuance.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7.5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keep the **control plane unreachable from tenant/lab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workloads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and default lab networks to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egress-deny**, so adversary content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cannot reach the management plane or the internet (B2/B/§4.3). *Evidence:*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network-policy test.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8. Data governance &amp; privacy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8.1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operate on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synthetic lab data only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scenarios use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seeded synthetic users/assets and benign stand-ins, so the platform does not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require real PII to function. *Evidence:* seed-data description.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8.2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configurable data retention and hard deletion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of exercises, evidence, and user records, and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immediate session revocation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 user disable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 *Evidence:* retention configuration + deletion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transcript. *(Retention policy controls: P1; session revocation: GA.)*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8.3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full data export/portability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exercises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and reports in JSON/CSV/HTML/DOCX, and the datastore via standard SQLite file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or PostgreSQL dump — so the Purchaser is never locked in. *Evidence:* export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set + database dump.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8.4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GDPR obligations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 learner records (access,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rectification, erasure) through the admin/API surface, with processing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confined to the Purchaser-selected region on the managed tier. *Evidence:*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data-subject-request walkthrough. *(P1.)*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8.5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keep an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append-only audit ledger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of access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state change sufficient to reconstruct who did what, when (see §4.5).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9. Interoperability &amp; standards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9.1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expose a complete, documented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REST/JSON API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with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bearer-token auth and structured status codes, covering every platform action.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API reference + scripted exercise.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9.2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support enterprise identity via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SAML 2.0 / OIDC SSO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and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SCIM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user/group provisioning, mapping IdP groups to platform roles without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changing the RBAC layer. *(SSO/OIDC + SCIM: P1; RBAC isolation enabling it: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GA.)* *Evidence:* live IdP login + provisioning (B17).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9.3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ingest external threat content via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STIX/TAXII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standard detection formats (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Sigma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-style rules are native), and import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Atomic Red Team / MITRE CALDERA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content behind the reviewer-sign workflow</w:t>
      </w:r>
    </w:p>
    <w:p>
      <w:pPr>
        <w:spacing w:before="0" w:after="130" w:line="288"/>
        <w:jc w:val="left"/>
      </w:pP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. *(STIX/TAXII ingest: P1; Sigma-style + ART/CALDERA import: GA.)*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import + sign + run.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9.4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forward **platform operational and exercise events to an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external SIEM** (syslog/CEF or JSON), in addition to the bundled Wazuh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integration, so the Purchaser SOC can monitor the platform itself. *(Bundled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Wazuh + normalized JSON contract: GA; syslog/CEF forwarder and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Elastic/Sentinel/Splunk adapters: P1.)* *Evidence:* event arriving in an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external SIEM.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9.5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map technique content to **NIST CSF 2.0, NICE,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CIS v8, and CAE-CD** for curriculum and accreditation evidence (see §3.6).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10. Accessibility, documentation &amp; enablement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10.1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target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WCAG 2.1 AA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for the operator/learner web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interface (keyboard navigation, contrast, screen-reader labels). *Evidence:*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accessibility conformance statement. *(P1.)*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10.2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supply complete **administrator, operator, author,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and API documentation**, including a lab guide, a customer-demo runbook,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testing guide, an authoring guide, and a deployment guide. *Evidence:*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documentation set (shipped in-repo today).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10.3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provide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onboarding and instructor enablement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(administrator training, scenario-authoring workshop, and a run-through of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red/blue/purple exercise loop) as a professional-services package. *Evidence:*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enablement plan. *(P1.)*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10.4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run in a **modern evergreen browser with no client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install and no build step**; the dashboard is a single static page served by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the control plane. *Evidence:* browser-support note.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11. Vendor assurance &amp; product lifecycle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11.1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publish a **release cadence and semantic versioning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policy**, with a defined deprecation-notice period, so the Purchaser can plan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upgrades. *Evidence:* versioning/release policy. *(P1.)*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11.2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maintain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threat-content currency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delivering signed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updates that track new ATT&amp;CK techniques and notable adversary behaviors on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published cadence. *Evidence:* content-update cadence + changelog. *(P1.)*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11.3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offer a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source/build escrow or continuity arrangement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so the Purchaser is protected against vendor discontinuity, consistent with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platform's open, dependency-light, self-hostable design (which already lets a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Purchaser run the platform entirely on its own infrastructure, air-gapped).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*Evidence:* escrow/continuity option. *(P1; full self-host + data portability: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GA.)*</w:t>
      </w:r>
    </w:p>
    <w:p>
      <w:pPr>
        <w:pStyle w:val="ListParagraph"/>
        <w:numPr>
          <w:ilvl w:val="0"/>
          <w:numId w:val="1"/>
        </w:numPr>
        <w:spacing w:before="30" w:after="70" w:line="276"/>
      </w:pP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Req 11.4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—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be **self-hostable with no mandatory vendor call-home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and no per-seat metering requiring connectivity**, so continuity of operation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does not depend on the vendor's availability.</w:t>
      </w: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12. Compliance summary (bidder response matrix)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For each requirement area the bidder </w:t>
      </w:r>
      <w:r>
        <w:rPr>
          <w:b/>
          <w:bCs/>
          <w:i w:val="false"/>
          <w:iCs w:val="false"/>
          <w:color w:val="0F3B57"/>
          <w:sz w:val="20"/>
          <w:szCs w:val="20"/>
          <w:rFonts w:ascii="Calibri" w:cs="Calibri" w:eastAsia="Calibri" w:hAnsi="Calibri"/>
        </w:rPr>
        <w:t xml:space="preserve">MUST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mark 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Compliant </w:t>
      </w:r>
      <w:r>
        <w:rPr>
          <w:b/>
          <w:bCs/>
          <w:i w:val="false"/>
          <w:iCs w:val="false"/>
          <w:color w:val="1E7A4D"/>
          <w:sz w:val="20"/>
          <w:szCs w:val="20"/>
          <w:rFonts w:ascii="Calibri" w:cs="Calibri" w:eastAsia="Calibri" w:hAnsi="Calibri"/>
        </w:rPr>
        <w:t xml:space="preserve">(GA)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**Compliant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(committed / go-live)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Partial</w:t>
      </w:r>
      <w:r>
        <w:rPr>
          <w:b/>
          <w:bCs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, or 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Non-compliant**, and cite the evidence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artifact. Votal AI's self-assessment: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20"/>
        <w:gridCol w:w="841"/>
        <w:gridCol w:w="5720"/>
      </w:tblGrid>
      <w:tr>
        <w:trPr>
          <w:tblHeader/>
        </w:trP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Area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§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Votal AI position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On-premises prerequisites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Compliant </w:t>
            </w:r>
            <w:r>
              <w:rPr>
                <w:b/>
                <w:bCs/>
                <w:i w:val="false"/>
                <w:iCs w:val="false"/>
                <w:color w:val="1E7A4D"/>
                <w:sz w:val="18"/>
                <w:szCs w:val="18"/>
                <w:rFonts w:ascii="Calibri" w:cs="Calibri" w:eastAsia="Calibri" w:hAnsi="Calibri"/>
              </w:rPr>
              <w:t xml:space="preserve">(GA)</w:t>
            </w: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; VM tier &amp; multi-node committed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Deployment architecture (on-prem + SaaS)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Compliant (GA core); HA/managed/PITR committed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Cyber-range capabilities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Compliant </w:t>
            </w:r>
            <w:r>
              <w:rPr>
                <w:b/>
                <w:bCs/>
                <w:i w:val="false"/>
                <w:iCs w:val="false"/>
                <w:color w:val="1E7A4D"/>
                <w:sz w:val="18"/>
                <w:szCs w:val="18"/>
                <w:rFonts w:ascii="Calibri" w:cs="Calibri" w:eastAsia="Calibri" w:hAnsi="Calibri"/>
              </w:rPr>
              <w:t xml:space="preserve">(GA)</w:t>
            </w: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; Windows/AD &amp; extra sensors committed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Security &amp; administration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Compliant </w:t>
            </w:r>
            <w:r>
              <w:rPr>
                <w:b/>
                <w:bCs/>
                <w:i w:val="false"/>
                <w:iCs w:val="false"/>
                <w:color w:val="1E7A4D"/>
                <w:sz w:val="18"/>
                <w:szCs w:val="18"/>
                <w:rFonts w:ascii="Calibri" w:cs="Calibri" w:eastAsia="Calibri" w:hAnsi="Calibri"/>
              </w:rPr>
              <w:t xml:space="preserve">(GA)</w:t>
            </w: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; SSO/multi-tenant/residency committed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Acceptance criteria &amp; POC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Compliant (GA scope demoable now; P1 at go-live)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Support, SLAs &amp; maintenance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Committed; upgrade/content delivery GA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Platform security &amp; compliance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 controls in place; certifications committed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Data governance &amp; privacy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Compliant (GA export/synthetic/audit); privacy controls committed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Interoperability &amp; standards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Compliant (GA API/Wazuh/crosswalks); SSO/STIX/forwarder committed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Accessibility, docs &amp; enablement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Docs/browser GA; WCAG &amp; services committed</w:t>
            </w:r>
          </w:p>
        </w:tc>
      </w:tr>
      <w:tr>
        <w:tc>
          <w:tcPr>
            <w:tcW w:type="dxa" w:w="35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Vendor assurance &amp; lifecycle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Self-host/portability GA; policies &amp; escrow committed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D8E1E8" w:sz="6"/>
        </w:pBdr>
        <w:spacing w:before="360" w:after="70" w:line="288"/>
      </w:pPr>
      <w:r>
        <w:rPr>
          <w:b/>
          <w:bCs/>
          <w:color w:val="0F3B57"/>
          <w:sz w:val="27"/>
          <w:szCs w:val="27"/>
          <w:rFonts w:ascii="Calibri" w:cs="Calibri" w:eastAsia="Calibri" w:hAnsi="Calibri"/>
        </w:rPr>
        <w:t xml:space="preserve">Appendix A — Glossary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14"/>
        <w:gridCol w:w="8266"/>
      </w:tblGrid>
      <w:tr>
        <w:trPr>
          <w:tblHeader/>
        </w:trP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Term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single" w:color="0F3B57" w:sz="8"/>
              <w:right w:val="none" w:color="FFFFFF" w:sz="0"/>
            </w:tcBorders>
            <w:shd w:fill="EEF3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0F3B57"/>
                <w:sz w:val="16"/>
                <w:szCs w:val="16"/>
                <w:caps/>
                <w:rFonts w:ascii="Calibri" w:cs="Calibri" w:eastAsia="Calibri" w:hAnsi="Calibri"/>
                <w:spacing w:val="14"/>
              </w:rPr>
              <w:t xml:space="preserve">Meaning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ATT&amp;CK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MITRE's adversary tactics &amp; techniques knowledge base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GA / P1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Shipping today (demo at POC) / committed Phase-1 deliverable (accepted at go-live)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MTTD / MTTR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Mean time to detect / to respond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RPO / RTO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Recovery point / recovery time objective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S0–S2 / Prohibited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Safety classes governing executable content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Fog of war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Query-layer redaction of attacker attribution from the defender view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Live range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Persistent, connected, no-egress target set where a foothold survives across steps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Purple delta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single" w:color="D8E1E8" w:sz="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22313D"/>
                <w:sz w:val="18"/>
                <w:szCs w:val="18"/>
                <w:rFonts w:ascii="Calibri" w:cs="Calibri" w:eastAsia="Calibri" w:hAnsi="Calibri"/>
              </w:rPr>
              <w:t xml:space="preserve">Baseline-to-replay detection-coverage change per technique</w:t>
            </w:r>
          </w:p>
        </w:tc>
      </w:tr>
    </w:tbl>
    <w:p>
      <w:pPr>
        <w:spacing w:after="120"/>
      </w:pP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*This specification was prepared from Votal AI's CyberRange build. GA capability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counts reflect the current catalog and are verifiable through the platform's own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API at POC; committed </w:t>
      </w:r>
      <w:r>
        <w:rPr>
          <w:b/>
          <w:bCs/>
          <w:i w:val="false"/>
          <w:iCs w:val="false"/>
          <w:color w:val="B06A00"/>
          <w:sz w:val="20"/>
          <w:szCs w:val="20"/>
          <w:rFonts w:ascii="Calibri" w:cs="Calibri" w:eastAsia="Calibri" w:hAnsi="Calibri"/>
        </w:rPr>
        <w:t xml:space="preserve">(P1)</w:t>
      </w: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 capabilities are accepted at go-live against the</w:t>
      </w:r>
    </w:p>
    <w:p>
      <w:pPr>
        <w:spacing w:before="0" w:after="130" w:line="288"/>
        <w:jc w:val="left"/>
      </w:pPr>
      <w:r>
        <w:rPr>
          <w:b w:val="false"/>
          <w:bCs w:val="false"/>
          <w:i w:val="false"/>
          <w:iCs w:val="false"/>
          <w:color w:val="22313D"/>
          <w:sz w:val="20"/>
          <w:szCs w:val="20"/>
          <w:rFonts w:ascii="Calibri" w:cs="Calibri" w:eastAsia="Calibri" w:hAnsi="Calibri"/>
        </w:rPr>
        <w:t xml:space="preserve">identical acceptance tests stated here.*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1E8" w:sz="4"/>
      </w:pBdr>
      <w:tabs>
        <w:tab w:val="center" w:pos="5040"/>
        <w:tab w:val="right" w:pos="10080"/>
      </w:tabs>
      <w:spacing w:before="100"/>
    </w:pPr>
    <w:r>
      <w:rPr>
        <w:color w:val="667783"/>
        <w:sz w:val="15"/>
        <w:szCs w:val="15"/>
        <w:rFonts w:ascii="Calibri" w:cs="Calibri" w:eastAsia="Calibri" w:hAnsi="Calibri"/>
      </w:rPr>
      <w:t xml:space="preserve">Confidential</w:t>
    </w:r>
    <w:r>
      <w:rPr>
        <w:color w:val="667783"/>
        <w:sz w:val="15"/>
        <w:szCs w:val="15"/>
        <w:rFonts w:ascii="Calibri" w:cs="Calibri" w:eastAsia="Calibri" w:hAnsi="Calibri"/>
      </w:rPr>
      <w:t xml:space="preserve">	Votal AI</w:t>
    </w:r>
    <w:r>
      <w:rPr>
        <w:color w:val="667783"/>
        <w:sz w:val="15"/>
        <w:szCs w:val="15"/>
        <w:rFonts w:ascii="Calibri" w:cs="Calibri" w:eastAsia="Calibri" w:hAnsi="Calibri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1E8" w:sz="4"/>
      </w:pBdr>
      <w:tabs>
        <w:tab w:val="right" w:pos="10080"/>
      </w:tabs>
      <w:spacing w:after="120"/>
    </w:pPr>
    <w:r>
      <w:rPr>
        <w:color w:val="667783"/>
        <w:sz w:val="15"/>
        <w:szCs w:val="15"/>
        <w:caps/>
        <w:rFonts w:ascii="Calibri" w:cs="Calibri" w:eastAsia="Calibri" w:hAnsi="Calibri"/>
        <w:spacing w:val="16"/>
      </w:rPr>
      <w:t xml:space="preserve">Votal AI  ·  CyberRange</w:t>
    </w:r>
    <w:r>
      <w:rPr>
        <w:color w:val="667783"/>
        <w:sz w:val="15"/>
        <w:szCs w:val="15"/>
        <w:rFonts w:ascii="Calibri" w:cs="Calibri" w:eastAsia="Calibri" w:hAnsi="Calibri"/>
      </w:rPr>
      <w:t xml:space="preserve">	Enterprise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313D"/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F3B57"/>
      <w:sz w:val="27"/>
      <w:szCs w:val="27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F7A8C"/>
      <w:sz w:val="21"/>
      <w:szCs w:val="21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tkefr-yxkkdunc_azgzsj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Range — Enterprise Technical Specification</dc:title>
  <dc:creator>Votal AI</dc:creator>
  <cp:lastModifiedBy>Un-named</cp:lastModifiedBy>
  <cp:revision>1</cp:revision>
  <dcterms:created xsi:type="dcterms:W3CDTF">2026-10-29T04:29:39.423Z</dcterms:created>
  <dcterms:modified xsi:type="dcterms:W3CDTF">2026-10-29T04:29:39.425Z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