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44"/>
          <w:szCs w:val="44"/>
        </w:rPr>
        <w:t xml:space="preserve">CyberRange</w:t>
      </w:r>
    </w:p>
    <w:p>
      <w:pPr>
        <w:spacing w:after="40"/>
      </w:pPr>
      <w:r>
        <w:rPr>
          <w:color w:val="2E75B6"/>
          <w:sz w:val="28"/>
          <w:szCs w:val="28"/>
        </w:rPr>
        <w:t xml:space="preserve">Academic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 estimates are fine — and return it to your CyberRange contact. Anything you are unsure about, leave blank and we will cover it in a follow-up call.</w:t>
      </w:r>
    </w:p>
    <w:p>
      <w:pPr>
        <w:pBdr>
          <w:bottom w:val="single" w:color="1F4E79" w:sz="6" w:space="2"/>
        </w:pBdr>
        <w:spacing w:after="60"/>
      </w:pPr>
      <w:r>
        <w:rPr>
          <w:i/>
          <w:iCs/>
          <w:color w:val="595959"/>
          <w:sz w:val="18"/>
          <w:szCs w:val="18"/>
        </w:rPr>
        <w:t xml:space="preserve">Estimated time to complete: 15–20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spacing w:after="60" w:before="120"/>
      </w:pPr>
      <w:r>
        <w:rPr>
          <w:sz w:val="21"/>
          <w:szCs w:val="21"/>
        </w:rPr>
        <w:t xml:space="preserve">Do you align to any frameworks or accreditation? (select all that apply)</w:t>
      </w:r>
    </w:p>
    <w:p>
      <w:pPr>
        <w:spacing w:after="40" w:before="40"/>
      </w:pPr>
      <w:r>
        <w:rPr>
          <w:sz w:val="22"/>
          <w:szCs w:val="22"/>
        </w:rPr>
        <w:t xml:space="preserve">☐ </w:t>
      </w:r>
      <w:r>
        <w:rPr>
          <w:sz w:val="21"/>
          <w:szCs w:val="21"/>
        </w:rPr>
        <w:t xml:space="preserve">NICE / NIST     </w:t>
      </w:r>
      <w:r>
        <w:rPr>
          <w:sz w:val="22"/>
          <w:szCs w:val="22"/>
        </w:rPr>
        <w:t xml:space="preserve">☐ </w:t>
      </w:r>
      <w:r>
        <w:rPr>
          <w:sz w:val="21"/>
          <w:szCs w:val="21"/>
        </w:rPr>
        <w:t xml:space="preserve">NSA CAE-CD     </w:t>
      </w:r>
      <w:r>
        <w:rPr>
          <w:sz w:val="22"/>
          <w:szCs w:val="22"/>
        </w:rPr>
        <w:t xml:space="preserve">☐ </w:t>
      </w:r>
      <w:r>
        <w:rPr>
          <w:sz w:val="21"/>
          <w:szCs w:val="21"/>
        </w:rPr>
        <w:t xml:space="preserve">ABET     </w:t>
      </w:r>
    </w:p>
    <w:p>
      <w:pPr>
        <w:spacing w:after="40" w:before="40"/>
      </w:pPr>
      <w:r>
        <w:rPr>
          <w:sz w:val="22"/>
          <w:szCs w:val="22"/>
        </w:rPr>
        <w:t xml:space="preserve">☐ </w:t>
      </w:r>
      <w:r>
        <w:rPr>
          <w:sz w:val="21"/>
          <w:szCs w:val="21"/>
        </w:rPr>
        <w:t xml:space="preserve">ACM/IEEE curricula     </w:t>
      </w:r>
      <w:r>
        <w:rPr>
          <w:sz w:val="22"/>
          <w:szCs w:val="22"/>
        </w:rPr>
        <w:t xml:space="preserve">☐ </w:t>
      </w:r>
      <w:r>
        <w:rPr>
          <w:sz w:val="21"/>
          <w:szCs w:val="21"/>
        </w:rPr>
        <w:t xml:space="preserve">Institution-specific     </w:t>
      </w:r>
      <w:r>
        <w:rPr>
          <w:sz w:val="22"/>
          <w:szCs w:val="22"/>
        </w:rPr>
        <w:t xml:space="preserve">☐ </w:t>
      </w:r>
      <w:r>
        <w:rPr>
          <w:sz w:val="21"/>
          <w:szCs w:val="21"/>
        </w:rPr>
        <w:t xml:space="preserve">None / not sure     </w:t>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spacing w:after="60" w:before="120"/>
      </w:pPr>
      <w:r>
        <w:rPr>
          <w:sz w:val="21"/>
          <w:szCs w:val="21"/>
        </w:rPr>
        <w:t xml:space="preserve">Will instructors need to author or customize their own scenarios and detection content?</w:t>
      </w:r>
    </w:p>
    <w:p>
      <w:pPr>
        <w:spacing w:after="40" w:before="40"/>
      </w:pPr>
      <w:r>
        <w:rPr>
          <w:sz w:val="22"/>
          <w:szCs w:val="22"/>
        </w:rPr>
        <w:t xml:space="preserve">☐ </w:t>
      </w:r>
      <w:r>
        <w:rPr>
          <w:sz w:val="21"/>
          <w:szCs w:val="21"/>
        </w:rPr>
        <w:t xml:space="preserve">Yes, actively     </w:t>
      </w:r>
      <w:r>
        <w:rPr>
          <w:sz w:val="22"/>
          <w:szCs w:val="22"/>
        </w:rPr>
        <w:t xml:space="preserve">☐ </w:t>
      </w:r>
      <w:r>
        <w:rPr>
          <w:sz w:val="21"/>
          <w:szCs w:val="21"/>
        </w:rPr>
        <w:t xml:space="preserve">Occasionally     </w:t>
      </w:r>
    </w:p>
    <w:p>
      <w:pPr>
        <w:spacing w:after="40" w:before="40"/>
      </w:pPr>
      <w:r>
        <w:rPr>
          <w:sz w:val="22"/>
          <w:szCs w:val="22"/>
        </w:rPr>
        <w:t xml:space="preserve">☐ </w:t>
      </w:r>
      <w:r>
        <w:rPr>
          <w:sz w:val="21"/>
          <w:szCs w:val="21"/>
        </w:rPr>
        <w:t xml:space="preserve">No, packaged content is fine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Integration &amp; Access</w:t>
      </w:r>
    </w:p>
    <w:p>
      <w:pPr>
        <w:spacing w:after="60" w:before="120"/>
      </w:pPr>
      <w:r>
        <w:rPr>
          <w:sz w:val="21"/>
          <w:szCs w:val="21"/>
        </w:rPr>
        <w:t xml:space="preserve">Single sign-on / identity provider:</w:t>
      </w:r>
      <w:r>
        <w:rPr>
          <w:i/>
          <w:iCs/>
          <w:color w:val="595959"/>
          <w:sz w:val="18"/>
          <w:szCs w:val="18"/>
        </w:rPr>
        <w:t xml:space="preserve">  e.g., Azure AD/Entra, Okta, Google, Shibboleth/SAML</w:t>
      </w:r>
    </w:p>
    <w:p>
      <w:pPr>
        <w:pBdr>
          <w:bottom w:val="single" w:color="BFBFBF" w:sz="4" w:space="1"/>
        </w:pBdr>
        <w:spacing w:after="90" w:before="90"/>
      </w:pPr>
      <w:r>
        <w:t xml:space="preserve"/>
      </w:r>
    </w:p>
    <w:p>
      <w:pPr>
        <w:spacing w:after="60" w:before="120"/>
      </w:pPr>
      <w:r>
        <w:rPr>
          <w:sz w:val="21"/>
          <w:szCs w:val="21"/>
        </w:rPr>
        <w:t xml:space="preserve">Learning Management System (LMS) — and do you need grade pass-back (LTI)?</w:t>
      </w:r>
    </w:p>
    <w:p>
      <w:pPr>
        <w:spacing w:after="40" w:before="40"/>
      </w:pPr>
      <w:r>
        <w:rPr>
          <w:sz w:val="22"/>
          <w:szCs w:val="22"/>
        </w:rPr>
        <w:t xml:space="preserve">☐ </w:t>
      </w:r>
      <w:r>
        <w:rPr>
          <w:sz w:val="21"/>
          <w:szCs w:val="21"/>
        </w:rPr>
        <w:t xml:space="preserve">Canvas     </w:t>
      </w:r>
      <w:r>
        <w:rPr>
          <w:sz w:val="22"/>
          <w:szCs w:val="22"/>
        </w:rPr>
        <w:t xml:space="preserve">☐ </w:t>
      </w:r>
      <w:r>
        <w:rPr>
          <w:sz w:val="21"/>
          <w:szCs w:val="21"/>
        </w:rPr>
        <w:t xml:space="preserve">Blackboard     </w:t>
      </w:r>
      <w:r>
        <w:rPr>
          <w:sz w:val="22"/>
          <w:szCs w:val="22"/>
        </w:rPr>
        <w:t xml:space="preserve">☐ </w:t>
      </w:r>
      <w:r>
        <w:rPr>
          <w:sz w:val="21"/>
          <w:szCs w:val="21"/>
        </w:rPr>
        <w:t xml:space="preserve">Moodle     </w:t>
      </w:r>
    </w:p>
    <w:p>
      <w:pPr>
        <w:spacing w:after="40" w:before="40"/>
      </w:pPr>
      <w:r>
        <w:rPr>
          <w:sz w:val="22"/>
          <w:szCs w:val="22"/>
        </w:rPr>
        <w:t xml:space="preserve">☐ </w:t>
      </w:r>
      <w:r>
        <w:rPr>
          <w:sz w:val="21"/>
          <w:szCs w:val="21"/>
        </w:rPr>
        <w:t xml:space="preserve">D2L Brightspace     </w:t>
      </w:r>
      <w:r>
        <w:rPr>
          <w:sz w:val="22"/>
          <w:szCs w:val="22"/>
        </w:rPr>
        <w:t xml:space="preserve">☐ </w:t>
      </w:r>
      <w:r>
        <w:rPr>
          <w:sz w:val="21"/>
          <w:szCs w:val="21"/>
        </w:rPr>
        <w:t xml:space="preserve">Other     </w:t>
      </w:r>
      <w:r>
        <w:rPr>
          <w:sz w:val="22"/>
          <w:szCs w:val="22"/>
        </w:rPr>
        <w:t xml:space="preserve">☐ </w:t>
      </w:r>
      <w:r>
        <w:rPr>
          <w:sz w:val="21"/>
          <w:szCs w:val="21"/>
        </w:rPr>
        <w:t xml:space="preserve">No LMS integration needed     </w:t>
      </w:r>
    </w:p>
    <w:p>
      <w:pPr>
        <w:spacing w:after="60" w:before="120"/>
      </w:pPr>
      <w:r>
        <w:rPr>
          <w:sz w:val="21"/>
          <w:szCs w:val="21"/>
        </w:rPr>
        <w:t xml:space="preserve">Do you have a SIEM/EDR you'd want students to use, or should we bundle one (Wazuh)?</w:t>
      </w:r>
    </w:p>
    <w:p>
      <w:pPr>
        <w:spacing w:after="40" w:before="40"/>
      </w:pPr>
      <w:r>
        <w:rPr>
          <w:sz w:val="22"/>
          <w:szCs w:val="22"/>
        </w:rPr>
        <w:t xml:space="preserve">☐ </w:t>
      </w:r>
      <w:r>
        <w:rPr>
          <w:sz w:val="21"/>
          <w:szCs w:val="21"/>
        </w:rPr>
        <w:t xml:space="preserve">Use bundled (Wazuh/Suricata/Falco)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student/instructor rosters be provisioned?</w:t>
      </w:r>
    </w:p>
    <w:p>
      <w:pPr>
        <w:spacing w:after="40" w:before="40"/>
      </w:pPr>
      <w:r>
        <w:rPr>
          <w:sz w:val="22"/>
          <w:szCs w:val="22"/>
        </w:rPr>
        <w:t xml:space="preserve">☐ </w:t>
      </w:r>
      <w:r>
        <w:rPr>
          <w:sz w:val="21"/>
          <w:szCs w:val="21"/>
        </w:rPr>
        <w:t xml:space="preserve">SIS / directory sync     </w:t>
      </w:r>
      <w:r>
        <w:rPr>
          <w:sz w:val="22"/>
          <w:szCs w:val="22"/>
        </w:rPr>
        <w:t xml:space="preserve">☐ </w:t>
      </w:r>
      <w:r>
        <w:rPr>
          <w:sz w:val="21"/>
          <w:szCs w:val="21"/>
        </w:rPr>
        <w:t xml:space="preserve">CSV upload     </w:t>
      </w:r>
    </w:p>
    <w:p>
      <w:pPr>
        <w:spacing w:after="40" w:before="40"/>
      </w:pPr>
      <w:r>
        <w:rPr>
          <w:sz w:val="22"/>
          <w:szCs w:val="22"/>
        </w:rPr>
        <w:t xml:space="preserve">☐ </w:t>
      </w:r>
      <w:r>
        <w:rPr>
          <w:sz w:val="21"/>
          <w:szCs w:val="21"/>
        </w:rPr>
        <w:t xml:space="preserve">Manual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Per-student reports     </w:t>
      </w:r>
      <w:r>
        <w:rPr>
          <w:sz w:val="22"/>
          <w:szCs w:val="22"/>
        </w:rPr>
        <w:t xml:space="preserve">☐ </w:t>
      </w:r>
      <w:r>
        <w:rPr>
          <w:sz w:val="21"/>
          <w:szCs w:val="21"/>
        </w:rPr>
        <w:t xml:space="preserve">Instructor / cohort reports     </w:t>
      </w:r>
    </w:p>
    <w:p>
      <w:pPr>
        <w:spacing w:after="40" w:before="40"/>
      </w:pPr>
      <w:r>
        <w:rPr>
          <w:sz w:val="22"/>
          <w:szCs w:val="22"/>
        </w:rPr>
        <w:t xml:space="preserve">☐ </w:t>
      </w:r>
      <w:r>
        <w:rPr>
          <w:sz w:val="21"/>
          <w:szCs w:val="21"/>
        </w:rPr>
        <w:t xml:space="preserve">Program-level analytics     </w:t>
      </w:r>
      <w:r>
        <w:rPr>
          <w:sz w:val="22"/>
          <w:szCs w:val="22"/>
        </w:rPr>
        <w:t xml:space="preserve">☐ </w:t>
      </w:r>
      <w:r>
        <w:rPr>
          <w:sz w:val="21"/>
          <w:szCs w:val="21"/>
        </w:rPr>
        <w:t xml:space="preserve">Evidence for accreditation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Security, Safety &amp; Compliance</w:t>
      </w:r>
    </w:p>
    <w:p>
      <w:pPr>
        <w:spacing w:after="60" w:before="120"/>
      </w:pPr>
      <w:r>
        <w:rPr>
          <w:sz w:val="21"/>
          <w:szCs w:val="21"/>
        </w:rPr>
        <w:t xml:space="preserve">Applicable data-privacy or compliance requirements: (select all that apply)</w:t>
      </w:r>
    </w:p>
    <w:p>
      <w:pPr>
        <w:spacing w:after="40" w:before="40"/>
      </w:pPr>
      <w:r>
        <w:rPr>
          <w:sz w:val="22"/>
          <w:szCs w:val="22"/>
        </w:rPr>
        <w:t xml:space="preserve">☐ </w:t>
      </w:r>
      <w:r>
        <w:rPr>
          <w:sz w:val="21"/>
          <w:szCs w:val="21"/>
        </w:rPr>
        <w:t xml:space="preserve">FERPA     </w:t>
      </w:r>
      <w:r>
        <w:rPr>
          <w:sz w:val="22"/>
          <w:szCs w:val="22"/>
        </w:rPr>
        <w:t xml:space="preserve">☐ </w:t>
      </w:r>
      <w:r>
        <w:rPr>
          <w:sz w:val="21"/>
          <w:szCs w:val="21"/>
        </w:rPr>
        <w:t xml:space="preserve">GDPR     </w:t>
      </w:r>
      <w:r>
        <w:rPr>
          <w:sz w:val="22"/>
          <w:szCs w:val="22"/>
        </w:rPr>
        <w:t xml:space="preserve">☐ </w:t>
      </w:r>
      <w:r>
        <w:rPr>
          <w:sz w:val="21"/>
          <w:szCs w:val="21"/>
        </w:rPr>
        <w:t xml:space="preserve">Regional data residency     </w:t>
      </w:r>
    </w:p>
    <w:p>
      <w:pPr>
        <w:spacing w:after="40" w:before="40"/>
      </w:pPr>
      <w:r>
        <w:rPr>
          <w:sz w:val="22"/>
          <w:szCs w:val="22"/>
        </w:rPr>
        <w:t xml:space="preserve">☐ </w:t>
      </w:r>
      <w:r>
        <w:rPr>
          <w:sz w:val="21"/>
          <w:szCs w:val="21"/>
        </w:rPr>
        <w:t xml:space="preserve">Institutional InfoSec review     </w:t>
      </w:r>
      <w:r>
        <w:rPr>
          <w:sz w:val="22"/>
          <w:szCs w:val="22"/>
        </w:rPr>
        <w:t xml:space="preserve">☐ </w:t>
      </w:r>
      <w:r>
        <w:rPr>
          <w:sz w:val="21"/>
          <w:szCs w:val="21"/>
        </w:rPr>
        <w:t xml:space="preserve">Other     </w:t>
      </w:r>
    </w:p>
    <w:p>
      <w:pPr>
        <w:spacing w:after="60" w:before="120"/>
      </w:pPr>
      <w:r>
        <w:rPr>
          <w:sz w:val="21"/>
          <w:szCs w:val="21"/>
        </w:rPr>
        <w:t xml:space="preserve">Any institutional policies we should know about (acceptable use, prohibited tools, network rules)?</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Faculty / staff training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Content-authoring training     </w:t>
      </w:r>
    </w:p>
    <w:p>
      <w:pPr>
        <w:spacing w:after="40" w:before="40"/>
      </w:pP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cyberrange@example.edu</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 Academic Adoption Questionnaire</dc:title>
  <dc:creator>CyberRange</dc:creator>
  <cp:lastModifiedBy>Un-named</cp:lastModifiedBy>
  <cp:revision>1</cp:revision>
  <dcterms:created xsi:type="dcterms:W3CDTF">2026-07-21T17:29:35.613Z</dcterms:created>
  <dcterms:modified xsi:type="dcterms:W3CDTF">2026-07-21T17:29:35.614Z</dcterms:modified>
</cp:coreProperties>
</file>

<file path=docProps/custom.xml><?xml version="1.0" encoding="utf-8"?>
<Properties xmlns="http://schemas.openxmlformats.org/officeDocument/2006/custom-properties" xmlns:vt="http://schemas.openxmlformats.org/officeDocument/2006/docPropsVTypes"/>
</file>