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4"/>
          <w:szCs w:val="44"/>
        </w:rPr>
        <w:t xml:space="preserve">CyberRange</w:t>
      </w:r>
    </w:p>
    <w:p>
      <w:pPr>
        <w:spacing w:after="40"/>
      </w:pPr>
      <w:r>
        <w:rPr>
          <w:color w:val="2E75B6"/>
          <w:sz w:val="28"/>
          <w:szCs w:val="28"/>
        </w:rPr>
        <w:t xml:space="preserve">Red &amp; Blue Team Range — Adoption Questionnaire</w:t>
      </w:r>
    </w:p>
    <w:p>
      <w:pPr>
        <w:spacing w:after="200"/>
      </w:pPr>
      <w:r>
        <w:rPr>
          <w:i/>
          <w:iCs/>
          <w:color w:val="595959"/>
          <w:sz w:val="20"/>
          <w:szCs w:val="20"/>
        </w:rPr>
        <w:t xml:space="preserve">VM-based Red, Blue &amp; Purple team training and validation platform</w:t>
      </w:r>
    </w:p>
    <w:p>
      <w:pPr>
        <w:spacing w:after="120"/>
      </w:pPr>
      <w:r>
        <w:rPr>
          <w:sz w:val="21"/>
          <w:szCs w:val="21"/>
        </w:rPr>
        <w:t xml:space="preserve">Thank you for considering CyberRange for your program. This short questionnaire helps us understand your teaching goals, environment, and scale so we can recommend the right deployment and scenario content for your institution. Please complete the sections that apply — estimates are fine — and return it to your CyberRange contact. Anything you are unsure about, leave blank and we will cover it in a follow-up call.</w:t>
      </w:r>
    </w:p>
    <w:p>
      <w:pPr>
        <w:spacing w:after="140"/>
      </w:pPr>
      <w:r>
        <w:rPr>
          <w:b/>
          <w:bCs/>
          <w:color w:val="1F4E79"/>
          <w:sz w:val="20"/>
          <w:szCs w:val="20"/>
        </w:rPr>
        <w:t xml:space="preserve">What CyberRange delivers today:  </w:t>
      </w:r>
      <w:r>
        <w:rPr>
          <w:sz w:val="20"/>
          <w:szCs w:val="20"/>
        </w:rPr>
        <w:t xml:space="preserve">isolated Linux/Docker ranges with persistent, connected targets a red team can gain a foothold on and pivot across; Red, Blue, and Purple roles; real container-based attack execution; a real LDAP directory (identity) target for account-discovery exercises; automatic detection plus an optional real Wazuh SIEM; a synchronized evidence timeline; scoring; and exportable after-action reports (PDF, DOCX, CSV, JSON). Real Windows / Active Directory VM targets (Kerberos/SMB/GPO) are on the roadmap and hypervisor-hosted. This questionnaire focuses on that core Red/Blue team capability.</w:t>
      </w:r>
    </w:p>
    <w:p>
      <w:pPr>
        <w:pBdr>
          <w:bottom w:val="single" w:color="1F4E79" w:sz="6" w:space="2"/>
        </w:pBdr>
        <w:spacing w:after="60"/>
      </w:pPr>
      <w:r>
        <w:rPr>
          <w:i/>
          <w:iCs/>
          <w:color w:val="595959"/>
          <w:sz w:val="18"/>
          <w:szCs w:val="18"/>
        </w:rPr>
        <w:t xml:space="preserve">Estimated time to complete: 10–15 minutes</w:t>
      </w:r>
    </w:p>
    <w:p>
      <w:pPr>
        <w:pStyle w:val="Heading1"/>
        <w:spacing w:after="120" w:before="300"/>
      </w:pPr>
      <w:r>
        <w:rPr>
          <w:b/>
          <w:bCs/>
          <w:color w:val="1F4E79"/>
          <w:sz w:val="26"/>
          <w:szCs w:val="26"/>
        </w:rPr>
        <w:t xml:space="preserve">1.  Institution &amp; Contacts</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3200"/>
        <w:gridCol w:w="6280"/>
      </w:tblGrid>
      <w:tr>
        <w:tc>
          <w:tcPr>
            <w:tcW w:type="dxa" w:w="3200"/>
            <w:shd w:fill="EEF3FA" w:val="clear"/>
            <w:tcMar>
              <w:top w:type="dxa" w:w="60"/>
              <w:left w:type="dxa" w:w="120"/>
              <w:bottom w:type="dxa" w:w="60"/>
              <w:right w:type="dxa" w:w="120"/>
            </w:tcMar>
          </w:tcPr>
          <w:p>
            <w:r>
              <w:rPr>
                <w:b/>
                <w:bCs/>
                <w:color w:val="1F4E79"/>
                <w:sz w:val="20"/>
                <w:szCs w:val="20"/>
              </w:rPr>
              <w:t xml:space="preserve">Institution / University</w:t>
            </w:r>
          </w:p>
        </w:tc>
        <w:tc>
          <w:tcPr>
            <w:tcW w:type="dxa" w:w="6280"/>
            <w:tcMar>
              <w:top w:type="dxa" w:w="60"/>
              <w:left w:type="dxa" w:w="120"/>
              <w:bottom w:type="dxa" w:w="60"/>
              <w:right w:type="dxa" w:w="120"/>
            </w:tcMar>
          </w:tcPr>
          <w:p>
            <w:r>
              <w:t xml:space="preserve"/>
            </w:r>
          </w:p>
        </w:tc>
      </w:tr>
      <w:tr>
        <w:tc>
          <w:tcPr>
            <w:tcW w:type="dxa" w:w="3200"/>
            <w:shd w:fill="EEF3FA" w:val="clear"/>
            <w:tcMar>
              <w:top w:type="dxa" w:w="60"/>
              <w:left w:type="dxa" w:w="120"/>
              <w:bottom w:type="dxa" w:w="60"/>
              <w:right w:type="dxa" w:w="120"/>
            </w:tcMar>
          </w:tcPr>
          <w:p>
            <w:r>
              <w:rPr>
                <w:b/>
                <w:bCs/>
                <w:color w:val="1F4E79"/>
                <w:sz w:val="20"/>
                <w:szCs w:val="20"/>
              </w:rPr>
              <w:t xml:space="preserve">Department or School</w:t>
            </w:r>
          </w:p>
        </w:tc>
        <w:tc>
          <w:tcPr>
            <w:tcW w:type="dxa" w:w="6280"/>
            <w:tcMar>
              <w:top w:type="dxa" w:w="60"/>
              <w:left w:type="dxa" w:w="120"/>
              <w:bottom w:type="dxa" w:w="60"/>
              <w:right w:type="dxa" w:w="120"/>
            </w:tcMar>
          </w:tcPr>
          <w:p>
            <w:r>
              <w:t xml:space="preserve"/>
            </w:r>
          </w:p>
        </w:tc>
      </w:tr>
      <w:tr>
        <w:tc>
          <w:tcPr>
            <w:tcW w:type="dxa" w:w="3200"/>
            <w:shd w:fill="EEF3FA" w:val="clear"/>
            <w:tcMar>
              <w:top w:type="dxa" w:w="60"/>
              <w:left w:type="dxa" w:w="120"/>
              <w:bottom w:type="dxa" w:w="60"/>
              <w:right w:type="dxa" w:w="120"/>
            </w:tcMar>
          </w:tcPr>
          <w:p>
            <w:r>
              <w:rPr>
                <w:b/>
                <w:bCs/>
                <w:color w:val="1F4E79"/>
                <w:sz w:val="20"/>
                <w:szCs w:val="20"/>
              </w:rPr>
              <w:t xml:space="preserve">Program name</w:t>
            </w:r>
          </w:p>
        </w:tc>
        <w:tc>
          <w:tcPr>
            <w:tcW w:type="dxa" w:w="6280"/>
            <w:tcMar>
              <w:top w:type="dxa" w:w="60"/>
              <w:left w:type="dxa" w:w="120"/>
              <w:bottom w:type="dxa" w:w="60"/>
              <w:right w:type="dxa" w:w="120"/>
            </w:tcMar>
          </w:tcPr>
          <w:p>
            <w:r>
              <w:t xml:space="preserve"/>
            </w:r>
          </w:p>
        </w:tc>
      </w:tr>
      <w:tr>
        <w:tc>
          <w:tcPr>
            <w:tcW w:type="dxa" w:w="3200"/>
            <w:shd w:fill="EEF3FA" w:val="clear"/>
            <w:tcMar>
              <w:top w:type="dxa" w:w="60"/>
              <w:left w:type="dxa" w:w="120"/>
              <w:bottom w:type="dxa" w:w="60"/>
              <w:right w:type="dxa" w:w="120"/>
            </w:tcMar>
          </w:tcPr>
          <w:p>
            <w:r>
              <w:rPr>
                <w:b/>
                <w:bCs/>
                <w:color w:val="1F4E79"/>
                <w:sz w:val="20"/>
                <w:szCs w:val="20"/>
              </w:rPr>
              <w:t xml:space="preserve">Country / Region</w:t>
            </w:r>
          </w:p>
        </w:tc>
        <w:tc>
          <w:tcPr>
            <w:tcW w:type="dxa" w:w="6280"/>
            <w:tcMar>
              <w:top w:type="dxa" w:w="60"/>
              <w:left w:type="dxa" w:w="120"/>
              <w:bottom w:type="dxa" w:w="60"/>
              <w:right w:type="dxa" w:w="120"/>
            </w:tcMar>
          </w:tcPr>
          <w:p>
            <w:r>
              <w:t xml:space="preserve"/>
            </w:r>
          </w:p>
        </w:tc>
      </w:tr>
      <w:tr>
        <w:tc>
          <w:tcPr>
            <w:tcW w:type="dxa" w:w="3200"/>
            <w:shd w:fill="EEF3FA" w:val="clear"/>
            <w:tcMar>
              <w:top w:type="dxa" w:w="60"/>
              <w:left w:type="dxa" w:w="120"/>
              <w:bottom w:type="dxa" w:w="60"/>
              <w:right w:type="dxa" w:w="120"/>
            </w:tcMar>
          </w:tcPr>
          <w:p>
            <w:r>
              <w:rPr>
                <w:b/>
                <w:bCs/>
                <w:color w:val="1F4E79"/>
                <w:sz w:val="20"/>
                <w:szCs w:val="20"/>
              </w:rPr>
              <w:t xml:space="preserve">Primary contact (name &amp; title)</w:t>
            </w:r>
          </w:p>
        </w:tc>
        <w:tc>
          <w:tcPr>
            <w:tcW w:type="dxa" w:w="6280"/>
            <w:tcMar>
              <w:top w:type="dxa" w:w="60"/>
              <w:left w:type="dxa" w:w="120"/>
              <w:bottom w:type="dxa" w:w="60"/>
              <w:right w:type="dxa" w:w="120"/>
            </w:tcMar>
          </w:tcPr>
          <w:p>
            <w:r>
              <w:t xml:space="preserve"/>
            </w:r>
          </w:p>
        </w:tc>
      </w:tr>
      <w:tr>
        <w:tc>
          <w:tcPr>
            <w:tcW w:type="dxa" w:w="3200"/>
            <w:shd w:fill="EEF3FA" w:val="clear"/>
            <w:tcMar>
              <w:top w:type="dxa" w:w="60"/>
              <w:left w:type="dxa" w:w="120"/>
              <w:bottom w:type="dxa" w:w="60"/>
              <w:right w:type="dxa" w:w="120"/>
            </w:tcMar>
          </w:tcPr>
          <w:p>
            <w:r>
              <w:rPr>
                <w:b/>
                <w:bCs/>
                <w:color w:val="1F4E79"/>
                <w:sz w:val="20"/>
                <w:szCs w:val="20"/>
              </w:rPr>
              <w:t xml:space="preserve">Email</w:t>
            </w:r>
          </w:p>
        </w:tc>
        <w:tc>
          <w:tcPr>
            <w:tcW w:type="dxa" w:w="6280"/>
            <w:tcMar>
              <w:top w:type="dxa" w:w="60"/>
              <w:left w:type="dxa" w:w="120"/>
              <w:bottom w:type="dxa" w:w="60"/>
              <w:right w:type="dxa" w:w="120"/>
            </w:tcMar>
          </w:tcPr>
          <w:p>
            <w:r>
              <w:t xml:space="preserve"/>
            </w:r>
          </w:p>
        </w:tc>
      </w:tr>
      <w:tr>
        <w:tc>
          <w:tcPr>
            <w:tcW w:type="dxa" w:w="3200"/>
            <w:shd w:fill="EEF3FA" w:val="clear"/>
            <w:tcMar>
              <w:top w:type="dxa" w:w="60"/>
              <w:left w:type="dxa" w:w="120"/>
              <w:bottom w:type="dxa" w:w="60"/>
              <w:right w:type="dxa" w:w="120"/>
            </w:tcMar>
          </w:tcPr>
          <w:p>
            <w:r>
              <w:rPr>
                <w:b/>
                <w:bCs/>
                <w:color w:val="1F4E79"/>
                <w:sz w:val="20"/>
                <w:szCs w:val="20"/>
              </w:rPr>
              <w:t xml:space="preserve">Phone</w:t>
            </w:r>
          </w:p>
        </w:tc>
        <w:tc>
          <w:tcPr>
            <w:tcW w:type="dxa" w:w="6280"/>
            <w:tcMar>
              <w:top w:type="dxa" w:w="60"/>
              <w:left w:type="dxa" w:w="120"/>
              <w:bottom w:type="dxa" w:w="60"/>
              <w:right w:type="dxa" w:w="120"/>
            </w:tcMar>
          </w:tcPr>
          <w:p>
            <w:r>
              <w:t xml:space="preserve"/>
            </w:r>
          </w:p>
        </w:tc>
      </w:tr>
      <w:tr>
        <w:tc>
          <w:tcPr>
            <w:tcW w:type="dxa" w:w="3200"/>
            <w:shd w:fill="EEF3FA" w:val="clear"/>
            <w:tcMar>
              <w:top w:type="dxa" w:w="60"/>
              <w:left w:type="dxa" w:w="120"/>
              <w:bottom w:type="dxa" w:w="60"/>
              <w:right w:type="dxa" w:w="120"/>
            </w:tcMar>
          </w:tcPr>
          <w:p>
            <w:r>
              <w:rPr>
                <w:b/>
                <w:bCs/>
                <w:color w:val="1F4E79"/>
                <w:sz w:val="20"/>
                <w:szCs w:val="20"/>
              </w:rPr>
              <w:t xml:space="preserve">Technical contact (IT/lab)</w:t>
            </w:r>
          </w:p>
        </w:tc>
        <w:tc>
          <w:tcPr>
            <w:tcW w:type="dxa" w:w="6280"/>
            <w:tcMar>
              <w:top w:type="dxa" w:w="60"/>
              <w:left w:type="dxa" w:w="120"/>
              <w:bottom w:type="dxa" w:w="60"/>
              <w:right w:type="dxa" w:w="120"/>
            </w:tcMar>
          </w:tcPr>
          <w:p>
            <w:r>
              <w:t xml:space="preserve"/>
            </w:r>
          </w:p>
        </w:tc>
      </w:tr>
      <w:tr>
        <w:tc>
          <w:tcPr>
            <w:tcW w:type="dxa" w:w="3200"/>
            <w:shd w:fill="EEF3FA" w:val="clear"/>
            <w:tcMar>
              <w:top w:type="dxa" w:w="60"/>
              <w:left w:type="dxa" w:w="120"/>
              <w:bottom w:type="dxa" w:w="60"/>
              <w:right w:type="dxa" w:w="120"/>
            </w:tcMar>
          </w:tcPr>
          <w:p>
            <w:r>
              <w:rPr>
                <w:b/>
                <w:bCs/>
                <w:color w:val="1F4E79"/>
                <w:sz w:val="20"/>
                <w:szCs w:val="20"/>
              </w:rPr>
              <w:t xml:space="preserve">Procurement / budget contact</w:t>
            </w:r>
          </w:p>
        </w:tc>
        <w:tc>
          <w:tcPr>
            <w:tcW w:type="dxa" w:w="6280"/>
            <w:tcMar>
              <w:top w:type="dxa" w:w="60"/>
              <w:left w:type="dxa" w:w="120"/>
              <w:bottom w:type="dxa" w:w="60"/>
              <w:right w:type="dxa" w:w="120"/>
            </w:tcMar>
          </w:tcPr>
          <w:p>
            <w:r>
              <w:t xml:space="preserve"/>
            </w:r>
          </w:p>
        </w:tc>
      </w:tr>
    </w:tbl>
    <w:p>
      <w:pPr>
        <w:pStyle w:val="Heading1"/>
        <w:spacing w:after="120" w:before="300"/>
      </w:pPr>
      <w:r>
        <w:rPr>
          <w:b/>
          <w:bCs/>
          <w:color w:val="1F4E79"/>
          <w:sz w:val="26"/>
          <w:szCs w:val="26"/>
        </w:rPr>
        <w:t xml:space="preserve">2.  Program Context</w:t>
      </w:r>
    </w:p>
    <w:p>
      <w:pPr>
        <w:spacing w:after="60" w:before="120"/>
      </w:pPr>
      <w:r>
        <w:rPr>
          <w:sz w:val="21"/>
          <w:szCs w:val="21"/>
        </w:rPr>
        <w:t xml:space="preserve">What type of program would use CyberRange? (select all that apply)</w:t>
      </w:r>
    </w:p>
    <w:p>
      <w:pPr>
        <w:spacing w:after="40" w:before="40"/>
      </w:pPr>
      <w:r>
        <w:rPr>
          <w:sz w:val="22"/>
          <w:szCs w:val="22"/>
        </w:rPr>
        <w:t xml:space="preserve">☐ </w:t>
      </w:r>
      <w:r>
        <w:rPr>
          <w:sz w:val="21"/>
          <w:szCs w:val="21"/>
        </w:rPr>
        <w:t xml:space="preserve">Undergraduate degree     </w:t>
      </w:r>
      <w:r>
        <w:rPr>
          <w:sz w:val="22"/>
          <w:szCs w:val="22"/>
        </w:rPr>
        <w:t xml:space="preserve">☐ </w:t>
      </w:r>
      <w:r>
        <w:rPr>
          <w:sz w:val="21"/>
          <w:szCs w:val="21"/>
        </w:rPr>
        <w:t xml:space="preserve">Graduate degree     </w:t>
      </w:r>
    </w:p>
    <w:p>
      <w:pPr>
        <w:spacing w:after="40" w:before="40"/>
      </w:pPr>
      <w:r>
        <w:rPr>
          <w:sz w:val="22"/>
          <w:szCs w:val="22"/>
        </w:rPr>
        <w:t xml:space="preserve">☐ </w:t>
      </w:r>
      <w:r>
        <w:rPr>
          <w:sz w:val="21"/>
          <w:szCs w:val="21"/>
        </w:rPr>
        <w:t xml:space="preserve">Certificate / diploma     </w:t>
      </w:r>
      <w:r>
        <w:rPr>
          <w:sz w:val="22"/>
          <w:szCs w:val="22"/>
        </w:rPr>
        <w:t xml:space="preserve">☐ </w:t>
      </w:r>
      <w:r>
        <w:rPr>
          <w:sz w:val="21"/>
          <w:szCs w:val="21"/>
        </w:rPr>
        <w:t xml:space="preserve">Bootcamp / continuing ed     </w:t>
      </w:r>
    </w:p>
    <w:p>
      <w:pPr>
        <w:spacing w:after="40" w:before="40"/>
      </w:pPr>
      <w:r>
        <w:rPr>
          <w:sz w:val="22"/>
          <w:szCs w:val="22"/>
        </w:rPr>
        <w:t xml:space="preserve">☐ </w:t>
      </w:r>
      <w:r>
        <w:rPr>
          <w:sz w:val="21"/>
          <w:szCs w:val="21"/>
        </w:rPr>
        <w:t xml:space="preserve">CTF / competition team     </w:t>
      </w:r>
      <w:r>
        <w:rPr>
          <w:sz w:val="22"/>
          <w:szCs w:val="22"/>
        </w:rPr>
        <w:t xml:space="preserve">☐ </w:t>
      </w:r>
      <w:r>
        <w:rPr>
          <w:sz w:val="21"/>
          <w:szCs w:val="21"/>
        </w:rPr>
        <w:t xml:space="preserve">Student club     </w:t>
      </w:r>
    </w:p>
    <w:p>
      <w:pPr>
        <w:spacing w:after="40" w:before="40"/>
      </w:pPr>
      <w:r>
        <w:rPr>
          <w:sz w:val="22"/>
          <w:szCs w:val="22"/>
        </w:rPr>
        <w:t xml:space="preserve">☐ </w:t>
      </w:r>
      <w:r>
        <w:rPr>
          <w:sz w:val="21"/>
          <w:szCs w:val="21"/>
        </w:rPr>
        <w:t xml:space="preserve">Research lab     </w:t>
      </w:r>
      <w:r>
        <w:rPr>
          <w:sz w:val="22"/>
          <w:szCs w:val="22"/>
        </w:rPr>
        <w:t xml:space="preserve">☐ </w:t>
      </w:r>
      <w:r>
        <w:rPr>
          <w:sz w:val="21"/>
          <w:szCs w:val="21"/>
        </w:rPr>
        <w:t xml:space="preserve">Faculty / staff training     </w:t>
      </w:r>
    </w:p>
    <w:p>
      <w:pPr>
        <w:spacing w:after="60" w:before="120"/>
      </w:pPr>
      <w:r>
        <w:rPr>
          <w:sz w:val="21"/>
          <w:szCs w:val="21"/>
        </w:rPr>
        <w:t xml:space="preserve">Which courses or modules would use the platform, and roughly how many students each per term?</w:t>
      </w:r>
    </w:p>
    <w:p>
      <w:pPr>
        <w:pBdr>
          <w:bottom w:val="single" w:color="BFBFBF" w:sz="4" w:space="1"/>
        </w:pBdr>
        <w:spacing w:after="90" w:before="90"/>
      </w:pPr>
      <w:r>
        <w:t xml:space="preserve"/>
      </w:r>
    </w:p>
    <w:p>
      <w:pPr>
        <w:pBdr>
          <w:bottom w:val="single" w:color="BFBFBF" w:sz="4" w:space="1"/>
        </w:pBdr>
        <w:spacing w:after="90" w:before="90"/>
      </w:pPr>
      <w:r>
        <w:t xml:space="preserve"/>
      </w:r>
    </w:p>
    <w:p>
      <w:pPr>
        <w:pBdr>
          <w:bottom w:val="single" w:color="BFBFBF" w:sz="4" w:space="1"/>
        </w:pBdr>
        <w:spacing w:after="90" w:before="90"/>
      </w:pPr>
      <w:r>
        <w:t xml:space="preserve"/>
      </w:r>
    </w:p>
    <w:p>
      <w:pPr>
        <w:spacing w:after="60" w:before="120"/>
      </w:pPr>
      <w:r>
        <w:rPr>
          <w:sz w:val="21"/>
          <w:szCs w:val="21"/>
        </w:rPr>
        <w:t xml:space="preserve">Approximate number of students per term (peak):</w:t>
      </w:r>
      <w:r>
        <w:rPr>
          <w:i/>
          <w:iCs/>
          <w:color w:val="595959"/>
          <w:sz w:val="18"/>
          <w:szCs w:val="18"/>
        </w:rPr>
        <w:t xml:space="preserve">  e.g., 40 in a lab section, 120 across a course</w:t>
      </w:r>
    </w:p>
    <w:p>
      <w:pPr>
        <w:pBdr>
          <w:bottom w:val="single" w:color="BFBFBF" w:sz="4" w:space="1"/>
        </w:pBdr>
        <w:spacing w:after="90" w:before="90"/>
      </w:pPr>
      <w:r>
        <w:t xml:space="preserve"/>
      </w:r>
    </w:p>
    <w:p>
      <w:pPr>
        <w:spacing w:after="60" w:before="120"/>
      </w:pPr>
      <w:r>
        <w:rPr>
          <w:sz w:val="21"/>
          <w:szCs w:val="21"/>
        </w:rPr>
        <w:t xml:space="preserve">Academic calendar &amp; peak usage windows:</w:t>
      </w:r>
      <w:r>
        <w:rPr>
          <w:i/>
          <w:iCs/>
          <w:color w:val="595959"/>
          <w:sz w:val="18"/>
          <w:szCs w:val="18"/>
        </w:rPr>
        <w:t xml:space="preserve">  semesters/quarters; midterms; competition season</w:t>
      </w:r>
    </w:p>
    <w:p>
      <w:pPr>
        <w:pBdr>
          <w:bottom w:val="single" w:color="BFBFBF" w:sz="4" w:space="1"/>
        </w:pBdr>
        <w:spacing w:after="90" w:before="90"/>
      </w:pPr>
      <w:r>
        <w:t xml:space="preserve"/>
      </w:r>
    </w:p>
    <w:p>
      <w:pPr>
        <w:pStyle w:val="Heading1"/>
        <w:spacing w:after="120" w:before="300"/>
      </w:pPr>
      <w:r>
        <w:rPr>
          <w:b/>
          <w:bCs/>
          <w:color w:val="1F4E79"/>
          <w:sz w:val="26"/>
          <w:szCs w:val="26"/>
        </w:rPr>
        <w:t xml:space="preserve">3.  Learning Objectives &amp; Use Cases</w:t>
      </w:r>
    </w:p>
    <w:p>
      <w:pPr>
        <w:spacing w:after="60" w:before="120"/>
      </w:pPr>
      <w:r>
        <w:rPr>
          <w:sz w:val="21"/>
          <w:szCs w:val="21"/>
        </w:rPr>
        <w:t xml:space="preserve">Primary ways you would use CyberRange: (select all that apply)</w:t>
      </w:r>
    </w:p>
    <w:p>
      <w:pPr>
        <w:spacing w:after="40" w:before="40"/>
      </w:pPr>
      <w:r>
        <w:rPr>
          <w:sz w:val="22"/>
          <w:szCs w:val="22"/>
        </w:rPr>
        <w:t xml:space="preserve">☐ </w:t>
      </w:r>
      <w:r>
        <w:rPr>
          <w:sz w:val="21"/>
          <w:szCs w:val="21"/>
        </w:rPr>
        <w:t xml:space="preserve">Hands-on lab assignments     </w:t>
      </w:r>
      <w:r>
        <w:rPr>
          <w:sz w:val="22"/>
          <w:szCs w:val="22"/>
        </w:rPr>
        <w:t xml:space="preserve">☐ </w:t>
      </w:r>
      <w:r>
        <w:rPr>
          <w:sz w:val="21"/>
          <w:szCs w:val="21"/>
        </w:rPr>
        <w:t xml:space="preserve">Instructor-led exercises     </w:t>
      </w:r>
    </w:p>
    <w:p>
      <w:pPr>
        <w:spacing w:after="40" w:before="40"/>
      </w:pPr>
      <w:r>
        <w:rPr>
          <w:sz w:val="22"/>
          <w:szCs w:val="22"/>
        </w:rPr>
        <w:t xml:space="preserve">☐ </w:t>
      </w:r>
      <w:r>
        <w:rPr>
          <w:sz w:val="21"/>
          <w:szCs w:val="21"/>
        </w:rPr>
        <w:t xml:space="preserve">Red vs. Blue exercises     </w:t>
      </w:r>
      <w:r>
        <w:rPr>
          <w:sz w:val="22"/>
          <w:szCs w:val="22"/>
        </w:rPr>
        <w:t xml:space="preserve">☐ </w:t>
      </w:r>
      <w:r>
        <w:rPr>
          <w:sz w:val="21"/>
          <w:szCs w:val="21"/>
        </w:rPr>
        <w:t xml:space="preserve">Purple-team detection tuning     </w:t>
      </w:r>
    </w:p>
    <w:p>
      <w:pPr>
        <w:spacing w:after="40" w:before="40"/>
      </w:pPr>
      <w:r>
        <w:rPr>
          <w:sz w:val="22"/>
          <w:szCs w:val="22"/>
        </w:rPr>
        <w:t xml:space="preserve">☐ </w:t>
      </w:r>
      <w:r>
        <w:rPr>
          <w:sz w:val="21"/>
          <w:szCs w:val="21"/>
        </w:rPr>
        <w:t xml:space="preserve">Capstone / project work     </w:t>
      </w:r>
      <w:r>
        <w:rPr>
          <w:sz w:val="22"/>
          <w:szCs w:val="22"/>
        </w:rPr>
        <w:t xml:space="preserve">☐ </w:t>
      </w:r>
      <w:r>
        <w:rPr>
          <w:sz w:val="21"/>
          <w:szCs w:val="21"/>
        </w:rPr>
        <w:t xml:space="preserve">CTF-style challenges     </w:t>
      </w:r>
    </w:p>
    <w:p>
      <w:pPr>
        <w:spacing w:after="40" w:before="40"/>
      </w:pPr>
      <w:r>
        <w:rPr>
          <w:sz w:val="22"/>
          <w:szCs w:val="22"/>
        </w:rPr>
        <w:t xml:space="preserve">☐ </w:t>
      </w:r>
      <w:r>
        <w:rPr>
          <w:sz w:val="21"/>
          <w:szCs w:val="21"/>
        </w:rPr>
        <w:t xml:space="preserve">Independent / self-paced practice     </w:t>
      </w:r>
      <w:r>
        <w:rPr>
          <w:sz w:val="22"/>
          <w:szCs w:val="22"/>
        </w:rPr>
        <w:t xml:space="preserve">☐ </w:t>
      </w:r>
      <w:r>
        <w:rPr>
          <w:sz w:val="21"/>
          <w:szCs w:val="21"/>
        </w:rPr>
        <w:t xml:space="preserve">Research     </w:t>
      </w:r>
    </w:p>
    <w:p>
      <w:pPr>
        <w:spacing w:after="40" w:before="40"/>
      </w:pPr>
      <w:r>
        <w:rPr>
          <w:sz w:val="22"/>
          <w:szCs w:val="22"/>
        </w:rPr>
        <w:t xml:space="preserve">☐ </w:t>
      </w:r>
      <w:r>
        <w:rPr>
          <w:sz w:val="21"/>
          <w:szCs w:val="21"/>
        </w:rPr>
        <w:t xml:space="preserve">Faculty upskilling     </w:t>
      </w:r>
    </w:p>
    <w:p>
      <w:pPr>
        <w:spacing w:after="60" w:before="120"/>
      </w:pPr>
      <w:r>
        <w:rPr>
          <w:sz w:val="21"/>
          <w:szCs w:val="21"/>
        </w:rPr>
        <w:t xml:space="preserve">Which team roles matter most for your teaching?</w:t>
      </w:r>
    </w:p>
    <w:p>
      <w:pPr>
        <w:spacing w:after="40" w:before="40"/>
      </w:pPr>
      <w:r>
        <w:rPr>
          <w:sz w:val="22"/>
          <w:szCs w:val="22"/>
        </w:rPr>
        <w:t xml:space="preserve">☐ </w:t>
      </w:r>
      <w:r>
        <w:rPr>
          <w:sz w:val="21"/>
          <w:szCs w:val="21"/>
        </w:rPr>
        <w:t xml:space="preserve">Red (attacker)     </w:t>
      </w:r>
      <w:r>
        <w:rPr>
          <w:sz w:val="22"/>
          <w:szCs w:val="22"/>
        </w:rPr>
        <w:t xml:space="preserve">☐ </w:t>
      </w:r>
      <w:r>
        <w:rPr>
          <w:sz w:val="21"/>
          <w:szCs w:val="21"/>
        </w:rPr>
        <w:t xml:space="preserve">Blue (defender)     </w:t>
      </w:r>
      <w:r>
        <w:rPr>
          <w:sz w:val="22"/>
          <w:szCs w:val="22"/>
        </w:rPr>
        <w:t xml:space="preserve">☐ </w:t>
      </w:r>
      <w:r>
        <w:rPr>
          <w:sz w:val="21"/>
          <w:szCs w:val="21"/>
        </w:rPr>
        <w:t xml:space="preserve">Purple (replay/tuning)     </w:t>
      </w:r>
    </w:p>
    <w:p>
      <w:pPr>
        <w:spacing w:after="40" w:before="40"/>
      </w:pPr>
      <w:r>
        <w:rPr>
          <w:sz w:val="22"/>
          <w:szCs w:val="22"/>
        </w:rPr>
        <w:t xml:space="preserve">☐ </w:t>
      </w:r>
      <w:r>
        <w:rPr>
          <w:sz w:val="21"/>
          <w:szCs w:val="21"/>
        </w:rPr>
        <w:t xml:space="preserve">Solo (guided)     </w:t>
      </w:r>
      <w:r>
        <w:rPr>
          <w:sz w:val="22"/>
          <w:szCs w:val="22"/>
        </w:rPr>
        <w:t xml:space="preserve">☐ </w:t>
      </w:r>
      <w:r>
        <w:rPr>
          <w:sz w:val="21"/>
          <w:szCs w:val="21"/>
        </w:rPr>
        <w:t xml:space="preserve">Instructor     </w:t>
      </w:r>
    </w:p>
    <w:p>
      <w:pPr>
        <w:spacing w:after="60" w:before="120"/>
      </w:pPr>
      <w:r>
        <w:rPr>
          <w:sz w:val="21"/>
          <w:szCs w:val="21"/>
        </w:rPr>
        <w:t xml:space="preserve">Student skill levels you need to support:</w:t>
      </w:r>
    </w:p>
    <w:p>
      <w:pPr>
        <w:spacing w:after="40" w:before="40"/>
      </w:pPr>
      <w:r>
        <w:rPr>
          <w:sz w:val="22"/>
          <w:szCs w:val="22"/>
        </w:rPr>
        <w:t xml:space="preserve">☐ </w:t>
      </w:r>
      <w:r>
        <w:rPr>
          <w:sz w:val="21"/>
          <w:szCs w:val="21"/>
        </w:rPr>
        <w:t xml:space="preserve">Introductory     </w:t>
      </w:r>
      <w:r>
        <w:rPr>
          <w:sz w:val="22"/>
          <w:szCs w:val="22"/>
        </w:rPr>
        <w:t xml:space="preserve">☐ </w:t>
      </w:r>
      <w:r>
        <w:rPr>
          <w:sz w:val="21"/>
          <w:szCs w:val="21"/>
        </w:rPr>
        <w:t xml:space="preserve">Intermediate     </w:t>
      </w:r>
      <w:r>
        <w:rPr>
          <w:sz w:val="22"/>
          <w:szCs w:val="22"/>
        </w:rPr>
        <w:t xml:space="preserve">☐ </w:t>
      </w:r>
      <w:r>
        <w:rPr>
          <w:sz w:val="21"/>
          <w:szCs w:val="21"/>
        </w:rPr>
        <w:t xml:space="preserve">Advanced     </w:t>
      </w:r>
      <w:r>
        <w:rPr>
          <w:sz w:val="22"/>
          <w:szCs w:val="22"/>
        </w:rPr>
        <w:t xml:space="preserve">☐ </w:t>
      </w:r>
      <w:r>
        <w:rPr>
          <w:sz w:val="21"/>
          <w:szCs w:val="21"/>
        </w:rPr>
        <w:t xml:space="preserve">Mixed     </w:t>
      </w:r>
    </w:p>
    <w:p>
      <w:pPr>
        <w:spacing w:after="60" w:before="120"/>
      </w:pPr>
      <w:r>
        <w:rPr>
          <w:sz w:val="21"/>
          <w:szCs w:val="21"/>
        </w:rPr>
        <w:t xml:space="preserve">Specific learning outcomes or topics you want covered:</w:t>
      </w:r>
      <w:r>
        <w:rPr>
          <w:i/>
          <w:iCs/>
          <w:color w:val="595959"/>
          <w:sz w:val="18"/>
          <w:szCs w:val="18"/>
        </w:rPr>
        <w:t xml:space="preserve">  e.g., incident response, threat detection, MITRE ATT&amp;CK literacy</w:t>
      </w:r>
    </w:p>
    <w:p>
      <w:pPr>
        <w:pBdr>
          <w:bottom w:val="single" w:color="BFBFBF" w:sz="4" w:space="1"/>
        </w:pBdr>
        <w:spacing w:after="90" w:before="90"/>
      </w:pPr>
      <w:r>
        <w:t xml:space="preserve"/>
      </w:r>
    </w:p>
    <w:p>
      <w:pPr>
        <w:pBdr>
          <w:bottom w:val="single" w:color="BFBFBF" w:sz="4" w:space="1"/>
        </w:pBdr>
        <w:spacing w:after="90" w:before="90"/>
      </w:pPr>
      <w:r>
        <w:t xml:space="preserve"/>
      </w:r>
    </w:p>
    <w:p>
      <w:pPr>
        <w:pBdr>
          <w:bottom w:val="single" w:color="BFBFBF" w:sz="4" w:space="1"/>
        </w:pBdr>
        <w:spacing w:after="90" w:before="90"/>
      </w:pPr>
      <w:r>
        <w:t xml:space="preserve"/>
      </w:r>
    </w:p>
    <w:p>
      <w:pPr>
        <w:pStyle w:val="Heading1"/>
        <w:spacing w:after="120" w:before="300"/>
      </w:pPr>
      <w:r>
        <w:rPr>
          <w:b/>
          <w:bCs/>
          <w:color w:val="1F4E79"/>
          <w:sz w:val="26"/>
          <w:szCs w:val="26"/>
        </w:rPr>
        <w:t xml:space="preserve">4.  Content &amp; Scenarios</w:t>
      </w:r>
    </w:p>
    <w:p>
      <w:pPr>
        <w:spacing w:after="60" w:before="120"/>
      </w:pPr>
      <w:r>
        <w:rPr>
          <w:sz w:val="21"/>
          <w:szCs w:val="21"/>
        </w:rPr>
        <w:t xml:space="preserve">Which platforms must your labs cover? (select all that apply)</w:t>
      </w:r>
    </w:p>
    <w:p>
      <w:pPr>
        <w:spacing w:after="40" w:before="40"/>
      </w:pPr>
      <w:r>
        <w:rPr>
          <w:sz w:val="22"/>
          <w:szCs w:val="22"/>
        </w:rPr>
        <w:t xml:space="preserve">☐ </w:t>
      </w:r>
      <w:r>
        <w:rPr>
          <w:sz w:val="21"/>
          <w:szCs w:val="21"/>
        </w:rPr>
        <w:t xml:space="preserve">Windows endpoints     </w:t>
      </w:r>
      <w:r>
        <w:rPr>
          <w:sz w:val="22"/>
          <w:szCs w:val="22"/>
        </w:rPr>
        <w:t xml:space="preserve">☐ </w:t>
      </w:r>
      <w:r>
        <w:rPr>
          <w:sz w:val="21"/>
          <w:szCs w:val="21"/>
        </w:rPr>
        <w:t xml:space="preserve">Windows Server / Active Directory     </w:t>
      </w:r>
      <w:r>
        <w:rPr>
          <w:sz w:val="22"/>
          <w:szCs w:val="22"/>
        </w:rPr>
        <w:t xml:space="preserve">☐ </w:t>
      </w:r>
      <w:r>
        <w:rPr>
          <w:sz w:val="21"/>
          <w:szCs w:val="21"/>
        </w:rPr>
        <w:t xml:space="preserve">Linux servers     </w:t>
      </w:r>
    </w:p>
    <w:p>
      <w:pPr>
        <w:spacing w:after="40" w:before="40"/>
      </w:pPr>
      <w:r>
        <w:rPr>
          <w:sz w:val="22"/>
          <w:szCs w:val="22"/>
        </w:rPr>
        <w:t xml:space="preserve">☐ </w:t>
      </w:r>
      <w:r>
        <w:rPr>
          <w:sz w:val="21"/>
          <w:szCs w:val="21"/>
        </w:rPr>
        <w:t xml:space="preserve">Docker / containers     </w:t>
      </w:r>
      <w:r>
        <w:rPr>
          <w:sz w:val="22"/>
          <w:szCs w:val="22"/>
        </w:rPr>
        <w:t xml:space="preserve">☐ </w:t>
      </w:r>
      <w:r>
        <w:rPr>
          <w:sz w:val="21"/>
          <w:szCs w:val="21"/>
        </w:rPr>
        <w:t xml:space="preserve">Web applications     </w:t>
      </w:r>
      <w:r>
        <w:rPr>
          <w:sz w:val="22"/>
          <w:szCs w:val="22"/>
        </w:rPr>
        <w:t xml:space="preserve">☐ </w:t>
      </w:r>
      <w:r>
        <w:rPr>
          <w:sz w:val="21"/>
          <w:szCs w:val="21"/>
        </w:rPr>
        <w:t xml:space="preserve">Cloud (future)     </w:t>
      </w:r>
    </w:p>
    <w:p>
      <w:pPr>
        <w:spacing w:after="60" w:before="120"/>
      </w:pPr>
      <w:r>
        <w:rPr>
          <w:sz w:val="21"/>
          <w:szCs w:val="21"/>
        </w:rPr>
        <w:t xml:space="preserve">Which scenario themes are most relevant? (select all that apply)</w:t>
      </w:r>
    </w:p>
    <w:p>
      <w:pPr>
        <w:spacing w:after="40" w:before="40"/>
      </w:pPr>
      <w:r>
        <w:rPr>
          <w:sz w:val="22"/>
          <w:szCs w:val="22"/>
        </w:rPr>
        <w:t xml:space="preserve">☐ </w:t>
      </w:r>
      <w:r>
        <w:rPr>
          <w:sz w:val="21"/>
          <w:szCs w:val="21"/>
        </w:rPr>
        <w:t xml:space="preserve">Phishing to foothold     </w:t>
      </w:r>
      <w:r>
        <w:rPr>
          <w:sz w:val="22"/>
          <w:szCs w:val="22"/>
        </w:rPr>
        <w:t xml:space="preserve">☐ </w:t>
      </w:r>
      <w:r>
        <w:rPr>
          <w:sz w:val="21"/>
          <w:szCs w:val="21"/>
        </w:rPr>
        <w:t xml:space="preserve">Identity compromise     </w:t>
      </w:r>
    </w:p>
    <w:p>
      <w:pPr>
        <w:spacing w:after="40" w:before="40"/>
      </w:pPr>
      <w:r>
        <w:rPr>
          <w:sz w:val="22"/>
          <w:szCs w:val="22"/>
        </w:rPr>
        <w:t xml:space="preserve">☐ </w:t>
      </w:r>
      <w:r>
        <w:rPr>
          <w:sz w:val="21"/>
          <w:szCs w:val="21"/>
        </w:rPr>
        <w:t xml:space="preserve">Ransomware precursor     </w:t>
      </w:r>
      <w:r>
        <w:rPr>
          <w:sz w:val="22"/>
          <w:szCs w:val="22"/>
        </w:rPr>
        <w:t xml:space="preserve">☐ </w:t>
      </w:r>
      <w:r>
        <w:rPr>
          <w:sz w:val="21"/>
          <w:szCs w:val="21"/>
        </w:rPr>
        <w:t xml:space="preserve">Web app intrusion     </w:t>
      </w:r>
    </w:p>
    <w:p>
      <w:pPr>
        <w:spacing w:after="40" w:before="40"/>
      </w:pPr>
      <w:r>
        <w:rPr>
          <w:sz w:val="22"/>
          <w:szCs w:val="22"/>
        </w:rPr>
        <w:t xml:space="preserve">☐ </w:t>
      </w:r>
      <w:r>
        <w:rPr>
          <w:sz w:val="21"/>
          <w:szCs w:val="21"/>
        </w:rPr>
        <w:t xml:space="preserve">Docker / container compromise     </w:t>
      </w:r>
      <w:r>
        <w:rPr>
          <w:sz w:val="22"/>
          <w:szCs w:val="22"/>
        </w:rPr>
        <w:t xml:space="preserve">☐ </w:t>
      </w:r>
      <w:r>
        <w:rPr>
          <w:sz w:val="21"/>
          <w:szCs w:val="21"/>
        </w:rPr>
        <w:t xml:space="preserve">Insider data collection     </w:t>
      </w:r>
    </w:p>
    <w:p>
      <w:pPr>
        <w:spacing w:after="40" w:before="40"/>
      </w:pPr>
      <w:r>
        <w:rPr>
          <w:sz w:val="22"/>
          <w:szCs w:val="22"/>
        </w:rPr>
        <w:t xml:space="preserve">☐ </w:t>
      </w:r>
      <w:r>
        <w:rPr>
          <w:sz w:val="21"/>
          <w:szCs w:val="21"/>
        </w:rPr>
        <w:t xml:space="preserve">Detection engineering     </w:t>
      </w:r>
    </w:p>
    <w:p>
      <w:pPr>
        <w:pStyle w:val="Heading1"/>
        <w:spacing w:after="120" w:before="300"/>
      </w:pPr>
      <w:r>
        <w:rPr>
          <w:b/>
          <w:bCs/>
          <w:color w:val="1F4E79"/>
          <w:sz w:val="26"/>
          <w:szCs w:val="26"/>
        </w:rPr>
        <w:t xml:space="preserve">5.  Scale &amp; Deployment</w:t>
      </w:r>
    </w:p>
    <w:p>
      <w:pPr>
        <w:spacing w:after="60" w:before="120"/>
      </w:pPr>
      <w:r>
        <w:rPr>
          <w:sz w:val="21"/>
          <w:szCs w:val="21"/>
        </w:rPr>
        <w:t xml:space="preserve">Expected concurrent ranges (isolated environments running at once) at peak:</w:t>
      </w:r>
      <w:r>
        <w:rPr>
          <w:i/>
          <w:iCs/>
          <w:color w:val="595959"/>
          <w:sz w:val="18"/>
          <w:szCs w:val="18"/>
        </w:rPr>
        <w:t xml:space="preserve">  e.g., one per student, or shared team ranges</w:t>
      </w:r>
    </w:p>
    <w:p>
      <w:pPr>
        <w:pBdr>
          <w:bottom w:val="single" w:color="BFBFBF" w:sz="4" w:space="1"/>
        </w:pBdr>
        <w:spacing w:after="90" w:before="90"/>
      </w:pPr>
      <w:r>
        <w:t xml:space="preserve"/>
      </w:r>
    </w:p>
    <w:p>
      <w:pPr>
        <w:spacing w:after="60" w:before="120"/>
      </w:pPr>
      <w:r>
        <w:rPr>
          <w:sz w:val="21"/>
          <w:szCs w:val="21"/>
        </w:rPr>
        <w:t xml:space="preserve">Preferred deployment model:</w:t>
      </w:r>
    </w:p>
    <w:p>
      <w:pPr>
        <w:spacing w:after="40" w:before="40"/>
      </w:pPr>
      <w:r>
        <w:rPr>
          <w:sz w:val="22"/>
          <w:szCs w:val="22"/>
        </w:rPr>
        <w:t xml:space="preserve">☐ </w:t>
      </w:r>
      <w:r>
        <w:rPr>
          <w:sz w:val="21"/>
          <w:szCs w:val="21"/>
        </w:rPr>
        <w:t xml:space="preserve">On-prem appliance     </w:t>
      </w:r>
      <w:r>
        <w:rPr>
          <w:sz w:val="22"/>
          <w:szCs w:val="22"/>
        </w:rPr>
        <w:t xml:space="preserve">☐ </w:t>
      </w:r>
      <w:r>
        <w:rPr>
          <w:sz w:val="21"/>
          <w:szCs w:val="21"/>
        </w:rPr>
        <w:t xml:space="preserve">Self-hosted in our cloud     </w:t>
      </w:r>
      <w:r>
        <w:rPr>
          <w:sz w:val="22"/>
          <w:szCs w:val="22"/>
        </w:rPr>
        <w:t xml:space="preserve">☐ </w:t>
      </w:r>
      <w:r>
        <w:rPr>
          <w:sz w:val="21"/>
          <w:szCs w:val="21"/>
        </w:rPr>
        <w:t xml:space="preserve">Vendor-hosted (SaaS)     </w:t>
      </w:r>
    </w:p>
    <w:p>
      <w:pPr>
        <w:spacing w:after="40" w:before="40"/>
      </w:pPr>
      <w:r>
        <w:rPr>
          <w:sz w:val="22"/>
          <w:szCs w:val="22"/>
        </w:rPr>
        <w:t xml:space="preserve">☐ </w:t>
      </w:r>
      <w:r>
        <w:rPr>
          <w:sz w:val="21"/>
          <w:szCs w:val="21"/>
        </w:rPr>
        <w:t xml:space="preserve">Hybrid     </w:t>
      </w:r>
      <w:r>
        <w:rPr>
          <w:sz w:val="22"/>
          <w:szCs w:val="22"/>
        </w:rPr>
        <w:t xml:space="preserve">☐ </w:t>
      </w:r>
      <w:r>
        <w:rPr>
          <w:sz w:val="21"/>
          <w:szCs w:val="21"/>
        </w:rPr>
        <w:t xml:space="preserve">Undecided     </w:t>
      </w:r>
    </w:p>
    <w:p>
      <w:pPr>
        <w:spacing w:after="60" w:before="120"/>
      </w:pPr>
      <w:r>
        <w:rPr>
          <w:sz w:val="21"/>
          <w:szCs w:val="21"/>
        </w:rPr>
        <w:t xml:space="preserve">Existing virtualization / infrastructure available:</w:t>
      </w:r>
    </w:p>
    <w:p>
      <w:pPr>
        <w:spacing w:after="40" w:before="40"/>
      </w:pPr>
      <w:r>
        <w:rPr>
          <w:sz w:val="22"/>
          <w:szCs w:val="22"/>
        </w:rPr>
        <w:t xml:space="preserve">☐ </w:t>
      </w:r>
      <w:r>
        <w:rPr>
          <w:sz w:val="21"/>
          <w:szCs w:val="21"/>
        </w:rPr>
        <w:t xml:space="preserve">Proxmox / KVM     </w:t>
      </w:r>
      <w:r>
        <w:rPr>
          <w:sz w:val="22"/>
          <w:szCs w:val="22"/>
        </w:rPr>
        <w:t xml:space="preserve">☐ </w:t>
      </w:r>
      <w:r>
        <w:rPr>
          <w:sz w:val="21"/>
          <w:szCs w:val="21"/>
        </w:rPr>
        <w:t xml:space="preserve">VMware     </w:t>
      </w:r>
      <w:r>
        <w:rPr>
          <w:sz w:val="22"/>
          <w:szCs w:val="22"/>
        </w:rPr>
        <w:t xml:space="preserve">☐ </w:t>
      </w:r>
      <w:r>
        <w:rPr>
          <w:sz w:val="21"/>
          <w:szCs w:val="21"/>
        </w:rPr>
        <w:t xml:space="preserve">Public cloud (AWS/Azure/GCP)     </w:t>
      </w:r>
    </w:p>
    <w:p>
      <w:pPr>
        <w:spacing w:after="40" w:before="40"/>
      </w:pPr>
      <w:r>
        <w:rPr>
          <w:sz w:val="22"/>
          <w:szCs w:val="22"/>
        </w:rPr>
        <w:t xml:space="preserve">☐ </w:t>
      </w:r>
      <w:r>
        <w:rPr>
          <w:sz w:val="21"/>
          <w:szCs w:val="21"/>
        </w:rPr>
        <w:t xml:space="preserve">Docker hosts     </w:t>
      </w:r>
      <w:r>
        <w:rPr>
          <w:sz w:val="22"/>
          <w:szCs w:val="22"/>
        </w:rPr>
        <w:t xml:space="preserve">☐ </w:t>
      </w:r>
      <w:r>
        <w:rPr>
          <w:sz w:val="21"/>
          <w:szCs w:val="21"/>
        </w:rPr>
        <w:t xml:space="preserve">None yet     </w:t>
      </w:r>
    </w:p>
    <w:p>
      <w:pPr>
        <w:spacing w:after="60" w:before="120"/>
      </w:pPr>
      <w:r>
        <w:rPr>
          <w:sz w:val="21"/>
          <w:szCs w:val="21"/>
        </w:rPr>
        <w:t xml:space="preserve">Available compute for a self-hosted deployment (CPU cores / RAM / storage), if known:</w:t>
      </w:r>
    </w:p>
    <w:p>
      <w:pPr>
        <w:pBdr>
          <w:bottom w:val="single" w:color="BFBFBF" w:sz="4" w:space="1"/>
        </w:pBdr>
        <w:spacing w:after="90" w:before="90"/>
      </w:pPr>
      <w:r>
        <w:t xml:space="preserve"/>
      </w:r>
    </w:p>
    <w:p>
      <w:pPr>
        <w:spacing w:after="60" w:before="120"/>
      </w:pPr>
      <w:r>
        <w:rPr>
          <w:sz w:val="21"/>
          <w:szCs w:val="21"/>
        </w:rPr>
        <w:t xml:space="preserve">Lab internet-egress policy:</w:t>
      </w:r>
    </w:p>
    <w:p>
      <w:pPr>
        <w:spacing w:after="40" w:before="40"/>
      </w:pPr>
      <w:r>
        <w:rPr>
          <w:sz w:val="22"/>
          <w:szCs w:val="22"/>
        </w:rPr>
        <w:t xml:space="preserve">☐ </w:t>
      </w:r>
      <w:r>
        <w:rPr>
          <w:sz w:val="21"/>
          <w:szCs w:val="21"/>
        </w:rPr>
        <w:t xml:space="preserve">Fully isolated (no internet)     </w:t>
      </w:r>
      <w:r>
        <w:rPr>
          <w:sz w:val="22"/>
          <w:szCs w:val="22"/>
        </w:rPr>
        <w:t xml:space="preserve">☐ </w:t>
      </w:r>
      <w:r>
        <w:rPr>
          <w:sz w:val="21"/>
          <w:szCs w:val="21"/>
        </w:rPr>
        <w:t xml:space="preserve">Allowlisted proxy only     </w:t>
      </w:r>
    </w:p>
    <w:p>
      <w:pPr>
        <w:spacing w:after="40" w:before="40"/>
      </w:pPr>
      <w:r>
        <w:rPr>
          <w:sz w:val="22"/>
          <w:szCs w:val="22"/>
        </w:rPr>
        <w:t xml:space="preserve">☐ </w:t>
      </w:r>
      <w:r>
        <w:rPr>
          <w:sz w:val="21"/>
          <w:szCs w:val="21"/>
        </w:rPr>
        <w:t xml:space="preserve">Open (not preferred)     </w:t>
      </w:r>
      <w:r>
        <w:rPr>
          <w:sz w:val="22"/>
          <w:szCs w:val="22"/>
        </w:rPr>
        <w:t xml:space="preserve">☐ </w:t>
      </w:r>
      <w:r>
        <w:rPr>
          <w:sz w:val="21"/>
          <w:szCs w:val="21"/>
        </w:rPr>
        <w:t xml:space="preserve">Not sure     </w:t>
      </w:r>
    </w:p>
    <w:p>
      <w:pPr>
        <w:pStyle w:val="Heading1"/>
        <w:spacing w:after="120" w:before="300"/>
      </w:pPr>
      <w:r>
        <w:rPr>
          <w:b/>
          <w:bCs/>
          <w:color w:val="1F4E79"/>
          <w:sz w:val="26"/>
          <w:szCs w:val="26"/>
        </w:rPr>
        <w:t xml:space="preserve">6.  Detection Stack &amp; Access</w:t>
      </w:r>
    </w:p>
    <w:p>
      <w:pPr>
        <w:spacing w:after="60" w:before="120"/>
      </w:pPr>
      <w:r>
        <w:rPr>
          <w:sz w:val="21"/>
          <w:szCs w:val="21"/>
        </w:rPr>
        <w:t xml:space="preserve">For the Blue-team SIEM, use the bundled Wazuh or your own?</w:t>
      </w:r>
    </w:p>
    <w:p>
      <w:pPr>
        <w:spacing w:after="40" w:before="40"/>
      </w:pPr>
      <w:r>
        <w:rPr>
          <w:sz w:val="22"/>
          <w:szCs w:val="22"/>
        </w:rPr>
        <w:t xml:space="preserve">☐ </w:t>
      </w:r>
      <w:r>
        <w:rPr>
          <w:sz w:val="21"/>
          <w:szCs w:val="21"/>
        </w:rPr>
        <w:t xml:space="preserve">Use bundled Wazuh (+ rules)     </w:t>
      </w:r>
      <w:r>
        <w:rPr>
          <w:sz w:val="22"/>
          <w:szCs w:val="22"/>
        </w:rPr>
        <w:t xml:space="preserve">☐ </w:t>
      </w:r>
      <w:r>
        <w:rPr>
          <w:sz w:val="21"/>
          <w:szCs w:val="21"/>
        </w:rPr>
        <w:t xml:space="preserve">Splunk     </w:t>
      </w:r>
      <w:r>
        <w:rPr>
          <w:sz w:val="22"/>
          <w:szCs w:val="22"/>
        </w:rPr>
        <w:t xml:space="preserve">☐ </w:t>
      </w:r>
      <w:r>
        <w:rPr>
          <w:sz w:val="21"/>
          <w:szCs w:val="21"/>
        </w:rPr>
        <w:t xml:space="preserve">Microsoft Sentinel     </w:t>
      </w:r>
    </w:p>
    <w:p>
      <w:pPr>
        <w:spacing w:after="40" w:before="40"/>
      </w:pPr>
      <w:r>
        <w:rPr>
          <w:sz w:val="22"/>
          <w:szCs w:val="22"/>
        </w:rPr>
        <w:t xml:space="preserve">☐ </w:t>
      </w:r>
      <w:r>
        <w:rPr>
          <w:sz w:val="21"/>
          <w:szCs w:val="21"/>
        </w:rPr>
        <w:t xml:space="preserve">Elastic     </w:t>
      </w:r>
      <w:r>
        <w:rPr>
          <w:sz w:val="22"/>
          <w:szCs w:val="22"/>
        </w:rPr>
        <w:t xml:space="preserve">☐ </w:t>
      </w:r>
      <w:r>
        <w:rPr>
          <w:sz w:val="21"/>
          <w:szCs w:val="21"/>
        </w:rPr>
        <w:t xml:space="preserve">Other     </w:t>
      </w:r>
      <w:r>
        <w:rPr>
          <w:sz w:val="22"/>
          <w:szCs w:val="22"/>
        </w:rPr>
        <w:t xml:space="preserve">☐ </w:t>
      </w:r>
      <w:r>
        <w:rPr>
          <w:sz w:val="21"/>
          <w:szCs w:val="21"/>
        </w:rPr>
        <w:t xml:space="preserve">Not sure     </w:t>
      </w:r>
    </w:p>
    <w:p>
      <w:pPr>
        <w:spacing w:after="60" w:before="120"/>
      </w:pPr>
      <w:r>
        <w:rPr>
          <w:sz w:val="21"/>
          <w:szCs w:val="21"/>
        </w:rPr>
        <w:t xml:space="preserve">How should participant accounts be provisioned?</w:t>
      </w:r>
    </w:p>
    <w:p>
      <w:pPr>
        <w:spacing w:after="40" w:before="40"/>
      </w:pPr>
      <w:r>
        <w:rPr>
          <w:sz w:val="22"/>
          <w:szCs w:val="22"/>
        </w:rPr>
        <w:t xml:space="preserve">☐ </w:t>
      </w:r>
      <w:r>
        <w:rPr>
          <w:sz w:val="21"/>
          <w:szCs w:val="21"/>
        </w:rPr>
        <w:t xml:space="preserve">CSV upload     </w:t>
      </w:r>
      <w:r>
        <w:rPr>
          <w:sz w:val="22"/>
          <w:szCs w:val="22"/>
        </w:rPr>
        <w:t xml:space="preserve">☐ </w:t>
      </w:r>
      <w:r>
        <w:rPr>
          <w:sz w:val="21"/>
          <w:szCs w:val="21"/>
        </w:rPr>
        <w:t xml:space="preserve">Manual (admin panel)     </w:t>
      </w:r>
      <w:r>
        <w:rPr>
          <w:sz w:val="22"/>
          <w:szCs w:val="22"/>
        </w:rPr>
        <w:t xml:space="preserve">☐ </w:t>
      </w:r>
      <w:r>
        <w:rPr>
          <w:sz w:val="21"/>
          <w:szCs w:val="21"/>
        </w:rPr>
        <w:t xml:space="preserve">Self-enroll with approval     </w:t>
      </w:r>
    </w:p>
    <w:p>
      <w:pPr>
        <w:pStyle w:val="Heading1"/>
        <w:spacing w:after="120" w:before="300"/>
      </w:pPr>
      <w:r>
        <w:rPr>
          <w:b/>
          <w:bCs/>
          <w:color w:val="1F4E79"/>
          <w:sz w:val="26"/>
          <w:szCs w:val="26"/>
        </w:rPr>
        <w:t xml:space="preserve">7.  Assessment &amp; Reporting</w:t>
      </w:r>
    </w:p>
    <w:p>
      <w:pPr>
        <w:spacing w:after="60" w:before="120"/>
      </w:pPr>
      <w:r>
        <w:rPr>
          <w:sz w:val="21"/>
          <w:szCs w:val="21"/>
        </w:rPr>
        <w:t xml:space="preserve">Assessment features you need: (select all that apply)</w:t>
      </w:r>
    </w:p>
    <w:p>
      <w:pPr>
        <w:spacing w:after="40" w:before="40"/>
      </w:pPr>
      <w:r>
        <w:rPr>
          <w:sz w:val="22"/>
          <w:szCs w:val="22"/>
        </w:rPr>
        <w:t xml:space="preserve">☐ </w:t>
      </w:r>
      <w:r>
        <w:rPr>
          <w:sz w:val="21"/>
          <w:szCs w:val="21"/>
        </w:rPr>
        <w:t xml:space="preserve">Automatic scoring     </w:t>
      </w:r>
      <w:r>
        <w:rPr>
          <w:sz w:val="22"/>
          <w:szCs w:val="22"/>
        </w:rPr>
        <w:t xml:space="preserve">☐ </w:t>
      </w:r>
      <w:r>
        <w:rPr>
          <w:sz w:val="21"/>
          <w:szCs w:val="21"/>
        </w:rPr>
        <w:t xml:space="preserve">Instructor rubrics &amp; overrides     </w:t>
      </w:r>
    </w:p>
    <w:p>
      <w:pPr>
        <w:spacing w:after="40" w:before="40"/>
      </w:pPr>
      <w:r>
        <w:rPr>
          <w:sz w:val="22"/>
          <w:szCs w:val="22"/>
        </w:rPr>
        <w:t xml:space="preserve">☐ </w:t>
      </w:r>
      <w:r>
        <w:rPr>
          <w:sz w:val="21"/>
          <w:szCs w:val="21"/>
        </w:rPr>
        <w:t xml:space="preserve">Per-participant reports     </w:t>
      </w:r>
      <w:r>
        <w:rPr>
          <w:sz w:val="22"/>
          <w:szCs w:val="22"/>
        </w:rPr>
        <w:t xml:space="preserve">☐ </w:t>
      </w:r>
      <w:r>
        <w:rPr>
          <w:sz w:val="21"/>
          <w:szCs w:val="21"/>
        </w:rPr>
        <w:t xml:space="preserve">Team / cohort reports     </w:t>
      </w:r>
    </w:p>
    <w:p>
      <w:pPr>
        <w:spacing w:after="40" w:before="40"/>
      </w:pPr>
      <w:r>
        <w:rPr>
          <w:sz w:val="22"/>
          <w:szCs w:val="22"/>
        </w:rPr>
        <w:t xml:space="preserve">☐ </w:t>
      </w:r>
      <w:r>
        <w:rPr>
          <w:sz w:val="21"/>
          <w:szCs w:val="21"/>
        </w:rPr>
        <w:t xml:space="preserve">After-action timeline &amp; evidence     </w:t>
      </w:r>
    </w:p>
    <w:p>
      <w:pPr>
        <w:spacing w:after="60" w:before="120"/>
      </w:pPr>
      <w:r>
        <w:rPr>
          <w:sz w:val="21"/>
          <w:szCs w:val="21"/>
        </w:rPr>
        <w:t xml:space="preserve">Preferred report formats:</w:t>
      </w:r>
    </w:p>
    <w:p>
      <w:pPr>
        <w:spacing w:after="40" w:before="40"/>
      </w:pPr>
      <w:r>
        <w:rPr>
          <w:sz w:val="22"/>
          <w:szCs w:val="22"/>
        </w:rPr>
        <w:t xml:space="preserve">☐ </w:t>
      </w:r>
      <w:r>
        <w:rPr>
          <w:sz w:val="21"/>
          <w:szCs w:val="21"/>
        </w:rPr>
        <w:t xml:space="preserve">PDF     </w:t>
      </w:r>
      <w:r>
        <w:rPr>
          <w:sz w:val="22"/>
          <w:szCs w:val="22"/>
        </w:rPr>
        <w:t xml:space="preserve">☐ </w:t>
      </w:r>
      <w:r>
        <w:rPr>
          <w:sz w:val="21"/>
          <w:szCs w:val="21"/>
        </w:rPr>
        <w:t xml:space="preserve">DOCX     </w:t>
      </w:r>
      <w:r>
        <w:rPr>
          <w:sz w:val="22"/>
          <w:szCs w:val="22"/>
        </w:rPr>
        <w:t xml:space="preserve">☐ </w:t>
      </w:r>
      <w:r>
        <w:rPr>
          <w:sz w:val="21"/>
          <w:szCs w:val="21"/>
        </w:rPr>
        <w:t xml:space="preserve">CSV / JSON export     </w:t>
      </w:r>
      <w:r>
        <w:rPr>
          <w:sz w:val="22"/>
          <w:szCs w:val="22"/>
        </w:rPr>
        <w:t xml:space="preserve">☐ </w:t>
      </w:r>
      <w:r>
        <w:rPr>
          <w:sz w:val="21"/>
          <w:szCs w:val="21"/>
        </w:rPr>
        <w:t xml:space="preserve">In-platform dashboards     </w:t>
      </w:r>
    </w:p>
    <w:p>
      <w:pPr>
        <w:pStyle w:val="Heading1"/>
        <w:spacing w:after="120" w:before="300"/>
      </w:pPr>
      <w:r>
        <w:rPr>
          <w:b/>
          <w:bCs/>
          <w:color w:val="1F4E79"/>
          <w:sz w:val="26"/>
          <w:szCs w:val="26"/>
        </w:rPr>
        <w:t xml:space="preserve">8.  Safety &amp; Isolation</w:t>
      </w:r>
    </w:p>
    <w:p>
      <w:pPr>
        <w:spacing w:after="60" w:before="120"/>
      </w:pPr>
      <w:r>
        <w:rPr>
          <w:sz w:val="21"/>
          <w:szCs w:val="21"/>
        </w:rPr>
        <w:t xml:space="preserve">Range isolation requirement:</w:t>
      </w:r>
    </w:p>
    <w:p>
      <w:pPr>
        <w:spacing w:after="40" w:before="40"/>
      </w:pPr>
      <w:r>
        <w:rPr>
          <w:sz w:val="22"/>
          <w:szCs w:val="22"/>
        </w:rPr>
        <w:t xml:space="preserve">☐ </w:t>
      </w:r>
      <w:r>
        <w:rPr>
          <w:sz w:val="21"/>
          <w:szCs w:val="21"/>
        </w:rPr>
        <w:t xml:space="preserve">Fully isolated (default-deny, no internet)     </w:t>
      </w:r>
      <w:r>
        <w:rPr>
          <w:sz w:val="22"/>
          <w:szCs w:val="22"/>
        </w:rPr>
        <w:t xml:space="preserve">☐ </w:t>
      </w:r>
      <w:r>
        <w:rPr>
          <w:sz w:val="21"/>
          <w:szCs w:val="21"/>
        </w:rPr>
        <w:t xml:space="preserve">Allowlisted proxy only     </w:t>
      </w:r>
      <w:r>
        <w:rPr>
          <w:sz w:val="22"/>
          <w:szCs w:val="22"/>
        </w:rPr>
        <w:t xml:space="preserve">☐ </w:t>
      </w:r>
      <w:r>
        <w:rPr>
          <w:sz w:val="21"/>
          <w:szCs w:val="21"/>
        </w:rPr>
        <w:t xml:space="preserve">Other     </w:t>
      </w:r>
    </w:p>
    <w:p>
      <w:pPr>
        <w:spacing w:after="60" w:before="120"/>
      </w:pPr>
      <w:r>
        <w:rPr>
          <w:sz w:val="21"/>
          <w:szCs w:val="21"/>
        </w:rPr>
        <w:t xml:space="preserve">Any acceptable-use, prohibited-tool, or network-security policies we should know about?</w:t>
      </w:r>
    </w:p>
    <w:p>
      <w:pPr>
        <w:pBdr>
          <w:bottom w:val="single" w:color="BFBFBF" w:sz="4" w:space="1"/>
        </w:pBdr>
        <w:spacing w:after="90" w:before="90"/>
      </w:pPr>
      <w:r>
        <w:t xml:space="preserve"/>
      </w:r>
    </w:p>
    <w:p>
      <w:pPr>
        <w:pBdr>
          <w:bottom w:val="single" w:color="BFBFBF" w:sz="4" w:space="1"/>
        </w:pBdr>
        <w:spacing w:after="90" w:before="90"/>
      </w:pPr>
      <w:r>
        <w:t xml:space="preserve"/>
      </w:r>
    </w:p>
    <w:p>
      <w:pPr>
        <w:pStyle w:val="Heading1"/>
        <w:spacing w:after="120" w:before="300"/>
      </w:pPr>
      <w:r>
        <w:rPr>
          <w:b/>
          <w:bCs/>
          <w:color w:val="1F4E79"/>
          <w:sz w:val="26"/>
          <w:szCs w:val="26"/>
        </w:rPr>
        <w:t xml:space="preserve">9.  Support, Training &amp; Rollout</w:t>
      </w:r>
    </w:p>
    <w:p>
      <w:pPr>
        <w:spacing w:after="60" w:before="120"/>
      </w:pPr>
      <w:r>
        <w:rPr>
          <w:sz w:val="21"/>
          <w:szCs w:val="21"/>
        </w:rPr>
        <w:t xml:space="preserve">Instructor / staff enablement needs:</w:t>
      </w:r>
    </w:p>
    <w:p>
      <w:pPr>
        <w:spacing w:after="40" w:before="40"/>
      </w:pPr>
      <w:r>
        <w:rPr>
          <w:sz w:val="22"/>
          <w:szCs w:val="22"/>
        </w:rPr>
        <w:t xml:space="preserve">☐ </w:t>
      </w:r>
      <w:r>
        <w:rPr>
          <w:sz w:val="21"/>
          <w:szCs w:val="21"/>
        </w:rPr>
        <w:t xml:space="preserve">Instructor onboarding     </w:t>
      </w:r>
      <w:r>
        <w:rPr>
          <w:sz w:val="22"/>
          <w:szCs w:val="22"/>
        </w:rPr>
        <w:t xml:space="preserve">☐ </w:t>
      </w:r>
      <w:r>
        <w:rPr>
          <w:sz w:val="21"/>
          <w:szCs w:val="21"/>
        </w:rPr>
        <w:t xml:space="preserve">Admin / IT training     </w:t>
      </w:r>
      <w:r>
        <w:rPr>
          <w:sz w:val="22"/>
          <w:szCs w:val="22"/>
        </w:rPr>
        <w:t xml:space="preserve">☐ </w:t>
      </w:r>
      <w:r>
        <w:rPr>
          <w:sz w:val="21"/>
          <w:szCs w:val="21"/>
        </w:rPr>
        <w:t xml:space="preserve">Self-serve docs are enough     </w:t>
      </w:r>
    </w:p>
    <w:p>
      <w:pPr>
        <w:spacing w:after="60" w:before="120"/>
      </w:pPr>
      <w:r>
        <w:rPr>
          <w:sz w:val="21"/>
          <w:szCs w:val="21"/>
        </w:rPr>
        <w:t xml:space="preserve">Desired support level / response expectations:</w:t>
      </w:r>
    </w:p>
    <w:p>
      <w:pPr>
        <w:pBdr>
          <w:bottom w:val="single" w:color="BFBFBF" w:sz="4" w:space="1"/>
        </w:pBdr>
        <w:spacing w:after="90" w:before="90"/>
      </w:pPr>
      <w:r>
        <w:t xml:space="preserve"/>
      </w:r>
    </w:p>
    <w:p>
      <w:pPr>
        <w:spacing w:after="60" w:before="120"/>
      </w:pPr>
      <w:r>
        <w:rPr>
          <w:sz w:val="21"/>
          <w:szCs w:val="21"/>
        </w:rPr>
        <w:t xml:space="preserve">Target dates:</w:t>
      </w:r>
      <w:r>
        <w:rPr>
          <w:i/>
          <w:iCs/>
          <w:color w:val="595959"/>
          <w:sz w:val="18"/>
          <w:szCs w:val="18"/>
        </w:rPr>
        <w:t xml:space="preserve">  pilot term, full go-live, key deadlines</w:t>
      </w:r>
    </w:p>
    <w:p>
      <w:pPr>
        <w:pBdr>
          <w:bottom w:val="single" w:color="BFBFBF" w:sz="4" w:space="1"/>
        </w:pBdr>
        <w:spacing w:after="90" w:before="90"/>
      </w:pPr>
      <w:r>
        <w:t xml:space="preserve"/>
      </w:r>
    </w:p>
    <w:p>
      <w:pPr>
        <w:spacing w:after="60" w:before="120"/>
      </w:pPr>
      <w:r>
        <w:rPr>
          <w:sz w:val="21"/>
          <w:szCs w:val="21"/>
        </w:rPr>
        <w:t xml:space="preserve">What would make this a success for your program? (top 2–3 outcomes)</w:t>
      </w:r>
    </w:p>
    <w:p>
      <w:pPr>
        <w:pBdr>
          <w:bottom w:val="single" w:color="BFBFBF" w:sz="4" w:space="1"/>
        </w:pBdr>
        <w:spacing w:after="90" w:before="90"/>
      </w:pPr>
      <w:r>
        <w:t xml:space="preserve"/>
      </w:r>
    </w:p>
    <w:p>
      <w:pPr>
        <w:pBdr>
          <w:bottom w:val="single" w:color="BFBFBF" w:sz="4" w:space="1"/>
        </w:pBdr>
        <w:spacing w:after="90" w:before="90"/>
      </w:pPr>
      <w:r>
        <w:t xml:space="preserve"/>
      </w:r>
    </w:p>
    <w:p>
      <w:pPr>
        <w:pBdr>
          <w:bottom w:val="single" w:color="BFBFBF" w:sz="4" w:space="1"/>
        </w:pBdr>
        <w:spacing w:after="90" w:before="90"/>
      </w:pPr>
      <w:r>
        <w:t xml:space="preserve"/>
      </w:r>
    </w:p>
    <w:p>
      <w:pPr>
        <w:pStyle w:val="Heading1"/>
        <w:spacing w:after="120" w:before="300"/>
      </w:pPr>
      <w:r>
        <w:rPr>
          <w:b/>
          <w:bCs/>
          <w:color w:val="1F4E79"/>
          <w:sz w:val="26"/>
          <w:szCs w:val="26"/>
        </w:rPr>
        <w:t xml:space="preserve">10.  Commercial &amp; Next Steps</w:t>
      </w:r>
    </w:p>
    <w:p>
      <w:pPr>
        <w:spacing w:after="60" w:before="120"/>
      </w:pPr>
      <w:r>
        <w:rPr>
          <w:sz w:val="21"/>
          <w:szCs w:val="21"/>
        </w:rPr>
        <w:t xml:space="preserve">Preferred licensing model:</w:t>
      </w:r>
    </w:p>
    <w:p>
      <w:pPr>
        <w:spacing w:after="40" w:before="40"/>
      </w:pPr>
      <w:r>
        <w:rPr>
          <w:sz w:val="22"/>
          <w:szCs w:val="22"/>
        </w:rPr>
        <w:t xml:space="preserve">☐ </w:t>
      </w:r>
      <w:r>
        <w:rPr>
          <w:sz w:val="21"/>
          <w:szCs w:val="21"/>
        </w:rPr>
        <w:t xml:space="preserve">Per student / seat     </w:t>
      </w:r>
      <w:r>
        <w:rPr>
          <w:sz w:val="22"/>
          <w:szCs w:val="22"/>
        </w:rPr>
        <w:t xml:space="preserve">☐ </w:t>
      </w:r>
      <w:r>
        <w:rPr>
          <w:sz w:val="21"/>
          <w:szCs w:val="21"/>
        </w:rPr>
        <w:t xml:space="preserve">Per concurrent range     </w:t>
      </w:r>
    </w:p>
    <w:p>
      <w:pPr>
        <w:spacing w:after="40" w:before="40"/>
      </w:pPr>
      <w:r>
        <w:rPr>
          <w:sz w:val="22"/>
          <w:szCs w:val="22"/>
        </w:rPr>
        <w:t xml:space="preserve">☐ </w:t>
      </w:r>
      <w:r>
        <w:rPr>
          <w:sz w:val="21"/>
          <w:szCs w:val="21"/>
        </w:rPr>
        <w:t xml:space="preserve">Site / department license     </w:t>
      </w:r>
      <w:r>
        <w:rPr>
          <w:sz w:val="22"/>
          <w:szCs w:val="22"/>
        </w:rPr>
        <w:t xml:space="preserve">☐ </w:t>
      </w:r>
      <w:r>
        <w:rPr>
          <w:sz w:val="21"/>
          <w:szCs w:val="21"/>
        </w:rPr>
        <w:t xml:space="preserve">Not sure — advise us     </w:t>
      </w:r>
    </w:p>
    <w:p>
      <w:pPr>
        <w:spacing w:after="60" w:before="120"/>
      </w:pPr>
      <w:r>
        <w:rPr>
          <w:sz w:val="21"/>
          <w:szCs w:val="21"/>
        </w:rPr>
        <w:t xml:space="preserve">Approximate budget range and procurement process/timeline (optional):</w:t>
      </w:r>
    </w:p>
    <w:p>
      <w:pPr>
        <w:pBdr>
          <w:bottom w:val="single" w:color="BFBFBF" w:sz="4" w:space="1"/>
        </w:pBdr>
        <w:spacing w:after="90" w:before="90"/>
      </w:pPr>
      <w:r>
        <w:t xml:space="preserve"/>
      </w:r>
    </w:p>
    <w:p>
      <w:pPr>
        <w:pBdr>
          <w:bottom w:val="single" w:color="BFBFBF" w:sz="4" w:space="1"/>
        </w:pBdr>
        <w:spacing w:after="90" w:before="90"/>
      </w:pPr>
      <w:r>
        <w:t xml:space="preserve"/>
      </w:r>
    </w:p>
    <w:p>
      <w:pPr>
        <w:spacing w:after="60" w:before="120"/>
      </w:pPr>
      <w:r>
        <w:rPr>
          <w:sz w:val="21"/>
          <w:szCs w:val="21"/>
        </w:rPr>
        <w:t xml:space="preserve">Are you interested in a pilot for one course or term?</w:t>
      </w:r>
    </w:p>
    <w:p>
      <w:pPr>
        <w:spacing w:after="40" w:before="40"/>
      </w:pPr>
      <w:r>
        <w:rPr>
          <w:sz w:val="22"/>
          <w:szCs w:val="22"/>
        </w:rPr>
        <w:t xml:space="preserve">☐ </w:t>
      </w:r>
      <w:r>
        <w:rPr>
          <w:sz w:val="21"/>
          <w:szCs w:val="21"/>
        </w:rPr>
        <w:t xml:space="preserve">Yes     </w:t>
      </w:r>
      <w:r>
        <w:rPr>
          <w:sz w:val="22"/>
          <w:szCs w:val="22"/>
        </w:rPr>
        <w:t xml:space="preserve">☐ </w:t>
      </w:r>
      <w:r>
        <w:rPr>
          <w:sz w:val="21"/>
          <w:szCs w:val="21"/>
        </w:rPr>
        <w:t xml:space="preserve">Maybe     </w:t>
      </w:r>
      <w:r>
        <w:rPr>
          <w:sz w:val="22"/>
          <w:szCs w:val="22"/>
        </w:rPr>
        <w:t xml:space="preserve">☐ </w:t>
      </w:r>
      <w:r>
        <w:rPr>
          <w:sz w:val="21"/>
          <w:szCs w:val="21"/>
        </w:rPr>
        <w:t xml:space="preserve">Not yet     </w:t>
      </w:r>
    </w:p>
    <w:p>
      <w:pPr>
        <w:pBdr>
          <w:top w:val="single" w:color="1F4E79" w:sz="6" w:space="4"/>
        </w:pBdr>
        <w:spacing w:after="60" w:before="300"/>
      </w:pPr>
      <w:r>
        <w:rPr>
          <w:b/>
          <w:bCs/>
          <w:color w:val="1F4E79"/>
          <w:sz w:val="22"/>
          <w:szCs w:val="22"/>
        </w:rPr>
        <w:t xml:space="preserve">Thank you.</w:t>
      </w:r>
    </w:p>
    <w:p>
      <w:pPr>
        <w:spacing w:after="60"/>
      </w:pPr>
      <w:r>
        <w:rPr>
          <w:sz w:val="21"/>
          <w:szCs w:val="21"/>
        </w:rPr>
        <w:t xml:space="preserve">Please return this completed questionnaire to your CyberRange contact. We'll follow up with a tailored recommendation, a live demo, and a proposed pilot plan for your program.</w:t>
      </w:r>
    </w:p>
    <w:p>
      <w:r>
        <w:rPr>
          <w:i/>
          <w:iCs/>
          <w:color w:val="595959"/>
          <w:sz w:val="18"/>
          <w:szCs w:val="18"/>
        </w:rPr>
        <w:t xml:space="preserve">CyberRange  ·  Product &amp; Security Engineering  ·  cyberrange@votal.ai</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CyberRange — Academic Adoption Questionnaire</dc:title>
  <dc:creator>CyberRange</dc:creator>
  <cp:lastModifiedBy>Un-named</cp:lastModifiedBy>
  <cp:revision>1</cp:revision>
  <dcterms:created xsi:type="dcterms:W3CDTF">2026-07-22T00:08:18.312Z</dcterms:created>
  <dcterms:modified xsi:type="dcterms:W3CDTF">2026-07-22T00:08:18.313Z</dcterms:modified>
</cp:coreProperties>
</file>

<file path=docProps/custom.xml><?xml version="1.0" encoding="utf-8"?>
<Properties xmlns="http://schemas.openxmlformats.org/officeDocument/2006/custom-properties" xmlns:vt="http://schemas.openxmlformats.org/officeDocument/2006/docPropsVTypes"/>
</file>