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and enforces identity, least-privilege authorization, content guardrails, and data-protection policy on every request, then records an immutable, auditable trail of each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 (end to end)</w:t>
      </w:r>
    </w:p>
    <w:p>
      <w:pPr>
        <w:spacing w:after="120" w:before="0"/>
      </w:pPr>
      <w:r>
        <w:rPr>
          <w:b w:val="false"/>
          <w:bCs w:val="false"/>
          <w:i w:val="false"/>
          <w:iCs w:val="false"/>
          <w:color w:val="1A2230"/>
          <w:sz w:val="21"/>
          <w:szCs w:val="21"/>
        </w:rPr>
        <w:t xml:space="preserve">Every governed action passes through the same pipeline; each stage can allow, sanitize, or block, and every decision is logged.</w:t>
      </w:r>
    </w:p>
    <w:p>
      <w:pPr>
        <w:pStyle w:val="ListParagraph"/>
        <w:numPr>
          <w:ilvl w:val="0"/>
          <w:numId w:val="3"/>
        </w:numPr>
        <w:spacing w:after="60"/>
      </w:pPr>
      <w:r>
        <w:rPr>
          <w:color w:val="1A2230"/>
          <w:sz w:val="21"/>
          <w:szCs w:val="21"/>
        </w:rPr>
        <w:t xml:space="preserve">Input guardrails: screen the message (injection, PII, toxicity, topic, etc.).</w:t>
      </w:r>
    </w:p>
    <w:p>
      <w:pPr>
        <w:pStyle w:val="ListParagraph"/>
        <w:numPr>
          <w:ilvl w:val="0"/>
          <w:numId w:val="3"/>
        </w:numPr>
        <w:spacing w:after="60"/>
      </w:pPr>
      <w:r>
        <w:rPr>
          <w:color w:val="1A2230"/>
          <w:sz w:val="21"/>
          <w:szCs w:val="21"/>
        </w:rPr>
        <w:t xml:space="preserve">RBAC authorization: is this agent/role allowed to call this tool?</w:t>
      </w:r>
    </w:p>
    <w:p>
      <w:pPr>
        <w:pStyle w:val="ListParagraph"/>
        <w:numPr>
          <w:ilvl w:val="0"/>
          <w:numId w:val="3"/>
        </w:numPr>
        <w:spacing w:after="60"/>
      </w:pPr>
      <w:r>
        <w:rPr>
          <w:color w:val="1A2230"/>
          <w:sz w:val="21"/>
          <w:szCs w:val="21"/>
        </w:rPr>
        <w:t xml:space="preserve">Data-policy input check: redact or block sensitive fields in the arguments.</w:t>
      </w:r>
    </w:p>
    <w:p>
      <w:pPr>
        <w:pStyle w:val="ListParagraph"/>
        <w:numPr>
          <w:ilvl w:val="0"/>
          <w:numId w:val="3"/>
        </w:numPr>
        <w:spacing w:after="60"/>
      </w:pPr>
      <w:r>
        <w:rPr>
          <w:color w:val="1A2230"/>
          <w:sz w:val="21"/>
          <w:szCs w:val="21"/>
        </w:rPr>
        <w:t xml:space="preserve">Capability mint: issue a signed, single-use grant scoped to exactly one tool.</w:t>
      </w:r>
    </w:p>
    <w:p>
      <w:pPr>
        <w:pStyle w:val="ListParagraph"/>
        <w:numPr>
          <w:ilvl w:val="0"/>
          <w:numId w:val="3"/>
        </w:numPr>
        <w:spacing w:after="60"/>
      </w:pPr>
      <w:r>
        <w:rPr>
          <w:color w:val="1A2230"/>
          <w:sz w:val="21"/>
          <w:szCs w:val="21"/>
        </w:rPr>
        <w:t xml:space="preserve">Tool-side verify: confirm signature, expiry; burn the one-time nonce.</w:t>
      </w:r>
    </w:p>
    <w:p>
      <w:pPr>
        <w:pStyle w:val="ListParagraph"/>
        <w:numPr>
          <w:ilvl w:val="0"/>
          <w:numId w:val="3"/>
        </w:numPr>
        <w:spacing w:after="60"/>
      </w:pPr>
      <w:r>
        <w:rPr>
          <w:color w:val="1A2230"/>
          <w:sz w:val="21"/>
          <w:szCs w:val="21"/>
        </w:rPr>
        <w:t xml:space="preserve">Tool executes: only if every prior stage passed.</w:t>
      </w:r>
    </w:p>
    <w:p>
      <w:pPr>
        <w:pStyle w:val="ListParagraph"/>
        <w:numPr>
          <w:ilvl w:val="0"/>
          <w:numId w:val="3"/>
        </w:numPr>
        <w:spacing w:after="60"/>
      </w:pPr>
      <w:r>
        <w:rPr>
          <w:color w:val="1A2230"/>
          <w:sz w:val="21"/>
          <w:szCs w:val="21"/>
        </w:rPr>
        <w:t xml:space="preserve">Data-policy output check and output guardrails: sanitize/redact the response.</w:t>
      </w:r>
    </w:p>
    <w:p>
      <w:pPr>
        <w:pStyle w:val="ListParagraph"/>
        <w:numPr>
          <w:ilvl w:val="0"/>
          <w:numId w:val="3"/>
        </w:numPr>
        <w:spacing w:after="60"/>
      </w:pPr>
      <w:r>
        <w:rPr>
          <w:color w:val="1A2230"/>
          <w:sz w:val="21"/>
          <w:szCs w:val="21"/>
        </w:rPr>
        <w:t xml:space="preserve">Audit, telemetry and SIEM: record who, what, when, and the decision.</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bl>
    <w:p>
      <w:pPr>
        <w:spacing w:after="120" w:before="0"/>
      </w:pPr>
      <w:r>
        <w:rPr>
          <w:b w:val="false"/>
          <w:bCs w:val="false"/>
          <w:i w:val="false"/>
          <w:iCs w:val="false"/>
          <w:color w:val="1A2230"/>
          <w:sz w:val="21"/>
          <w:szCs w:val="21"/>
        </w:rPr>
        <w:t xml:space="preserve">Other supported providers: Anthropic, Azure OpenAI, OpenRouter (any model), HuggingFace endpoints, and any custom OpenAI-compatible gateway (LiteLLM, vLLM, Ollama). Attack-generation and judge models can be chosen independently of the target.</w:t>
      </w:r>
    </w:p>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Policy registry: registered use cases</w:t>
      </w:r>
    </w:p>
    <w:p>
      <w:pPr>
        <w:spacing w:after="120" w:before="0"/>
      </w:pPr>
      <w:r>
        <w:rPr>
          <w:b w:val="false"/>
          <w:bCs w:val="false"/>
          <w:i w:val="false"/>
          <w:iCs w:val="false"/>
          <w:color w:val="1A2230"/>
          <w:sz w:val="21"/>
          <w:szCs w:val="21"/>
        </w:rPr>
        <w:t xml:space="preserve">Each use case is registered in the per-tenant policy registry with an agent identity, a policy ID, the controls enabled, and a test status. The table below is an illustrative registry inventory; the live registry is browsable in the tenant portal and via API.</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400"/>
        <w:gridCol w:w="1750"/>
        <w:gridCol w:w="1250"/>
        <w:gridCol w:w="2660"/>
        <w:gridCol w:w="1300"/>
      </w:tblGrid>
      <w:tr>
        <w:trPr>
          <w:tblHeader/>
        </w:trPr>
        <w:tc>
          <w:tcPr>
            <w:tcW w:type="dxa" w:w="2400"/>
            <w:shd w:fill="16213E" w:val="clear"/>
            <w:tcMar>
              <w:top w:type="dxa" w:w="50"/>
              <w:left w:type="dxa" w:w="110"/>
              <w:bottom w:type="dxa" w:w="50"/>
              <w:right w:type="dxa" w:w="110"/>
            </w:tcMar>
            <w:vAlign w:val="center"/>
          </w:tcPr>
          <w:p>
            <w:r>
              <w:rPr>
                <w:b/>
                <w:bCs/>
                <w:color w:val="FFFFFF"/>
                <w:sz w:val="18"/>
                <w:szCs w:val="18"/>
              </w:rPr>
              <w:t xml:space="preserve">Use case</w:t>
            </w:r>
          </w:p>
        </w:tc>
        <w:tc>
          <w:tcPr>
            <w:tcW w:type="dxa" w:w="1750"/>
            <w:shd w:fill="16213E" w:val="clear"/>
            <w:tcMar>
              <w:top w:type="dxa" w:w="50"/>
              <w:left w:type="dxa" w:w="110"/>
              <w:bottom w:type="dxa" w:w="50"/>
              <w:right w:type="dxa" w:w="110"/>
            </w:tcMar>
            <w:vAlign w:val="center"/>
          </w:tcPr>
          <w:p>
            <w:r>
              <w:rPr>
                <w:b/>
                <w:bCs/>
                <w:color w:val="FFFFFF"/>
                <w:sz w:val="18"/>
                <w:szCs w:val="18"/>
              </w:rPr>
              <w:t xml:space="preserve">Agent</w:t>
            </w:r>
          </w:p>
        </w:tc>
        <w:tc>
          <w:tcPr>
            <w:tcW w:type="dxa" w:w="1250"/>
            <w:shd w:fill="16213E" w:val="clear"/>
            <w:tcMar>
              <w:top w:type="dxa" w:w="50"/>
              <w:left w:type="dxa" w:w="110"/>
              <w:bottom w:type="dxa" w:w="50"/>
              <w:right w:type="dxa" w:w="110"/>
            </w:tcMar>
            <w:vAlign w:val="center"/>
          </w:tcPr>
          <w:p>
            <w:r>
              <w:rPr>
                <w:b/>
                <w:bCs/>
                <w:color w:val="FFFFFF"/>
                <w:sz w:val="18"/>
                <w:szCs w:val="18"/>
              </w:rPr>
              <w:t xml:space="preserve">Policy ID</w:t>
            </w:r>
          </w:p>
        </w:tc>
        <w:tc>
          <w:tcPr>
            <w:tcW w:type="dxa" w:w="2660"/>
            <w:shd w:fill="16213E" w:val="clear"/>
            <w:tcMar>
              <w:top w:type="dxa" w:w="50"/>
              <w:left w:type="dxa" w:w="110"/>
              <w:bottom w:type="dxa" w:w="50"/>
              <w:right w:type="dxa" w:w="110"/>
            </w:tcMar>
            <w:vAlign w:val="center"/>
          </w:tcPr>
          <w:p>
            <w:r>
              <w:rPr>
                <w:b/>
                <w:bCs/>
                <w:color w:val="FFFFFF"/>
                <w:sz w:val="18"/>
                <w:szCs w:val="18"/>
              </w:rPr>
              <w:t xml:space="preserve">Controls enabled</w:t>
            </w:r>
          </w:p>
        </w:tc>
        <w:tc>
          <w:tcPr>
            <w:tcW w:type="dxa" w:w="1300"/>
            <w:shd w:fill="16213E" w:val="clear"/>
            <w:tcMar>
              <w:top w:type="dxa" w:w="50"/>
              <w:left w:type="dxa" w:w="110"/>
              <w:bottom w:type="dxa" w:w="50"/>
              <w:right w:type="dxa" w:w="110"/>
            </w:tcMar>
            <w:vAlign w:val="center"/>
          </w:tcPr>
          <w:p>
            <w:r>
              <w:rPr>
                <w:b/>
                <w:bCs/>
                <w:color w:val="FFFFFF"/>
                <w:sz w:val="18"/>
                <w:szCs w:val="18"/>
              </w:rPr>
              <w:t xml:space="preserve">Test</w:t>
            </w:r>
          </w:p>
        </w:tc>
      </w:tr>
      <w:tr>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HR salary update</w:t>
            </w:r>
          </w:p>
        </w:tc>
        <w:tc>
          <w:tcPr>
            <w:tcW w:type="dxa" w:w="175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1250"/>
            <w:shd w:fill="FFFFFF" w:val="clear"/>
            <w:tcMar>
              <w:top w:type="dxa" w:w="50"/>
              <w:left w:type="dxa" w:w="110"/>
              <w:bottom w:type="dxa" w:w="50"/>
              <w:right w:type="dxa" w:w="110"/>
            </w:tcMar>
            <w:vAlign w:val="center"/>
          </w:tcPr>
          <w:p>
            <w:r>
              <w:rPr>
                <w:b w:val="false"/>
                <w:bCs w:val="false"/>
                <w:color w:val="1A2230"/>
                <w:sz w:val="18"/>
                <w:szCs w:val="18"/>
              </w:rPr>
              <w:t xml:space="preserve">POL-HR-001</w:t>
            </w:r>
          </w:p>
        </w:tc>
        <w:tc>
          <w:tcPr>
            <w:tcW w:type="dxa" w:w="2660"/>
            <w:shd w:fill="FFFFFF" w:val="clear"/>
            <w:tcMar>
              <w:top w:type="dxa" w:w="50"/>
              <w:left w:type="dxa" w:w="110"/>
              <w:bottom w:type="dxa" w:w="50"/>
              <w:right w:type="dxa" w:w="110"/>
            </w:tcMar>
            <w:vAlign w:val="center"/>
          </w:tcPr>
          <w:p>
            <w:r>
              <w:rPr>
                <w:b w:val="false"/>
                <w:bCs w:val="false"/>
                <w:color w:val="1A2230"/>
                <w:sz w:val="18"/>
                <w:szCs w:val="18"/>
              </w:rPr>
              <w:t xml:space="preserve">RBAC, PII, capability token, audit</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Banking assistant topic restriction</w:t>
            </w:r>
          </w:p>
        </w:tc>
        <w:tc>
          <w:tcPr>
            <w:tcW w:type="dxa" w:w="1750"/>
            <w:shd w:fill="EEF3FA"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1250"/>
            <w:shd w:fill="EEF3FA" w:val="clear"/>
            <w:tcMar>
              <w:top w:type="dxa" w:w="50"/>
              <w:left w:type="dxa" w:w="110"/>
              <w:bottom w:type="dxa" w:w="50"/>
              <w:right w:type="dxa" w:w="110"/>
            </w:tcMar>
            <w:vAlign w:val="center"/>
          </w:tcPr>
          <w:p>
            <w:r>
              <w:rPr>
                <w:b w:val="false"/>
                <w:bCs w:val="false"/>
                <w:color w:val="1A2230"/>
                <w:sz w:val="18"/>
                <w:szCs w:val="18"/>
              </w:rPr>
              <w:t xml:space="preserve">POL-BNK-002</w:t>
            </w:r>
          </w:p>
        </w:tc>
        <w:tc>
          <w:tcPr>
            <w:tcW w:type="dxa" w:w="2660"/>
            <w:shd w:fill="EEF3FA" w:val="clear"/>
            <w:tcMar>
              <w:top w:type="dxa" w:w="50"/>
              <w:left w:type="dxa" w:w="110"/>
              <w:bottom w:type="dxa" w:w="50"/>
              <w:right w:type="dxa" w:w="110"/>
            </w:tcMar>
            <w:vAlign w:val="center"/>
          </w:tcPr>
          <w:p>
            <w:r>
              <w:rPr>
                <w:b w:val="false"/>
                <w:bCs w:val="false"/>
                <w:color w:val="1A2230"/>
                <w:sz w:val="18"/>
                <w:szCs w:val="18"/>
              </w:rPr>
              <w:t xml:space="preserve">Topic restriction, injection, toxicity</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External Claude gateway</w:t>
            </w:r>
          </w:p>
        </w:tc>
        <w:tc>
          <w:tcPr>
            <w:tcW w:type="dxa" w:w="1750"/>
            <w:shd w:fill="FFFFFF" w:val="clear"/>
            <w:tcMar>
              <w:top w:type="dxa" w:w="50"/>
              <w:left w:type="dxa" w:w="110"/>
              <w:bottom w:type="dxa" w:w="50"/>
              <w:right w:type="dxa" w:w="110"/>
            </w:tcMar>
            <w:vAlign w:val="center"/>
          </w:tcPr>
          <w:p>
            <w:r>
              <w:rPr>
                <w:b w:val="false"/>
                <w:bCs w:val="false"/>
                <w:color w:val="1A2230"/>
                <w:sz w:val="18"/>
                <w:szCs w:val="18"/>
              </w:rPr>
              <w:t xml:space="preserve">external-model-agent</w:t>
            </w:r>
          </w:p>
        </w:tc>
        <w:tc>
          <w:tcPr>
            <w:tcW w:type="dxa" w:w="1250"/>
            <w:shd w:fill="FFFFFF" w:val="clear"/>
            <w:tcMar>
              <w:top w:type="dxa" w:w="50"/>
              <w:left w:type="dxa" w:w="110"/>
              <w:bottom w:type="dxa" w:w="50"/>
              <w:right w:type="dxa" w:w="110"/>
            </w:tcMar>
            <w:vAlign w:val="center"/>
          </w:tcPr>
          <w:p>
            <w:r>
              <w:rPr>
                <w:b w:val="false"/>
                <w:bCs w:val="false"/>
                <w:color w:val="1A2230"/>
                <w:sz w:val="18"/>
                <w:szCs w:val="18"/>
              </w:rPr>
              <w:t xml:space="preserve">POL-EXT-003</w:t>
            </w:r>
          </w:p>
        </w:tc>
        <w:tc>
          <w:tcPr>
            <w:tcW w:type="dxa" w:w="2660"/>
            <w:shd w:fill="FFFFFF" w:val="clear"/>
            <w:tcMar>
              <w:top w:type="dxa" w:w="50"/>
              <w:left w:type="dxa" w:w="110"/>
              <w:bottom w:type="dxa" w:w="50"/>
              <w:right w:type="dxa" w:w="110"/>
            </w:tcMar>
            <w:vAlign w:val="center"/>
          </w:tcPr>
          <w:p>
            <w:r>
              <w:rPr>
                <w:b w:val="false"/>
                <w:bCs w:val="false"/>
                <w:color w:val="1A2230"/>
                <w:sz w:val="18"/>
                <w:szCs w:val="18"/>
              </w:rPr>
              <w:t xml:space="preserve">Input/output guardrails, PII redaction, audit</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Passed</w:t>
            </w:r>
          </w:p>
        </w:tc>
      </w:tr>
      <w:tr>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Healthcare records (OIDC roles)</w:t>
            </w:r>
          </w:p>
        </w:tc>
        <w:tc>
          <w:tcPr>
            <w:tcW w:type="dxa" w:w="175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1250"/>
            <w:shd w:fill="EEF3FA" w:val="clear"/>
            <w:tcMar>
              <w:top w:type="dxa" w:w="50"/>
              <w:left w:type="dxa" w:w="110"/>
              <w:bottom w:type="dxa" w:w="50"/>
              <w:right w:type="dxa" w:w="110"/>
            </w:tcMar>
            <w:vAlign w:val="center"/>
          </w:tcPr>
          <w:p>
            <w:r>
              <w:rPr>
                <w:b w:val="false"/>
                <w:bCs w:val="false"/>
                <w:color w:val="1A2230"/>
                <w:sz w:val="18"/>
                <w:szCs w:val="18"/>
              </w:rPr>
              <w:t xml:space="preserve">POL-HLT-004</w:t>
            </w:r>
          </w:p>
        </w:tc>
        <w:tc>
          <w:tcPr>
            <w:tcW w:type="dxa" w:w="2660"/>
            <w:shd w:fill="EEF3FA" w:val="clear"/>
            <w:tcMar>
              <w:top w:type="dxa" w:w="50"/>
              <w:left w:type="dxa" w:w="110"/>
              <w:bottom w:type="dxa" w:w="50"/>
              <w:right w:type="dxa" w:w="110"/>
            </w:tcMar>
            <w:vAlign w:val="center"/>
          </w:tcPr>
          <w:p>
            <w:r>
              <w:rPr>
                <w:b w:val="false"/>
                <w:bCs w:val="false"/>
                <w:color w:val="1A2230"/>
                <w:sz w:val="18"/>
                <w:szCs w:val="18"/>
              </w:rPr>
              <w:t xml:space="preserve">RBAC by role, PII, output sanitization, audit</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Passed</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At runtime, every invocation is authorized against that matrix before execution. For high-assurance actions, Shield additionally issues a signed, single-use capability token scoped to exactly one tool,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headers: X-Agent-Key: people-ops-agent,</w:t>
            </w:r>
          </w:p>
          <w:p>
            <w:pPr>
              <w:spacing w:after="0" w:line="230"/>
            </w:pPr>
            <w:r>
              <w:rPr>
                <w:rFonts w:ascii="Courier New" w:cs="Courier New" w:eastAsia="Courier New" w:hAnsi="Courier New"/>
                <w:noProof/>
                <w:color w:val="24303F"/>
                <w:sz w:val="16"/>
                <w:szCs w:val="16"/>
              </w:rPr>
              <w:t xml:space="preserve">           X-User-Role: hr_admin</w:t>
            </w:r>
          </w:p>
          <w:p>
            <w:pPr>
              <w:spacing w:after="0" w:line="230"/>
            </w:pPr>
            <w:r>
              <w:rPr>
                <w:rFonts w:ascii="Courier New" w:cs="Courier New" w:eastAsia="Courier New" w:hAnsi="Courier New"/>
                <w:noProof/>
                <w:color w:val="24303F"/>
                <w:sz w:val="16"/>
                <w:szCs w:val="16"/>
              </w:rPr>
              <w:t xml:space="preserve">  body:    { "tool_name": "update_salary"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body:    { "tool_name": "delete_records"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models/providers.</w:t>
      </w:r>
    </w:p>
    <w:p>
      <w:pPr>
        <w:pStyle w:val="ListParagraph"/>
        <w:numPr>
          <w:ilvl w:val="0"/>
          <w:numId w:val="2"/>
        </w:numPr>
        <w:spacing w:after="70"/>
      </w:pPr>
      <w:r>
        <w:rPr>
          <w:b/>
          <w:bCs/>
          <w:color w:val="1A2230"/>
          <w:sz w:val="21"/>
          <w:szCs w:val="21"/>
        </w:rPr>
        <w:t xml:space="preserve">Granular control: </w:t>
      </w:r>
      <w:r>
        <w:rPr>
          <w:color w:val="1A2230"/>
          <w:sz w:val="21"/>
          <w:szCs w:val="21"/>
        </w:rPr>
        <w:t xml:space="preserve">Per-model and per-tenant policy is supported, so different models can carry different controls.</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/v1/.../killswitch</w:t>
            </w:r>
          </w:p>
          <w:p>
            <w:pPr>
              <w:spacing w:after="0" w:line="230"/>
            </w:pPr>
            <w:r>
              <w:rPr>
                <w:rFonts w:ascii="Courier New" w:cs="Courier New" w:eastAsia="Courier New" w:hAnsi="Courier New"/>
                <w:noProof/>
                <w:color w:val="24303F"/>
                <w:sz w:val="16"/>
                <w:szCs w:val="16"/>
              </w:rPr>
              <w:t xml:space="preserve">  { "tool_name": "update_salary", "action": "disable"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2026-06-18T20:47:05.426Z</dcterms:created>
  <dcterms:modified xsi:type="dcterms:W3CDTF">2026-06-18T20:47:05.435Z</dcterms:modified>
</cp:coreProperties>
</file>

<file path=docProps/custom.xml><?xml version="1.0" encoding="utf-8"?>
<Properties xmlns="http://schemas.openxmlformats.org/officeDocument/2006/custom-properties" xmlns:vt="http://schemas.openxmlformats.org/officeDocument/2006/docPropsVTypes"/>
</file>