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1A2E5A"/>
          <w:sz w:val="34"/>
        </w:rPr>
        <w:t>2026년 1분기 구매·경비 정기감사 결과보고서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ABC 제조(주) 감사실</w:t>
      </w:r>
    </w:p>
    <w:p>
      <w:pPr>
        <w:spacing w:after="200"/>
      </w:pPr>
      <w:r>
        <w:rPr>
          <w:rFonts w:ascii="맑은 고딕" w:hAnsi="맑은 고딕" w:eastAsia="맑은 고딕"/>
          <w:b w:val="0"/>
          <w:i/>
          <w:color w:val="555555"/>
          <w:sz w:val="19"/>
        </w:rPr>
        <w:t>본 자료는 실습용 가상 데이터이며 실재 인물·기관·거래와 무관하다.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본 보고서는 실습용 정답지로 작성한 완성형 감사결과보고서다. 발견사항은 기준·현황·원인·결과·개선권고의 5C 구조로 기술하며, 보고 품질은 국제내부감사기준(GIAS) 표준 11.2의 일곱 특성을 준거로 한다.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1. 감사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7087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감사명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2026년 1분기 구매·경비 정기감사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감사 근거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ABC 제조(주) 내부감사규정 제8조(정기감사)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감사 대상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구매팀·총무팀·영업팀의 2026년 1분기(1~3월) 구매·경비 집행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감사 기간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2026.04.06 ~ 2026.04.24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감사반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감사팀장 김감사 외 감사역 2명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보고일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2026.05.08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2. 감사 범위 및 방법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감사 대상은 위험 기반으로 선정하였다. 전분기 지적 이력, 거래 규모, 통제 취약성을 기준으로 구매·경비 영역을 우선순위에 두었다. 분석은 전수 점검과 표본 점검을 병행하였다.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294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적용 대상</w:t>
            </w:r>
          </w:p>
        </w:tc>
        <w:tc>
          <w:tcPr>
            <w:tcW w:type="dxa" w:w="4309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전수 점검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법인카드 사용내역·수의계약 대장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1분기 전건에 이상거래 규칙을 일괄 적용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벤포드 분석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경비 지출 금액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첫째 자리 숫자 분포를 기대치와 대조해 확인 대상 선별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표본 점검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접대비 정산 증빙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위험 기준 표본을 추출해 증빙 요건 대조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벤포드 분석과 규칙 기반 선별 결과는 확인 대상을 좁히는 신호이며, 부적정 여부는 감사인이 원자료·증빙과 대조해 확정하였다.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3. 발견사항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발견 1. 유사 용역의 분할 수의계약으로 인한 경쟁입찰 회피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5C</w:t>
            </w:r>
          </w:p>
        </w:tc>
        <w:tc>
          <w:tcPr>
            <w:tcW w:type="dxa" w:w="6860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기준(Criteria)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구매규정 제15조: 동일·유사 용역의 합산 금액이 5,000만원 이상이면 경쟁입찰을 원칙으로 한다. 제16조: 목적·대상이 유사한 반복 용역은 합산 검토한다.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현황(Condition)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구매팀은 물류 위탁 용역 3건을 동일 업체(세종물류(주))와 각 4,700만·4,800만·4,900만원에 수의계약으로 체결하였다. 계약은 1~3월 약 1개월 간격이며 합산 시 1억 4,400만원이다. 경쟁입찰 검토 기록은 확인되지 않았다.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원인(Cause)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유사 용역의 분기 합산 점검이 계약 건별 처리 절차에 반영되지 않았고, 반복 발주를 합산해 경보하는 통제가 없었다.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결과(Consequence)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경쟁입찰을 통한 가격 검증 기회가 상실되고 특정 업체 편중이 발생하였다.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개선권고(Corrective action)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동일·유사 용역의 분기 합산 점검 절차를 신설하고, 수의계약 대장에 합산 한도 경보 기준을 반영한다.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발견 2. 법인카드 제한 업종·비업무시간 사용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5C</w:t>
            </w:r>
          </w:p>
        </w:tc>
        <w:tc>
          <w:tcPr>
            <w:tcW w:type="dxa" w:w="6860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기준(Criteria)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법인카드 관리규정 제7조: 유흥업종 등 제한 업종 사용을 금지한다. 제9조: 사용 목적을 사전 등록하고 업무시간 내 사용을 원칙으로 한다.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현황(Condition)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1분기 법인카드 사용내역 전수 점검 결과, 유흥업종 결제 4건과 심야·주말 사용 9건이 확인되었다. 해당 거래에는 사용 목적 사전 등록과 증빙이 미비하였다.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원인(Cause)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제한 업종 결제를 차단·경보하는 통제가 없었고, 사용 목적의 사후 점검이 형식에 그쳤다.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결과(Consequence)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업무 무관 지출 위험이 상존하고 경비 통제의 신뢰성이 저하되었다.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개선권고(Corrective action)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제한 업종 결제 자동 차단·경보를 도입하고, 심야·주말 사용에 대한 사유 등록을 의무화한다.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발견 3. 접대비 증빙 미비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5C</w:t>
            </w:r>
          </w:p>
        </w:tc>
        <w:tc>
          <w:tcPr>
            <w:tcW w:type="dxa" w:w="6860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기준(Criteria)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경비처리규정 제12조: 접대비는 참석자·목적을 기재하고 적격증빙을 첨부한다.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현황(Condition)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접대비 표본 20건 중 6건에서 참석자·목적 기재가 누락되었고, 이 중 3건은 적격증빙이 첨부되지 않았다.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원인(Cause)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증빙 요건 안내와 정산 단계 검증이 미흡하였다.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결과(Consequence)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손금 부인 위험이 있고 지출의 업무 관련성을 입증하기 어렵다.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개선권고(Corrective action)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접대비 정산 시 참석자·목적을 필수 입력 항목으로 두고, 적격증빙 확인 절차를 정산 통제에 포함한다.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4. 리스크 요약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발견사항의 위험등급은 영향도와 발생 가능성을 각각 세 단계로 평가해 부여하였다.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3742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발견</w:t>
            </w:r>
          </w:p>
        </w:tc>
        <w:tc>
          <w:tcPr>
            <w:tcW w:type="dxa" w:w="170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영향도</w:t>
            </w:r>
          </w:p>
        </w:tc>
        <w:tc>
          <w:tcPr>
            <w:tcW w:type="dxa" w:w="181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발생 가능성</w:t>
            </w:r>
          </w:p>
        </w:tc>
        <w:tc>
          <w:tcPr>
            <w:tcW w:type="dxa" w:w="164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위험등급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발견 1 분할 수의계약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High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발견 2 법인카드 부적절 사용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High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발견 3 접대비 증빙 미비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Medium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5. 개선 권고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5102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권고</w:t>
            </w:r>
          </w:p>
        </w:tc>
        <w:tc>
          <w:tcPr>
            <w:tcW w:type="dxa" w:w="198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 부서</w:t>
            </w:r>
          </w:p>
        </w:tc>
        <w:tc>
          <w:tcPr>
            <w:tcW w:type="dxa" w:w="181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이행 기한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유사 용역 분기 합산 점검 절차 신설 및 대장 경보 반영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구매팀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2026.06.30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제한 업종 자동 차단·경보 및 심야·주말 사용 사유 등록 의무화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총무팀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2026.07.31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접대비 정산 필수 입력 항목 및 적격증빙 확인 통제 보완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영업팀·재무팀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2026.06.30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6. 피감부서 의견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구매팀은 합산 점검 절차의 필요성에 동의하며 대장 시스템 반영을 6월 중 완료하겠다는 의견을 제시하였다. 총무팀은 제한 업종 차단 기능의 시스템 개발 일정을 고려해 이행 기한 연장을 협의 요청하였다. 영업팀은 증빙 요건을 재안내하고 정산 통제 보완에 협조하겠다고 회신하였다.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7. 결론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1분기 구매·경비 집행에서 분할 수의계약, 법인카드 부적절 사용, 접대비 증빙 미비 세 건이 확인되었다. 세 건 모두 통제 절차의 공백 또는 실효성 부족에서 비롯되었으며, 개선권고는 확인된 원인에 대응하도록 작성하였다. 본 보고서의 개선권고는 사후관리 대장으로 이관하여 이행 기한, 담당 부서, 증빙, 상태를 기준으로 상시 점검한다. 조치 완료 회신과 개선 효과 확인은 구분하여, 통제 신설 이후의 실제 기록으로 효과를 검증한다.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