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color w:val="1A2E5A"/>
          <w:sz w:val="34"/>
        </w:rPr>
        <w:t>소프트웨어 개발 용역계약서</w:t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color w:val="555555"/>
          <w:sz w:val="22"/>
        </w:rPr>
        <w:t>○○행정시스템 구축 용역</w:t>
      </w:r>
    </w:p>
    <w:p>
      <w:pPr>
        <w:spacing w:after="200"/>
      </w:pPr>
      <w:r>
        <w:rPr>
          <w:rFonts w:ascii="맑은 고딕" w:hAnsi="맑은 고딕" w:eastAsia="맑은 고딕"/>
          <w:b w:val="0"/>
          <w:i/>
          <w:color w:val="555555"/>
          <w:sz w:val="19"/>
        </w:rPr>
        <w:t>본 자료는 실습용 가상 데이터이며 실재 인물·기관·거래와 무관하다.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555555"/>
          <w:sz w:val="20"/>
        </w:rPr>
        <w:t>발주자(갑) 관점의 계약 검토 실습용 계약서다. 본문에 발주자에게 불리한 위험조항 일곱 개를 삽입하고, 각 조항 아래에 ⚠ [실습포인트] 주석을, 말미에 위험조항 목록표를 두어 정답을 표시하였다. 실전 검토에서는 정답 표시를 가린 뒤 조항을 스스로 식별한다.</w:t>
      </w:r>
    </w:p>
    <w:p>
      <w:pPr>
        <w:spacing w:after="160"/>
      </w:pPr>
      <w:r>
        <w:rPr>
          <w:rFonts w:ascii="맑은 고딕" w:hAnsi="맑은 고딕" w:eastAsia="맑은 고딕"/>
          <w:b w:val="0"/>
          <w:i w:val="0"/>
          <w:sz w:val="21"/>
        </w:rPr>
        <w:t>발주자 ○○행정기관(이하 "갑")과 수급자 주식회사 테크솔루션즈(이하 "을")는 ○○행정시스템 개발 용역에 관하여 다음과 같이 계약을 체결한다.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2"/>
        </w:rPr>
        <w:t>제1조 (목적)</w:t>
      </w:r>
    </w:p>
    <w:p>
      <w:pPr>
        <w:spacing w:after="40"/>
        <w:ind w:left="170"/>
      </w:pPr>
      <w:r>
        <w:rPr>
          <w:rFonts w:ascii="맑은 고딕" w:hAnsi="맑은 고딕" w:eastAsia="맑은 고딕"/>
          <w:sz w:val="21"/>
        </w:rPr>
        <w:t>본 계약은 갑이 을에게 ○○행정시스템의 설계·개발·시험·이관 용역을 위탁하고 그 대가를 지급하는 데 필요한 사항을 정함을 목적으로 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2"/>
        </w:rPr>
        <w:t>제2조 (계약금액)</w:t>
      </w:r>
    </w:p>
    <w:p>
      <w:pPr>
        <w:spacing w:after="40"/>
        <w:ind w:left="170"/>
      </w:pPr>
      <w:r>
        <w:rPr>
          <w:rFonts w:ascii="맑은 고딕" w:hAnsi="맑은 고딕" w:eastAsia="맑은 고딕"/>
          <w:sz w:val="21"/>
        </w:rPr>
        <w:t>계약금액은 금 일억이천만원정(₩120,000,000, 부가가치세 포함)으로 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2"/>
        </w:rPr>
        <w:t>제3조 (계약기간)</w:t>
      </w:r>
    </w:p>
    <w:p>
      <w:pPr>
        <w:spacing w:after="40"/>
        <w:ind w:left="170"/>
      </w:pPr>
      <w:r>
        <w:rPr>
          <w:rFonts w:ascii="맑은 고딕" w:hAnsi="맑은 고딕" w:eastAsia="맑은 고딕"/>
          <w:sz w:val="21"/>
        </w:rPr>
        <w:t>계약기간은 2026년 5월 1일부터 2026년 12월 31일까지로 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2"/>
        </w:rPr>
        <w:t>제4조 (산출물 및 검수)</w:t>
      </w:r>
    </w:p>
    <w:p>
      <w:pPr>
        <w:spacing w:after="40"/>
        <w:ind w:left="170"/>
      </w:pPr>
      <w:r>
        <w:rPr>
          <w:rFonts w:ascii="맑은 고딕" w:hAnsi="맑은 고딕" w:eastAsia="맑은 고딕"/>
          <w:sz w:val="21"/>
        </w:rPr>
        <w:t>을은 요구사항 명세서에 따른 산출물을 납품하고, 갑은 납품일로부터 14일 이내에 검수한다.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2"/>
        </w:rPr>
        <w:t>제5조 (저작권)</w:t>
      </w:r>
    </w:p>
    <w:p>
      <w:pPr>
        <w:spacing w:after="40"/>
        <w:ind w:left="170"/>
      </w:pPr>
      <w:r>
        <w:rPr>
          <w:rFonts w:ascii="맑은 고딕" w:hAnsi="맑은 고딕" w:eastAsia="맑은 고딕"/>
          <w:sz w:val="21"/>
        </w:rPr>
        <w:t>본 용역으로 개발된 소프트웨어 및 산출물의 저작권은 을에게 귀속한다. 갑은 을이 허락한 범위에서만 산출물을 사용할 수 있다.</w:t>
      </w:r>
    </w:p>
    <w:p>
      <w:pPr>
        <w:spacing w:after="80"/>
        <w:ind w:left="170"/>
      </w:pPr>
      <w:r>
        <w:rPr>
          <w:rFonts w:ascii="맑은 고딕" w:hAnsi="맑은 고딕" w:eastAsia="맑은 고딕"/>
          <w:b/>
          <w:color w:val="B00000"/>
          <w:sz w:val="20"/>
        </w:rPr>
        <w:t xml:space="preserve">⚠ [실습포인트] </w:t>
      </w:r>
      <w:r>
        <w:rPr>
          <w:rFonts w:ascii="맑은 고딕" w:hAnsi="맑은 고딕" w:eastAsia="맑은 고딕"/>
          <w:b w:val="0"/>
          <w:i/>
          <w:color w:val="B00000"/>
          <w:sz w:val="20"/>
        </w:rPr>
        <w:t>산출물 저작권이 을에게 귀속되어 발주자가 자기 비용으로 개발한 시스템을 자유롭게 사용·개작·재위탁하지 못한다. 발주자 귀속 또는 공동 귀속으로 조정이 필요하다.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2"/>
        </w:rPr>
        <w:t>제6조 (대금 지급)</w:t>
      </w:r>
    </w:p>
    <w:p>
      <w:pPr>
        <w:spacing w:after="40"/>
        <w:ind w:left="170"/>
      </w:pPr>
      <w:r>
        <w:rPr>
          <w:rFonts w:ascii="맑은 고딕" w:hAnsi="맑은 고딕" w:eastAsia="맑은 고딕"/>
          <w:sz w:val="21"/>
        </w:rPr>
        <w:t>갑은 검수 완료 후 30일 이내에 계약금액을 을에게 지급한다.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2"/>
        </w:rPr>
        <w:t>제7조 (계약의 해지)</w:t>
      </w:r>
    </w:p>
    <w:p>
      <w:pPr>
        <w:spacing w:after="40"/>
        <w:ind w:left="170"/>
      </w:pPr>
      <w:r>
        <w:rPr>
          <w:rFonts w:ascii="맑은 고딕" w:hAnsi="맑은 고딕" w:eastAsia="맑은 고딕"/>
          <w:sz w:val="21"/>
        </w:rPr>
        <w:t>을은 갑에게 30일 전 서면 통지로 본 계약을 해지할 수 있다. 갑의 해지에 관하여는 별도로 정하지 아니한다.</w:t>
      </w:r>
    </w:p>
    <w:p>
      <w:pPr>
        <w:spacing w:after="80"/>
        <w:ind w:left="170"/>
      </w:pPr>
      <w:r>
        <w:rPr>
          <w:rFonts w:ascii="맑은 고딕" w:hAnsi="맑은 고딕" w:eastAsia="맑은 고딕"/>
          <w:b/>
          <w:color w:val="B00000"/>
          <w:sz w:val="20"/>
        </w:rPr>
        <w:t xml:space="preserve">⚠ [실습포인트] </w:t>
      </w:r>
      <w:r>
        <w:rPr>
          <w:rFonts w:ascii="맑은 고딕" w:hAnsi="맑은 고딕" w:eastAsia="맑은 고딕"/>
          <w:b w:val="0"/>
          <w:i/>
          <w:color w:val="B00000"/>
          <w:sz w:val="20"/>
        </w:rPr>
        <w:t>해지권이 을에게만 부여되어 있고 갑의 해지 사유·절차가 규정되지 않았다. 발주자의 해지 사유(을의 채무불이행 등)와 절차를 대칭적으로 보완해야 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2"/>
        </w:rPr>
        <w:t>제8조 (손해배상)</w:t>
      </w:r>
    </w:p>
    <w:p>
      <w:pPr>
        <w:spacing w:after="40"/>
        <w:ind w:left="170"/>
      </w:pPr>
      <w:r>
        <w:rPr>
          <w:rFonts w:ascii="맑은 고딕" w:hAnsi="맑은 고딕" w:eastAsia="맑은 고딕"/>
          <w:sz w:val="21"/>
        </w:rPr>
        <w:t>본 계약과 관련하여 을에게 발생한 손해에 대하여 갑은 그 전액을 배상한다. 을이 갑에게 배상할 책임은 계약금액의 100분의 10을 한도로 한다.</w:t>
      </w:r>
    </w:p>
    <w:p>
      <w:pPr>
        <w:spacing w:after="80"/>
        <w:ind w:left="170"/>
      </w:pPr>
      <w:r>
        <w:rPr>
          <w:rFonts w:ascii="맑은 고딕" w:hAnsi="맑은 고딕" w:eastAsia="맑은 고딕"/>
          <w:b/>
          <w:color w:val="B00000"/>
          <w:sz w:val="20"/>
        </w:rPr>
        <w:t xml:space="preserve">⚠ [실습포인트] </w:t>
      </w:r>
      <w:r>
        <w:rPr>
          <w:rFonts w:ascii="맑은 고딕" w:hAnsi="맑은 고딕" w:eastAsia="맑은 고딕"/>
          <w:b w:val="0"/>
          <w:i/>
          <w:color w:val="B00000"/>
          <w:sz w:val="20"/>
        </w:rPr>
        <w:t>갑의 배상책임은 한도 없이 무제한이면서 을의 배상책임은 계약금액의 10%로 제한되어 있다. 배상 한도를 대칭적으로 설정하고 무제한 배상 조항을 삭제해야 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2"/>
        </w:rPr>
        <w:t>제9조 (지체상금)</w:t>
      </w:r>
    </w:p>
    <w:p>
      <w:pPr>
        <w:spacing w:after="40"/>
        <w:ind w:left="170"/>
      </w:pPr>
      <w:r>
        <w:rPr>
          <w:rFonts w:ascii="맑은 고딕" w:hAnsi="맑은 고딕" w:eastAsia="맑은 고딕"/>
          <w:sz w:val="21"/>
        </w:rPr>
        <w:t>갑이 대금 지급을 지연하는 경우 갑은 지연일수 1일당 계약금액의 1000분의 5에 해당하는 지연손해금을 을에게 지급한다.</w:t>
      </w:r>
    </w:p>
    <w:p>
      <w:pPr>
        <w:spacing w:after="80"/>
        <w:ind w:left="170"/>
      </w:pPr>
      <w:r>
        <w:rPr>
          <w:rFonts w:ascii="맑은 고딕" w:hAnsi="맑은 고딕" w:eastAsia="맑은 고딕"/>
          <w:b/>
          <w:color w:val="B00000"/>
          <w:sz w:val="20"/>
        </w:rPr>
        <w:t xml:space="preserve">⚠ [실습포인트] </w:t>
      </w:r>
      <w:r>
        <w:rPr>
          <w:rFonts w:ascii="맑은 고딕" w:hAnsi="맑은 고딕" w:eastAsia="맑은 고딕"/>
          <w:b w:val="0"/>
          <w:i/>
          <w:color w:val="B00000"/>
          <w:sz w:val="20"/>
        </w:rPr>
        <w:t>대금 지급 지연에 대한 지연손해금률(일 0.5%, 연 환산 약 182%)이 과도하다. 을의 납품 지연에 대한 지체상금 조항이 없는 점도 확인해야 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2"/>
        </w:rPr>
        <w:t>제10조 (계약의 갱신)</w:t>
      </w:r>
    </w:p>
    <w:p>
      <w:pPr>
        <w:spacing w:after="40"/>
        <w:ind w:left="170"/>
      </w:pPr>
      <w:r>
        <w:rPr>
          <w:rFonts w:ascii="맑은 고딕" w:hAnsi="맑은 고딕" w:eastAsia="맑은 고딕"/>
          <w:sz w:val="21"/>
        </w:rPr>
        <w:t>계약기간 만료 7일 전까지 어느 당사자도 서면으로 종료를 통지하지 않으면 본 계약은 동일 조건으로 1년간 자동 갱신된다.</w:t>
      </w:r>
    </w:p>
    <w:p>
      <w:pPr>
        <w:spacing w:after="80"/>
        <w:ind w:left="170"/>
      </w:pPr>
      <w:r>
        <w:rPr>
          <w:rFonts w:ascii="맑은 고딕" w:hAnsi="맑은 고딕" w:eastAsia="맑은 고딕"/>
          <w:b/>
          <w:color w:val="B00000"/>
          <w:sz w:val="20"/>
        </w:rPr>
        <w:t xml:space="preserve">⚠ [실습포인트] </w:t>
      </w:r>
      <w:r>
        <w:rPr>
          <w:rFonts w:ascii="맑은 고딕" w:hAnsi="맑은 고딕" w:eastAsia="맑은 고딕"/>
          <w:b w:val="0"/>
          <w:i/>
          <w:color w:val="B00000"/>
          <w:sz w:val="20"/>
        </w:rPr>
        <w:t>자동 갱신 조항의 종료 통지 기한(만료 7일 전)이 지나치게 짧아 발주자가 갱신 여부를 검토할 시간이 부족하다. 통지 기한을 30~60일로 늘리거나 자동 갱신을 삭제해야 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2"/>
        </w:rPr>
        <w:t>제11조 (준거법 및 분쟁해결)</w:t>
      </w:r>
    </w:p>
    <w:p>
      <w:pPr>
        <w:spacing w:after="40"/>
        <w:ind w:left="170"/>
      </w:pPr>
      <w:r>
        <w:rPr>
          <w:rFonts w:ascii="맑은 고딕" w:hAnsi="맑은 고딕" w:eastAsia="맑은 고딕"/>
          <w:sz w:val="21"/>
        </w:rPr>
        <w:t>본 계약의 준거법은 싱가포르법으로 하며, 분쟁은 싱가포르 국제중재센터의 중재로 해결한다.</w:t>
      </w:r>
    </w:p>
    <w:p>
      <w:pPr>
        <w:spacing w:after="80"/>
        <w:ind w:left="170"/>
      </w:pPr>
      <w:r>
        <w:rPr>
          <w:rFonts w:ascii="맑은 고딕" w:hAnsi="맑은 고딕" w:eastAsia="맑은 고딕"/>
          <w:b/>
          <w:color w:val="B00000"/>
          <w:sz w:val="20"/>
        </w:rPr>
        <w:t xml:space="preserve">⚠ [실습포인트] </w:t>
      </w:r>
      <w:r>
        <w:rPr>
          <w:rFonts w:ascii="맑은 고딕" w:hAnsi="맑은 고딕" w:eastAsia="맑은 고딕"/>
          <w:b w:val="0"/>
          <w:i/>
          <w:color w:val="B00000"/>
          <w:sz w:val="20"/>
        </w:rPr>
        <w:t>준거법과 분쟁해결지가 국내가 아닌 싱가포르로 지정되어 발주자의 분쟁 대응 비용과 부담이 크다. 준거법을 대한민국법으로, 관할을 국내 법원 또는 국내 중재로 조정해야 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2"/>
        </w:rPr>
        <w:t>제12조 (비밀유지)</w:t>
      </w:r>
    </w:p>
    <w:p>
      <w:pPr>
        <w:spacing w:after="40"/>
        <w:ind w:left="170"/>
      </w:pPr>
      <w:r>
        <w:rPr>
          <w:rFonts w:ascii="맑은 고딕" w:hAnsi="맑은 고딕" w:eastAsia="맑은 고딕"/>
          <w:sz w:val="21"/>
        </w:rPr>
        <w:t>비밀유지 대상은 을이 서면으로 "비밀"이라 지정한 정보에 한정한다. 그 밖의 정보에는 비밀유지 의무가 적용되지 않는다.</w:t>
      </w:r>
    </w:p>
    <w:p>
      <w:pPr>
        <w:spacing w:after="80"/>
        <w:ind w:left="170"/>
      </w:pPr>
      <w:r>
        <w:rPr>
          <w:rFonts w:ascii="맑은 고딕" w:hAnsi="맑은 고딕" w:eastAsia="맑은 고딕"/>
          <w:b/>
          <w:color w:val="B00000"/>
          <w:sz w:val="20"/>
        </w:rPr>
        <w:t xml:space="preserve">⚠ [실습포인트] </w:t>
      </w:r>
      <w:r>
        <w:rPr>
          <w:rFonts w:ascii="맑은 고딕" w:hAnsi="맑은 고딕" w:eastAsia="맑은 고딕"/>
          <w:b w:val="0"/>
          <w:i/>
          <w:color w:val="B00000"/>
          <w:sz w:val="20"/>
        </w:rPr>
        <w:t>비밀유지 대상이 을이 서면 지정한 정보로 협소하게 한정되어, 발주자의 행정·개인정보 등 민감정보가 보호 범위에서 빠질 수 있다. 비밀정보의 정의를 포괄적으로 넓혀야 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2"/>
        </w:rPr>
        <w:t>제13조 (기타)</w:t>
      </w:r>
    </w:p>
    <w:p>
      <w:pPr>
        <w:spacing w:after="40"/>
        <w:ind w:left="170"/>
      </w:pPr>
      <w:r>
        <w:rPr>
          <w:rFonts w:ascii="맑은 고딕" w:hAnsi="맑은 고딕" w:eastAsia="맑은 고딕"/>
          <w:sz w:val="21"/>
        </w:rPr>
        <w:t>본 계약에 정하지 아니한 사항은 관계 법령과 상관례에 따른다. 본 계약의 성립을 증명하기 위하여 계약서 2부를 작성해 갑과 을이 서명·날인한 후 각 1부씩 보관한다.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spacing w:after="40"/>
      </w:pPr>
      <w:r>
        <w:rPr>
          <w:rFonts w:ascii="맑은 고딕" w:hAnsi="맑은 고딕" w:eastAsia="맑은 고딕"/>
          <w:sz w:val="21"/>
        </w:rPr>
        <w:t>2026년 5월 1일</w:t>
      </w:r>
    </w:p>
    <w:p>
      <w:r>
        <w:rPr>
          <w:rFonts w:ascii="맑은 고딕" w:hAnsi="맑은 고딕" w:eastAsia="맑은 고딕"/>
          <w:sz w:val="21"/>
        </w:rPr>
        <w:t>갑: ○○행정기관    (인)        을: 주식회사 테크솔루션즈    (인)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1A2E5A"/>
          <w:sz w:val="26"/>
        </w:rPr>
        <w:t>[정답] 위험조항 목록표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555555"/>
          <w:sz w:val="19"/>
        </w:rPr>
        <w:t>아래는 본 계약서에 삽입된 발주자(갑) 관점의 위험조항 일곱 개다. 실습에서는 이 표를 가린 뒤 조항을 스스로 식별하고 대조한다.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567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No</w:t>
            </w:r>
          </w:p>
        </w:tc>
        <w:tc>
          <w:tcPr>
            <w:tcW w:type="dxa" w:w="1701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조항</w:t>
            </w:r>
          </w:p>
        </w:tc>
        <w:tc>
          <w:tcPr>
            <w:tcW w:type="dxa" w:w="1587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위험 유형</w:t>
            </w:r>
          </w:p>
        </w:tc>
        <w:tc>
          <w:tcPr>
            <w:tcW w:type="dxa" w:w="3005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발주자 관점 문제</w:t>
            </w:r>
          </w:p>
        </w:tc>
        <w:tc>
          <w:tcPr>
            <w:tcW w:type="dxa" w:w="2041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검토 방향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제5조 저작권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저작권 귀속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산출물 저작권이 을에게 귀속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발주자 귀속 또는 공동 귀속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2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제7조 해지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비대칭 해지권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을만 해지 가능, 갑 해지 사유 부재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해지 사유·절차 대칭 보완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3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제8조 손해배상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무제한 손해배상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갑 무제한·을 10% 한도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배상 한도 대칭 설정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4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제10조 갱신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자동갱신·단기통보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종료 통지 기한 7일로 과단기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통지 기한 연장 또는 삭제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5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제9조 지체상금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과도 지연손해금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일 0.5%(연 약 182%) 과도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요율 인하·을 지체상금 신설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6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제11조 준거법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국외 준거법·관할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싱가포르법·싱가포르 중재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국내법·국내 관할로 조정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7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제12조 비밀유지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협소한 비밀유지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을 지정 정보로만 한정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비밀정보 정의 포괄 확대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