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 w:val="0"/>
          <w:i/>
          <w:color w:val="888888"/>
          <w:sz w:val="17"/>
        </w:rPr>
        <w:t>본 자료는 실습용 가상 데이터이며 실재 인물·기관·거래와 무관하다.</w:t>
      </w:r>
    </w:p>
    <w:p>
      <w:pPr>
        <w:spacing w:after="280"/>
        <w:jc w:val="center"/>
      </w:pPr>
      <w:r>
        <w:rPr>
          <w:rFonts w:ascii="맑은 고딕" w:hAnsi="맑은 고딕" w:eastAsia="맑은 고딕"/>
          <w:b/>
          <w:sz w:val="32"/>
        </w:rPr>
        <w:t>내부 계약 규정 발췌본</w:t>
      </w:r>
    </w:p>
    <w:p>
      <w:pPr>
        <w:spacing w:after="160" w:line="312" w:lineRule="auto"/>
      </w:pPr>
      <w:r>
        <w:rPr>
          <w:rFonts w:ascii="맑은 고딕" w:hAnsi="맑은 고딕" w:eastAsia="맑은 고딕"/>
          <w:b w:val="0"/>
          <w:sz w:val="21"/>
        </w:rPr>
        <w:t>다음은 외주 용역 계약과 관련된 내부 계약 규정의 발췌본이다.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제12조 (경쟁입찰 원칙)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① 용역계약은 원칙적으로 일반경쟁입찰로 체결한다.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② 제15조의 요건을 충족하는 경우에 한하여 예외적으로 수의계약으로 체결할 수 있다.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제15조 (수의계약 기준 및 합산 검토)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① 추정가격이 5천만원 이하인 용역은 수의계약으로 체결할 수 있다.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② 동일하거나 유사한 용역을 일정 기간 내에 분할하여 계약하는 경우에는 각 계약금액을 합산하며, 합산액이 3천만원을 초과하는 때에는 제12조에 따라 경쟁입찰에 부친다.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③ 계약담당자는 수의계약 체결 시 합산 대상 여부를 검토한 기록을 남긴다.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제16조 (유사 용역의 판단)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용역의 목적, 대상 시스템, 수행 업체, 계약 시기의 근접성을 종합적으로 고려하여 동일하거나 유사한 용역에 해당하는지를 판단한다.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