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b w:val="0"/>
          <w:i/>
          <w:color w:val="888888"/>
          <w:sz w:val="17"/>
        </w:rPr>
        <w:t>본 자료는 실습용 가상 데이터이며 실재 인물·기관·거래와 무관하다.</w:t>
      </w:r>
    </w:p>
    <w:p>
      <w:pPr>
        <w:spacing w:after="280"/>
        <w:jc w:val="center"/>
      </w:pPr>
      <w:r>
        <w:rPr>
          <w:rFonts w:ascii="맑은 고딕" w:hAnsi="맑은 고딕" w:eastAsia="맑은 고딕"/>
          <w:b/>
          <w:sz w:val="32"/>
        </w:rPr>
        <w:t>감사 사실 메모</w:t>
      </w:r>
    </w:p>
    <w:p>
      <w:pPr>
        <w:spacing w:after="160" w:line="312" w:lineRule="auto"/>
      </w:pPr>
      <w:r>
        <w:rPr>
          <w:rFonts w:ascii="맑은 고딕" w:hAnsi="맑은 고딕" w:eastAsia="맑은 고딕"/>
          <w:b w:val="0"/>
          <w:sz w:val="21"/>
        </w:rPr>
        <w:t>현장 확인 및 계약 서류 검토를 통해 확인한 사실이다.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  <w:t>1. IT운영부는 2025년 상반기(1월~3월)에 주식회사 넥스트솔루션과 외주 용역 계약 3건(IT-OUT-2025-01·02·03)을 체결하였다.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  <w:t>2. 3건 모두 수의계약으로 체결되었으며, 각 계약금액은 46,000,000원에서 49,000,000원으로 수의계약 한도(5천만원) 이하이다.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  <w:t>3. 계약일은 1월 15일, 2월 20일, 3월 18일로 약 1개월 간격으로 분산되어 있다.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  <w:t>4. 3건에 대한 경쟁입찰 검토 또는 계약금액 합산 검토 기록은 확인되지 않았다.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  <w:t>5. 3건의 과업 내용은 서버 운영, 보안 점검, 통합 관제로 모두 동일 정보시스템을 대상으로 한 유사 용역으로 확인되었다.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