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88888"/>
          <w:sz w:val="16"/>
        </w:rPr>
        <w:t>본 자료는 실습용 가상 데이터이며 실재 인물·기관·거래와 무관하다.</w:t>
      </w:r>
    </w:p>
    <w:p>
      <w:pPr>
        <w:pStyle w:val="Title"/>
      </w:pPr>
      <w:r>
        <w:t>2025년 법인카드 관리 규정 (샘플)</w:t>
      </w:r>
    </w:p>
    <w:p>
      <w:pPr>
        <w:pStyle w:val="Heading1"/>
      </w:pPr>
      <w:r>
        <w:t>제1장 총칙</w:t>
      </w:r>
    </w:p>
    <w:p>
      <w:r>
        <w:t>제1조(목적) 이 규정은 법인카드의 발급·사용·정산·관리에 관한 기준을 정함을 목적으로 한다.</w:t>
      </w:r>
    </w:p>
    <w:p>
      <w:r>
        <w:t>제2조(적용범위) 이 규정은 회사가 발급한 모든 법인카드에 적용한다.</w:t>
      </w:r>
    </w:p>
    <w:p>
      <w:pPr>
        <w:pStyle w:val="Heading1"/>
      </w:pPr>
      <w:r>
        <w:t>제2장 발급</w:t>
      </w:r>
    </w:p>
    <w:p>
      <w:r>
        <w:t>제3조(발급 대상) 법인카드는 업무상 필요성이 인정되는 임직원에게 부서장 승인을 거쳐 발급한다.</w:t>
      </w:r>
    </w:p>
    <w:p>
      <w:r>
        <w:t>제4조(발급 한도) 카드별 월 사용 한도는 직급과 업무 성격에 따라 정한다.</w:t>
      </w:r>
    </w:p>
    <w:p>
      <w:pPr>
        <w:pStyle w:val="Heading1"/>
      </w:pPr>
      <w:r>
        <w:t>제3장 사용기준</w:t>
      </w:r>
    </w:p>
    <w:p>
      <w:r>
        <w:t>제5조(사용 용도) 법인카드는 업무와 직접 관련된 지출에만 사용한다.</w:t>
      </w:r>
    </w:p>
    <w:p>
      <w:r>
        <w:t>제6조(사용 제한) 유흥·사행성 업소, 개인적 용도, 상품권 대량 구매 등은 사용을 제한한다.</w:t>
      </w:r>
    </w:p>
    <w:p>
      <w:r>
        <w:t>제7조(사용 시간) 심야 시간대 및 휴일 사용은 업무 관련성을 소명하여야 한다.</w:t>
      </w:r>
    </w:p>
    <w:p>
      <w:pPr>
        <w:pStyle w:val="Heading1"/>
      </w:pPr>
      <w:r>
        <w:t>제4장 정산</w:t>
      </w:r>
    </w:p>
    <w:p>
      <w:r>
        <w:t>제8조(정산 의무) 사용자는 매월 사용 내역과 증빙을 기한 내 제출하여 정산한다.</w:t>
      </w:r>
    </w:p>
    <w:p>
      <w:r>
        <w:t>제9조(증빙) 사용 목적과 참석자 등 증빙을 갖추지 못한 지출은 개인 부담으로 한다.</w:t>
      </w:r>
    </w:p>
    <w:p>
      <w:pPr>
        <w:pStyle w:val="Heading1"/>
      </w:pPr>
      <w:r>
        <w:t>제5장 위반조치</w:t>
      </w:r>
    </w:p>
    <w:p>
      <w:r>
        <w:t>제10조(위반조치) 이 규정을 위반한 경우 사용 정지, 회수, 인사상 조치를 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