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i/>
          <w:color w:val="808080"/>
          <w:sz w:val="18"/>
        </w:rPr>
        <w:t>본 자료는 실습용 가상 데이터이며 실재 인물·기관·거래와 무관하다.</w:t>
      </w:r>
    </w:p>
    <w:p>
      <w:pPr>
        <w:spacing w:after="80"/>
        <w:jc w:val="center"/>
      </w:pPr>
      <w:r>
        <w:rPr>
          <w:rFonts w:ascii="맑은 고딕" w:hAnsi="맑은 고딕" w:eastAsia="맑은 고딕"/>
          <w:b/>
          <w:sz w:val="36"/>
        </w:rPr>
        <w:t>인사(HR) 부문 내부감사 결과보고서</w:t>
      </w:r>
    </w:p>
    <w:p>
      <w:pPr>
        <w:spacing w:after="240"/>
        <w:jc w:val="center"/>
      </w:pPr>
      <w:r>
        <w:rPr>
          <w:rFonts w:ascii="맑은 고딕" w:hAnsi="맑은 고딕" w:eastAsia="맑은 고딕"/>
          <w:color w:val="404040"/>
          <w:sz w:val="22"/>
        </w:rPr>
        <w:t>감사대상기간 2025년 상반기 · 감사부서 감사실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본 보고서는 인사 부문 정기감사에서 확인한 발견사항을 정리한 과거 감사보고서다. 이번 실습에서는 이 보고서를 현황과 원인의 확인 자료로 활용하되, 지적사항이 이미 조치되었는지 여부는 면담 기록과 규정으로 다시 확인한다.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발견사항 1. 퇴직자 계정 관리 미흡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2025년 상반기 퇴직자 18명의 계정 회수 내역을 점검한 결과, 6명의 시스템 계정이 퇴직일 이후에도 활성 상태로 유지되고 있었다. 이 가운데 2명의 계정은 퇴직 후 2주 이상 로그인 가능 상태로 남아 있었다.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문제점  </w:t>
      </w:r>
      <w:r>
        <w:rPr>
          <w:rFonts w:ascii="맑은 고딕" w:hAnsi="맑은 고딕" w:eastAsia="맑은 고딕"/>
          <w:sz w:val="22"/>
        </w:rPr>
        <w:t>인사관리규정 제12조는 퇴직자 계정을 퇴직 후 24시간 이내에 회수하도록 규정하고 있으나, 인사팀의 퇴직 처리와 정보시스템팀의 계정 회수가 연계되지 않아 회수 시점이 담당자 개인의 처리 순서에 따라 달라졌다.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권고  </w:t>
      </w:r>
      <w:r>
        <w:rPr>
          <w:rFonts w:ascii="맑은 고딕" w:hAnsi="맑은 고딕" w:eastAsia="맑은 고딕"/>
          <w:sz w:val="22"/>
        </w:rPr>
        <w:t>퇴직 처리와 계정 회수를 연동하는 통제를 신설하고, 인사 시스템의 퇴직 확정과 동시에 계정 비활성화 요청이 자동으로 정보시스템팀에 전달되도록 절차를 정비한다.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결과  </w:t>
      </w:r>
      <w:r>
        <w:rPr>
          <w:rFonts w:ascii="맑은 고딕" w:hAnsi="맑은 고딕" w:eastAsia="맑은 고딕"/>
          <w:sz w:val="22"/>
        </w:rPr>
        <w:t>퇴직자 계정이 회수되지 않은 채 유지되면 퇴직자에 의한 내부 시스템 무단 접근과 정보 유출 위험이 발생한다. 회수 지연 계정에서 실제 접근 이력이 있었는지는 시스템 로그로 추가 확인이 필요하다.</w:t>
      </w:r>
    </w:p>
    <w:p>
      <w:pPr>
        <w:spacing w:before="200" w:after="80"/>
      </w:pPr>
      <w:r>
        <w:rPr>
          <w:rFonts w:ascii="맑은 고딕" w:hAnsi="맑은 고딕" w:eastAsia="맑은 고딕"/>
          <w:b/>
          <w:color w:val="1A2E5A"/>
          <w:sz w:val="26"/>
        </w:rPr>
        <w:t>발견사항 2. 신규 입사자 보안교육 미이행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현황  </w:t>
      </w:r>
      <w:r>
        <w:rPr>
          <w:rFonts w:ascii="맑은 고딕" w:hAnsi="맑은 고딕" w:eastAsia="맑은 고딕"/>
          <w:sz w:val="22"/>
        </w:rPr>
        <w:t>2025년 상반기 신규 입사자 22명 가운데 9명이 입사 1개월이 지나도록 정보보안 교육을 이수하지 않았다. 이 중 4명은 개인정보를 취급하는 부서에 배치되어 있었다.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문제점  </w:t>
      </w:r>
      <w:r>
        <w:rPr>
          <w:rFonts w:ascii="맑은 고딕" w:hAnsi="맑은 고딕" w:eastAsia="맑은 고딕"/>
          <w:sz w:val="22"/>
        </w:rPr>
        <w:t>인사관리규정 제18조는 신규 입사자가 입사 후 1개월 이내에 정보보안 교육을 이수하도록 규정하고 있으나, 교육 대상자 명단이 부서별로 관리되어 이수 여부를 전사 차원에서 점검하는 절차가 없었다.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권고  </w:t>
      </w:r>
      <w:r>
        <w:rPr>
          <w:rFonts w:ascii="맑은 고딕" w:hAnsi="맑은 고딕" w:eastAsia="맑은 고딕"/>
          <w:sz w:val="22"/>
        </w:rPr>
        <w:t>신규 입사자 보안교육을 입사 절차의 필수 항목으로 포함하고, 이수 현황을 인사부서가 월 단위로 취합해 미이수자에게 재안내하는 점검 주기를 마련한다.</w:t>
      </w:r>
    </w:p>
    <w:p>
      <w:pPr>
        <w:spacing w:after="80"/>
      </w:pPr>
      <w:r>
        <w:rPr>
          <w:rFonts w:ascii="맑은 고딕" w:hAnsi="맑은 고딕" w:eastAsia="맑은 고딕"/>
          <w:b/>
          <w:color w:val="1A2E5A"/>
          <w:sz w:val="22"/>
        </w:rPr>
        <w:t xml:space="preserve">결과  </w:t>
      </w:r>
      <w:r>
        <w:rPr>
          <w:rFonts w:ascii="맑은 고딕" w:hAnsi="맑은 고딕" w:eastAsia="맑은 고딕"/>
          <w:sz w:val="22"/>
        </w:rPr>
        <w:t>보안교육을 이수하지 않은 인원이 개인정보 취급 업무에 투입되면 정보 오남용과 규정 위반의 소지가 커진다. 미이수 기간 중 실제 개인정보 처리 이력이 있었는지는 별도 확인이 필요하다.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