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감사 이슈 보고서 (2)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감사부서 감사실 · 대상범위 구매·외주 부문</w:t>
      </w:r>
    </w:p>
    <w:p>
      <w:pPr>
        <w:spacing w:after="200"/>
      </w:pPr>
      <w:r>
        <w:rPr>
          <w:rFonts w:ascii="맑은 고딕" w:hAnsi="맑은 고딕" w:eastAsia="맑은 고딕"/>
          <w:b w:val="0"/>
          <w:sz w:val="22"/>
        </w:rPr>
        <w:t>본 보고서는 부서별 감사 과정에서 확인한 개별 이슈를 정리한 자료다. 이슈별로 이슈명, 부서, 현황, 개선권고를 기재하였으며, 위험 등급과 리스크 유형 분류는 통합 분석 단계에서 부여한다.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1. 외주계약 성과 점검 절차 부재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IT운영팀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2025년 체결된 외주 용역계약 12건 중 계약 종료 후 성과 점검 결과가 문서로 남아 있는 계약은 3건에 불과했다. 나머지 계약은 산출물 검수 없이 대금이 지급되었다.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외주계약 종료 시 산출물 검수와 성과 점검을 필수 절차로 규정하고, 점검 결과를 대금 지급의 선행 요건으로 삼는다.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이슈 2. 구매 승인 단계 생략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부서  </w:t>
      </w:r>
      <w:r>
        <w:rPr>
          <w:rFonts w:ascii="맑은 고딕" w:hAnsi="맑은 고딕" w:eastAsia="맑은 고딕"/>
          <w:sz w:val="22"/>
        </w:rPr>
        <w:t>구매팀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1,000만원 이상 구매 42건 중 5건이 구매심의위원회 심의를 거치지 않고 집행되었다. 이 중 2건은 동일 거래처에 대한 분할 발주로, 개별 금액은 한도 미만이나 합산 시 심의 대상에 해당하였다.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개선권고  </w:t>
      </w:r>
      <w:r>
        <w:rPr>
          <w:rFonts w:ascii="맑은 고딕" w:hAnsi="맑은 고딕" w:eastAsia="맑은 고딕"/>
          <w:sz w:val="22"/>
        </w:rPr>
        <w:t>심의 대상 여부를 동일 거래처·동일 기간 합산 기준으로 판단하도록 규정을 보완하고, 심의 누락 건에 대한 사후 승인 절차와 책임을 명확히 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