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감사 이슈 보고서 (3)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감사부서 감사실 · 대상범위 협력업체·정보보안 부문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보고서는 부서별 감사 과정에서 확인한 개별 이슈를 정리한 자료다. 이슈별로 이슈명, 부서, 현황, 개선권고를 기재하였으며, 위험 등급과 리스크 유형 분류는 통합 분석 단계에서 부여한다.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1. 협력업체 평가 미실시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구매팀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등록 협력업체 65개사 중 최근 1년간 정기 평가를 받은 업체는 22개사에 그쳤다. 평가 기준은 마련되어 있으나 평가 시행 주기와 책임 부서가 규정에 명시되어 있지 않았다.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협력업체 정기 평가의 주기와 책임 부서를 규정에 명시하고, 평가 결과를 재계약 및 신규 발주의 판단 자료로 연계한다.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2. 정보보안 교육 이수율 저조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정보보안팀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전 직원 대상 연간 정보보안 교육의 이수율이 61퍼센트에 머물렀다. 미이수자에 대한 재안내나 이수 독려 절차가 운영되지 않았다.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정보보안 교육 이수 현황을 부서별로 관리하고, 미이수자에 대한 재안내와 이수 기한을 설정하여 이수율을 관리 지표로 점검한다.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