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E-Commerce</w:t>
      </w:r>
      <w:r>
        <w:t xml:space="preserve"> </w:t>
      </w:r>
      <w:r>
        <w:t xml:space="preserve">Purchase-Intent</w:t>
      </w:r>
      <w:r>
        <w:t xml:space="preserve"> </w:t>
      </w:r>
      <w:r>
        <w:t xml:space="preserve">Prediction</w:t>
      </w:r>
      <w:r>
        <w:t xml:space="preserve"> </w:t>
      </w:r>
      <w:r>
        <w:t xml:space="preserve">with</w:t>
      </w:r>
      <w:r>
        <w:t xml:space="preserve"> </w:t>
      </w:r>
      <w:r>
        <w:t xml:space="preserve">Explainable</w:t>
      </w:r>
      <w:r>
        <w:t xml:space="preserve"> </w:t>
      </w:r>
      <w:r>
        <w:t xml:space="preserve">AI</w:t>
      </w:r>
    </w:p>
    <w:p>
      <w:pPr>
        <w:pStyle w:val="Subtitle"/>
      </w:pPr>
      <w:r>
        <w:t xml:space="preserve">Final</w:t>
      </w:r>
      <w:r>
        <w:t xml:space="preserve"> </w:t>
      </w:r>
      <w:r>
        <w:t xml:space="preserve">project</w:t>
      </w:r>
      <w:r>
        <w:t xml:space="preserve"> </w:t>
      </w:r>
      <w:r>
        <w:t xml:space="preserve">report</w:t>
      </w:r>
    </w:p>
    <w:p>
      <w:pPr>
        <w:pStyle w:val="Author"/>
      </w:pPr>
      <w:r>
        <w:t xml:space="preserve">Sundram</w:t>
      </w:r>
      <w:r>
        <w:t xml:space="preserve"> </w:t>
      </w:r>
      <w:r>
        <w:t xml:space="preserve">Sharma</w:t>
      </w:r>
    </w:p>
    <w:p>
      <w:pPr>
        <w:pStyle w:val="Heading1"/>
      </w:pPr>
      <w:bookmarkStart w:id="20" w:name="summary"/>
      <w:r>
        <w:t xml:space="preserve">1. Summary</w:t>
      </w:r>
      <w:bookmarkEnd w:id="20"/>
    </w:p>
    <w:p>
      <w:pPr>
        <w:pStyle w:val="FirstParagraph"/>
      </w:pPr>
      <w:r>
        <w:t xml:space="preserve">This project predicts whether an online shopping session ends in a purchase, explains every prediction, and serves the result through an API and a dashboard. It follows the CRISP-DM structure in the project brief. On a held-out test set of 2,400 sessions the deployed model reaches</w:t>
      </w:r>
      <w:r>
        <w:t xml:space="preserve"> </w:t>
      </w:r>
      <w:r>
        <w:rPr>
          <w:b/>
        </w:rPr>
        <w:t xml:space="preserve">PR-AUC 0.558</w:t>
      </w:r>
      <w:r>
        <w:t xml:space="preserve"> </w:t>
      </w:r>
      <w:r>
        <w:t xml:space="preserve">(95% CI 0.51-0.61) and</w:t>
      </w:r>
      <w:r>
        <w:t xml:space="preserve"> </w:t>
      </w:r>
      <w:r>
        <w:rPr>
          <w:b/>
        </w:rPr>
        <w:t xml:space="preserve">ROC-AUC 0.837</w:t>
      </w:r>
      <w:r>
        <w:t xml:space="preserve">, against a purchase base rate of 15.7%.</w:t>
      </w:r>
    </w:p>
    <w:p>
      <w:pPr>
        <w:pStyle w:val="BodyText"/>
      </w:pPr>
      <w:r>
        <w:t xml:space="preserve">Three findings matter more than the headline number:</w:t>
      </w:r>
    </w:p>
    <w:p>
      <w:pPr>
        <w:numPr>
          <w:ilvl w:val="0"/>
          <w:numId w:val="1001"/>
        </w:numPr>
        <w:pStyle w:val="Compact"/>
      </w:pPr>
      <w:r>
        <w:rPr>
          <w:b/>
        </w:rPr>
        <w:t xml:space="preserve">PageValues was excluded on purpose.</w:t>
      </w:r>
      <w:r>
        <w:t xml:space="preserve"> </w:t>
      </w:r>
      <w:r>
        <w:t xml:space="preserve">No session with PageValues = 0 ever converts (6,612 of 12,000 sessions), and in a live visit the value is only known late. Using it would raise test PR-AUC from 0.56 to 0.85, a deployment-leakage figure.</w:t>
      </w:r>
    </w:p>
    <w:p>
      <w:pPr>
        <w:numPr>
          <w:ilvl w:val="0"/>
          <w:numId w:val="1001"/>
        </w:numPr>
        <w:pStyle w:val="Compact"/>
      </w:pPr>
      <w:r>
        <w:rPr>
          <w:b/>
        </w:rPr>
        <w:t xml:space="preserve">A one-line baseline is close.</w:t>
      </w:r>
      <w:r>
        <w:t xml:space="preserve"> </w:t>
      </w:r>
      <w:r>
        <w:t xml:space="preserve">ProductRelated alone gives test PR-AUC 0.531; the full pipeline adds about 0.03.</w:t>
      </w:r>
    </w:p>
    <w:p>
      <w:pPr>
        <w:numPr>
          <w:ilvl w:val="0"/>
          <w:numId w:val="1001"/>
        </w:numPr>
        <w:pStyle w:val="Compact"/>
      </w:pPr>
      <w:r>
        <w:rPr>
          <w:b/>
        </w:rPr>
        <w:t xml:space="preserve">The operating threshold is a business decision.</w:t>
      </w:r>
      <w:r>
        <w:t xml:space="preserve"> </w:t>
      </w:r>
      <w:r>
        <w:t xml:space="preserve">Moving the assumed value-to-cost ratio from 2:1 to 40:1 moves the best threshold from 0.47 to 0.02.</w:t>
      </w:r>
    </w:p>
    <w:p>
      <w:pPr>
        <w:pStyle w:val="Heading1"/>
      </w:pPr>
      <w:bookmarkStart w:id="21" w:name="verification-status"/>
      <w:r>
        <w:t xml:space="preserve">2. Verification status</w:t>
      </w:r>
      <w:bookmarkEnd w:id="21"/>
    </w:p>
    <w:tbl>
      <w:tblPr>
        <w:tblStyle w:val="Table"/>
        <w:tblLook w:firstRow="1"/>
        <w:tblLayout w:type="fixed"/>
        <w:tblW w:w="9638" w:type="dxa"/>
        <w:tblBorders>
          <w:top w:val="single" w:sz="4" w:color="BFC5D0"/>
          <w:left w:val="single" w:sz="4" w:color="BFC5D0"/>
          <w:bottom w:val="single" w:sz="4" w:color="BFC5D0"/>
          <w:right w:val="single" w:sz="4" w:color="BFC5D0"/>
          <w:insideH w:val="single" w:sz="4" w:color="BFC5D0"/>
          <w:insideV w:val="single" w:sz="4" w:color="BFC5D0"/>
        </w:tblBorders>
      </w:tblPr>
      <w:tblGrid>
        <w:gridCol w:w="4818"/>
        <w:gridCol w:w="4818"/>
      </w:tblGrid>
      <w:tr>
        <w:trPr>
          <w:cnfStyle w:firstRow="1"/>
        </w:trPr>
        <w:tc>
          <w:tcPr>
            <w:tcW w:type="dxa" w:w="4819"/>
            <w:tcBorders>
              <w:bottom w:val="single"/>
            </w:tcBorders>
            <w:vAlign w:val="bottom"/>
          </w:tcPr>
          <w:p>
            <w:pPr>
              <w:pStyle w:val="Compact"/>
              <w:jc w:val="left"/>
            </w:pPr>
            <w:r>
              <w:rPr>
                <w:b/>
                <w:sz w:val="17"/>
              </w:rPr>
              <w:t xml:space="preserve">Component</w:t>
            </w:r>
          </w:p>
        </w:tc>
        <w:tc>
          <w:tcPr>
            <w:tcW w:type="dxa" w:w="4819"/>
            <w:tcBorders>
              <w:bottom w:val="single"/>
            </w:tcBorders>
            <w:vAlign w:val="bottom"/>
          </w:tcPr>
          <w:p>
            <w:pPr>
              <w:pStyle w:val="Compact"/>
              <w:jc w:val="left"/>
            </w:pPr>
            <w:r>
              <w:rPr>
                <w:b/>
                <w:sz w:val="17"/>
              </w:rPr>
              <w:t xml:space="preserve">Status</w:t>
            </w:r>
          </w:p>
        </w:tc>
      </w:tr>
      <w:tr>
        <w:tc>
          <w:tcPr>
            <w:tcW w:type="dxa" w:w="4819"/>
          </w:tcPr>
          <w:p>
            <w:pPr>
              <w:pStyle w:val="Compact"/>
              <w:jc w:val="left"/>
            </w:pPr>
            <w:r>
              <w:rPr>
                <w:sz w:val="17"/>
              </w:rPr>
              <w:t xml:space="preserve">Data loader + validation, preprocessing, feature engineering, metrics</w:t>
            </w:r>
          </w:p>
        </w:tc>
        <w:tc>
          <w:tcPr>
            <w:tcW w:type="dxa" w:w="4819"/>
          </w:tcPr>
          <w:p>
            <w:pPr>
              <w:pStyle w:val="Compact"/>
              <w:jc w:val="left"/>
            </w:pPr>
            <w:r>
              <w:rPr>
                <w:sz w:val="17"/>
              </w:rPr>
              <w:t xml:space="preserve">Run; covered by unit tests</w:t>
            </w:r>
          </w:p>
        </w:tc>
      </w:tr>
      <w:tr>
        <w:tc>
          <w:tcPr>
            <w:tcW w:type="dxa" w:w="4819"/>
          </w:tcPr>
          <w:p>
            <w:pPr>
              <w:pStyle w:val="Compact"/>
              <w:jc w:val="left"/>
            </w:pPr>
            <w:r>
              <w:rPr>
                <w:sz w:val="17"/>
              </w:rPr>
              <w:t xml:space="preserve">Training pipeline (imbalance benchmark, tuning, CV comparison, feature selection, threshold, single test evaluation)</w:t>
            </w:r>
          </w:p>
        </w:tc>
        <w:tc>
          <w:tcPr>
            <w:tcW w:type="dxa" w:w="4819"/>
          </w:tcPr>
          <w:p>
            <w:pPr>
              <w:pStyle w:val="Compact"/>
              <w:jc w:val="left"/>
            </w:pPr>
            <w:r>
              <w:rPr>
                <w:sz w:val="17"/>
              </w:rPr>
              <w:t xml:space="preserve">Run end to end (</w:t>
            </w:r>
            <w:r>
              <w:rPr>
                <w:rStyle w:val="VerbatimChar"/>
                <w:sz w:val="17"/>
              </w:rPr>
              <w:t xml:space="preserve">python -m src.train</w:t>
            </w:r>
            <w:r>
              <w:rPr>
                <w:sz w:val="17"/>
              </w:rPr>
              <w:t xml:space="preserve">)</w:t>
            </w:r>
          </w:p>
        </w:tc>
      </w:tr>
      <w:tr>
        <w:tc>
          <w:tcPr>
            <w:tcW w:type="dxa" w:w="4819"/>
          </w:tcPr>
          <w:p>
            <w:pPr>
              <w:pStyle w:val="Compact"/>
              <w:jc w:val="left"/>
            </w:pPr>
            <w:r>
              <w:rPr>
                <w:sz w:val="17"/>
              </w:rPr>
              <w:t xml:space="preserve">Algorithms</w:t>
            </w:r>
          </w:p>
        </w:tc>
        <w:tc>
          <w:tcPr>
            <w:tcW w:type="dxa" w:w="4819"/>
          </w:tcPr>
          <w:p>
            <w:pPr>
              <w:pStyle w:val="Compact"/>
              <w:jc w:val="left"/>
            </w:pPr>
            <w:r>
              <w:rPr>
                <w:b/>
                <w:sz w:val="17"/>
              </w:rPr>
              <w:t xml:space="preserve">4 of the 6 requested were trained</w:t>
            </w:r>
            <w:r>
              <w:rPr>
                <w:sz w:val="17"/>
              </w:rPr>
              <w:t xml:space="preserve"> </w:t>
            </w:r>
            <w:r>
              <w:rPr>
                <w:sz w:val="17"/>
              </w:rPr>
              <w:t xml:space="preserve">(LogisticRegression, DecisionTree, RandomForest, GradientBoosting). XGBoost, LightGBM and CatBoost could not be installed in the build sandbox. They are registered automatically in</w:t>
            </w:r>
            <w:r>
              <w:rPr>
                <w:sz w:val="17"/>
              </w:rPr>
              <w:t xml:space="preserve"> </w:t>
            </w:r>
            <w:r>
              <w:rPr>
                <w:rStyle w:val="VerbatimChar"/>
                <w:sz w:val="17"/>
              </w:rPr>
              <w:t xml:space="preserve">src/models/trainer.py</w:t>
            </w:r>
            <w:r>
              <w:rPr>
                <w:sz w:val="17"/>
              </w:rPr>
              <w:t xml:space="preserve"> </w:t>
            </w:r>
            <w:r>
              <w:rPr>
                <w:sz w:val="17"/>
              </w:rPr>
              <w:t xml:space="preserve">when installed: run</w:t>
            </w:r>
            <w:r>
              <w:rPr>
                <w:sz w:val="17"/>
              </w:rPr>
              <w:t xml:space="preserve"> </w:t>
            </w:r>
            <w:r>
              <w:rPr>
                <w:rStyle w:val="VerbatimChar"/>
                <w:sz w:val="17"/>
              </w:rPr>
              <w:t xml:space="preserve">pip install -r requirements.txt</w:t>
            </w:r>
            <w:r>
              <w:rPr>
                <w:sz w:val="17"/>
              </w:rPr>
              <w:t xml:space="preserve"> </w:t>
            </w:r>
            <w:r>
              <w:rPr>
                <w:sz w:val="17"/>
              </w:rPr>
              <w:t xml:space="preserve">then</w:t>
            </w:r>
            <w:r>
              <w:rPr>
                <w:sz w:val="17"/>
              </w:rPr>
              <w:t xml:space="preserve"> </w:t>
            </w:r>
            <w:r>
              <w:rPr>
                <w:rStyle w:val="VerbatimChar"/>
                <w:sz w:val="17"/>
              </w:rPr>
              <w:t xml:space="preserve">python -m src.train</w:t>
            </w:r>
            <w:r>
              <w:rPr>
                <w:sz w:val="17"/>
              </w:rPr>
              <w:t xml:space="preserve"> </w:t>
            </w:r>
            <w:r>
              <w:rPr>
                <w:sz w:val="17"/>
              </w:rPr>
              <w:t xml:space="preserve">to get all six.</w:t>
            </w:r>
          </w:p>
        </w:tc>
      </w:tr>
      <w:tr>
        <w:tc>
          <w:tcPr>
            <w:tcW w:type="dxa" w:w="4819"/>
          </w:tcPr>
          <w:p>
            <w:pPr>
              <w:pStyle w:val="Compact"/>
              <w:jc w:val="left"/>
            </w:pPr>
            <w:r>
              <w:rPr>
                <w:sz w:val="17"/>
              </w:rPr>
              <w:t xml:space="preserve">ML backend</w:t>
            </w:r>
          </w:p>
        </w:tc>
        <w:tc>
          <w:tcPr>
            <w:tcW w:type="dxa" w:w="4819"/>
          </w:tcPr>
          <w:p>
            <w:pPr>
              <w:pStyle w:val="Compact"/>
              <w:jc w:val="left"/>
            </w:pPr>
            <w:r>
              <w:rPr>
                <w:rStyle w:val="VerbatimChar"/>
                <w:sz w:val="17"/>
              </w:rPr>
              <w:t xml:space="preserve">mini_sklearn (NumPy fallback implementing the scikit-learn API subset)</w:t>
            </w:r>
            <w:r>
              <w:rPr>
                <w:sz w:val="17"/>
              </w:rPr>
              <w:t xml:space="preserve">. With scikit-learn installed, the real library is used automatically, and numbers will differ slightly.</w:t>
            </w:r>
          </w:p>
        </w:tc>
      </w:tr>
      <w:tr>
        <w:tc>
          <w:tcPr>
            <w:tcW w:type="dxa" w:w="4819"/>
          </w:tcPr>
          <w:p>
            <w:pPr>
              <w:pStyle w:val="Compact"/>
              <w:jc w:val="left"/>
            </w:pPr>
            <w:r>
              <w:rPr>
                <w:sz w:val="17"/>
              </w:rPr>
              <w:t xml:space="preserve">Explainability</w:t>
            </w:r>
          </w:p>
        </w:tc>
        <w:tc>
          <w:tcPr>
            <w:tcW w:type="dxa" w:w="4819"/>
          </w:tcPr>
          <w:p>
            <w:pPr>
              <w:pStyle w:val="Compact"/>
              <w:jc w:val="left"/>
            </w:pPr>
            <w:r>
              <w:rPr>
                <w:sz w:val="17"/>
              </w:rPr>
              <w:t xml:space="preserve">Model-agnostic permutation-sampling</w:t>
            </w:r>
            <w:r>
              <w:rPr>
                <w:sz w:val="17"/>
              </w:rPr>
              <w:t xml:space="preserve"> </w:t>
            </w:r>
            <w:r>
              <w:rPr>
                <w:b/>
                <w:sz w:val="17"/>
              </w:rPr>
              <w:t xml:space="preserve">Shapley values</w:t>
            </w:r>
            <w:r>
              <w:rPr>
                <w:sz w:val="17"/>
              </w:rPr>
              <w:t xml:space="preserve"> </w:t>
            </w:r>
            <w:r>
              <w:rPr>
                <w:sz w:val="17"/>
              </w:rPr>
              <w:t xml:space="preserve">and a</w:t>
            </w:r>
            <w:r>
              <w:rPr>
                <w:sz w:val="17"/>
              </w:rPr>
              <w:t xml:space="preserve"> </w:t>
            </w:r>
            <w:r>
              <w:rPr>
                <w:b/>
                <w:sz w:val="17"/>
              </w:rPr>
              <w:t xml:space="preserve">LIME-style</w:t>
            </w:r>
            <w:r>
              <w:rPr>
                <w:sz w:val="17"/>
              </w:rPr>
              <w:t xml:space="preserve"> </w:t>
            </w:r>
            <w:r>
              <w:rPr>
                <w:sz w:val="17"/>
              </w:rPr>
              <w:t xml:space="preserve">surrogate implemented in</w:t>
            </w:r>
            <w:r>
              <w:rPr>
                <w:sz w:val="17"/>
              </w:rPr>
              <w:t xml:space="preserve"> </w:t>
            </w:r>
            <w:r>
              <w:rPr>
                <w:rStyle w:val="VerbatimChar"/>
                <w:sz w:val="17"/>
              </w:rPr>
              <w:t xml:space="preserve">src/explain/</w:t>
            </w:r>
            <w:r>
              <w:rPr>
                <w:sz w:val="17"/>
              </w:rPr>
              <w:t xml:space="preserve"> </w:t>
            </w:r>
            <w:r>
              <w:rPr>
                <w:sz w:val="17"/>
              </w:rPr>
              <w:t xml:space="preserve">(verified by tests: efficiency, exactness on an additive model). The</w:t>
            </w:r>
            <w:r>
              <w:rPr>
                <w:sz w:val="17"/>
              </w:rPr>
              <w:t xml:space="preserve"> </w:t>
            </w:r>
            <w:r>
              <w:rPr>
                <w:rStyle w:val="VerbatimChar"/>
                <w:sz w:val="17"/>
              </w:rPr>
              <w:t xml:space="preserve">shap</w:t>
            </w:r>
            <w:r>
              <w:rPr>
                <w:sz w:val="17"/>
              </w:rPr>
              <w:t xml:space="preserve"> </w:t>
            </w:r>
            <w:r>
              <w:rPr>
                <w:sz w:val="17"/>
              </w:rPr>
              <w:t xml:space="preserve">and</w:t>
            </w:r>
            <w:r>
              <w:rPr>
                <w:sz w:val="17"/>
              </w:rPr>
              <w:t xml:space="preserve"> </w:t>
            </w:r>
            <w:r>
              <w:rPr>
                <w:rStyle w:val="VerbatimChar"/>
                <w:sz w:val="17"/>
              </w:rPr>
              <w:t xml:space="preserve">lime</w:t>
            </w:r>
            <w:r>
              <w:rPr>
                <w:sz w:val="17"/>
              </w:rPr>
              <w:t xml:space="preserve"> </w:t>
            </w:r>
            <w:r>
              <w:rPr>
                <w:sz w:val="17"/>
              </w:rPr>
              <w:t xml:space="preserve">packages themselves were not available; hooks for them are documented.</w:t>
            </w:r>
          </w:p>
        </w:tc>
      </w:tr>
      <w:tr>
        <w:tc>
          <w:tcPr>
            <w:tcW w:type="dxa" w:w="4819"/>
          </w:tcPr>
          <w:p>
            <w:pPr>
              <w:pStyle w:val="Compact"/>
              <w:jc w:val="left"/>
            </w:pPr>
            <w:r>
              <w:rPr>
                <w:sz w:val="17"/>
              </w:rPr>
              <w:t xml:space="preserve">Notebooks (4)</w:t>
            </w:r>
          </w:p>
        </w:tc>
        <w:tc>
          <w:tcPr>
            <w:tcW w:type="dxa" w:w="4819"/>
          </w:tcPr>
          <w:p>
            <w:pPr>
              <w:pStyle w:val="Compact"/>
              <w:jc w:val="left"/>
            </w:pPr>
            <w:r>
              <w:rPr>
                <w:sz w:val="17"/>
              </w:rPr>
              <w:t xml:space="preserve">Executed, 0 errors (</w:t>
            </w:r>
            <w:r>
              <w:rPr>
                <w:rStyle w:val="VerbatimChar"/>
                <w:sz w:val="17"/>
              </w:rPr>
              <w:t xml:space="preserve">tools/build_notebooks.py</w:t>
            </w:r>
            <w:r>
              <w:rPr>
                <w:sz w:val="17"/>
              </w:rPr>
              <w:t xml:space="preserve">)</w:t>
            </w:r>
          </w:p>
        </w:tc>
      </w:tr>
      <w:tr>
        <w:tc>
          <w:tcPr>
            <w:tcW w:type="dxa" w:w="4819"/>
          </w:tcPr>
          <w:p>
            <w:pPr>
              <w:pStyle w:val="Compact"/>
              <w:jc w:val="left"/>
            </w:pPr>
            <w:r>
              <w:rPr>
                <w:sz w:val="17"/>
              </w:rPr>
              <w:t xml:space="preserve">Unit tests</w:t>
            </w:r>
          </w:p>
        </w:tc>
        <w:tc>
          <w:tcPr>
            <w:tcW w:type="dxa" w:w="4819"/>
          </w:tcPr>
          <w:p>
            <w:pPr>
              <w:pStyle w:val="Compact"/>
              <w:jc w:val="left"/>
            </w:pPr>
            <w:r>
              <w:rPr>
                <w:sz w:val="17"/>
              </w:rPr>
              <w:t xml:space="preserve">51 tests (50 pass, 1 skipped: needs pydantic)</w:t>
            </w:r>
          </w:p>
        </w:tc>
      </w:tr>
      <w:tr>
        <w:tc>
          <w:tcPr>
            <w:tcW w:type="dxa" w:w="4819"/>
          </w:tcPr>
          <w:p>
            <w:pPr>
              <w:pStyle w:val="Compact"/>
              <w:jc w:val="left"/>
            </w:pPr>
            <w:r>
              <w:rPr>
                <w:sz w:val="17"/>
              </w:rPr>
              <w:t xml:space="preserve">FastAPI service (</w:t>
            </w:r>
            <w:r>
              <w:rPr>
                <w:rStyle w:val="VerbatimChar"/>
                <w:sz w:val="17"/>
              </w:rPr>
              <w:t xml:space="preserve">src/api</w:t>
            </w:r>
            <w:r>
              <w:rPr>
                <w:sz w:val="17"/>
              </w:rPr>
              <w:t xml:space="preserve">)</w:t>
            </w:r>
          </w:p>
        </w:tc>
        <w:tc>
          <w:tcPr>
            <w:tcW w:type="dxa" w:w="4819"/>
          </w:tcPr>
          <w:p>
            <w:pPr>
              <w:pStyle w:val="Compact"/>
              <w:jc w:val="left"/>
            </w:pPr>
            <w:r>
              <w:rPr>
                <w:sz w:val="17"/>
              </w:rPr>
              <w:t xml:space="preserve">Written to the FastAPI/Pydantic v2 API,</w:t>
            </w:r>
            <w:r>
              <w:rPr>
                <w:sz w:val="17"/>
              </w:rPr>
              <w:t xml:space="preserve"> </w:t>
            </w:r>
            <w:r>
              <w:rPr>
                <w:b/>
                <w:sz w:val="17"/>
              </w:rPr>
              <w:t xml:space="preserve">never started</w:t>
            </w:r>
            <w:r>
              <w:rPr>
                <w:sz w:val="17"/>
              </w:rPr>
              <w:t xml:space="preserve"> </w:t>
            </w:r>
            <w:r>
              <w:rPr>
                <w:sz w:val="17"/>
              </w:rPr>
              <w:t xml:space="preserve">(packages not installable). The scoring logic it calls is tested.</w:t>
            </w:r>
          </w:p>
        </w:tc>
      </w:tr>
      <w:tr>
        <w:tc>
          <w:tcPr>
            <w:tcW w:type="dxa" w:w="4819"/>
          </w:tcPr>
          <w:p>
            <w:pPr>
              <w:pStyle w:val="Compact"/>
              <w:jc w:val="left"/>
            </w:pPr>
            <w:r>
              <w:rPr>
                <w:sz w:val="17"/>
              </w:rPr>
              <w:t xml:space="preserve">Streamlit dashboard (</w:t>
            </w:r>
            <w:r>
              <w:rPr>
                <w:rStyle w:val="VerbatimChar"/>
                <w:sz w:val="17"/>
              </w:rPr>
              <w:t xml:space="preserve">dashboard/</w:t>
            </w:r>
            <w:r>
              <w:rPr>
                <w:sz w:val="17"/>
              </w:rPr>
              <w:t xml:space="preserve">)</w:t>
            </w:r>
          </w:p>
        </w:tc>
        <w:tc>
          <w:tcPr>
            <w:tcW w:type="dxa" w:w="4819"/>
          </w:tcPr>
          <w:p>
            <w:pPr>
              <w:pStyle w:val="Compact"/>
              <w:jc w:val="left"/>
            </w:pPr>
            <w:r>
              <w:rPr>
                <w:sz w:val="17"/>
              </w:rPr>
              <w:t xml:space="preserve">Written,</w:t>
            </w:r>
            <w:r>
              <w:rPr>
                <w:sz w:val="17"/>
              </w:rPr>
              <w:t xml:space="preserve"> </w:t>
            </w:r>
            <w:r>
              <w:rPr>
                <w:b/>
                <w:sz w:val="17"/>
              </w:rPr>
              <w:t xml:space="preserve">never rendered</w:t>
            </w:r>
            <w:r>
              <w:rPr>
                <w:sz w:val="17"/>
              </w:rPr>
              <w:t xml:space="preserve">. Its data layer is tested.</w:t>
            </w:r>
          </w:p>
        </w:tc>
      </w:tr>
      <w:tr>
        <w:tc>
          <w:tcPr>
            <w:tcW w:type="dxa" w:w="4819"/>
          </w:tcPr>
          <w:p>
            <w:pPr>
              <w:pStyle w:val="Compact"/>
              <w:jc w:val="left"/>
            </w:pPr>
            <w:r>
              <w:rPr>
                <w:sz w:val="17"/>
              </w:rPr>
              <w:t xml:space="preserve">Docker, Compose, MLflow, GitHub Actions, AWS notes</w:t>
            </w:r>
          </w:p>
        </w:tc>
        <w:tc>
          <w:tcPr>
            <w:tcW w:type="dxa" w:w="4819"/>
          </w:tcPr>
          <w:p>
            <w:pPr>
              <w:pStyle w:val="Compact"/>
              <w:jc w:val="left"/>
            </w:pPr>
            <w:r>
              <w:rPr>
                <w:sz w:val="17"/>
              </w:rPr>
              <w:t xml:space="preserve">Written,</w:t>
            </w:r>
            <w:r>
              <w:rPr>
                <w:sz w:val="17"/>
              </w:rPr>
              <w:t xml:space="preserve"> </w:t>
            </w:r>
            <w:r>
              <w:rPr>
                <w:b/>
                <w:sz w:val="17"/>
              </w:rPr>
              <w:t xml:space="preserve">not executed</w:t>
            </w:r>
            <w:r>
              <w:rPr>
                <w:sz w:val="17"/>
              </w:rPr>
              <w:t xml:space="preserve">. Experiment runs are logged to</w:t>
            </w:r>
            <w:r>
              <w:rPr>
                <w:sz w:val="17"/>
              </w:rPr>
              <w:t xml:space="preserve"> </w:t>
            </w:r>
            <w:r>
              <w:rPr>
                <w:rStyle w:val="VerbatimChar"/>
                <w:sz w:val="17"/>
              </w:rPr>
              <w:t xml:space="preserve">experiments/runs.jsonl</w:t>
            </w:r>
            <w:r>
              <w:rPr>
                <w:sz w:val="17"/>
              </w:rPr>
              <w:t xml:space="preserve"> </w:t>
            </w:r>
            <w:r>
              <w:rPr>
                <w:sz w:val="17"/>
              </w:rPr>
              <w:t xml:space="preserve">when MLflow is absent.</w:t>
            </w:r>
          </w:p>
        </w:tc>
      </w:tr>
      <w:tr>
        <w:tc>
          <w:tcPr>
            <w:tcW w:type="dxa" w:w="4819"/>
          </w:tcPr>
          <w:p>
            <w:pPr>
              <w:pStyle w:val="Compact"/>
              <w:jc w:val="left"/>
            </w:pPr>
            <w:r>
              <w:rPr>
                <w:sz w:val="17"/>
              </w:rPr>
              <w:t xml:space="preserve">Code style (black / ruff)</w:t>
            </w:r>
          </w:p>
        </w:tc>
        <w:tc>
          <w:tcPr>
            <w:tcW w:type="dxa" w:w="4819"/>
          </w:tcPr>
          <w:p>
            <w:pPr>
              <w:pStyle w:val="Compact"/>
              <w:jc w:val="left"/>
            </w:pPr>
            <w:r>
              <w:rPr>
                <w:b/>
                <w:sz w:val="17"/>
              </w:rPr>
              <w:t xml:space="preserve">Not run</w:t>
            </w:r>
            <w:r>
              <w:rPr>
                <w:sz w:val="17"/>
              </w:rPr>
              <w:t xml:space="preserve"> </w:t>
            </w:r>
            <w:r>
              <w:rPr>
                <w:sz w:val="17"/>
              </w:rPr>
              <w:t xml:space="preserve">(tools unavailable). Some lines exceed 120 characters, so the first CI run will likely need</w:t>
            </w:r>
            <w:r>
              <w:rPr>
                <w:sz w:val="17"/>
              </w:rPr>
              <w:t xml:space="preserve"> </w:t>
            </w:r>
            <w:r>
              <w:rPr>
                <w:rStyle w:val="VerbatimChar"/>
                <w:sz w:val="17"/>
              </w:rPr>
              <w:t xml:space="preserve">black .</w:t>
            </w:r>
            <w:r>
              <w:rPr>
                <w:sz w:val="17"/>
              </w:rPr>
              <w:t xml:space="preserve"> </w:t>
            </w:r>
            <w:r>
              <w:rPr>
                <w:sz w:val="17"/>
              </w:rPr>
              <w:t xml:space="preserve">and a few</w:t>
            </w:r>
            <w:r>
              <w:rPr>
                <w:sz w:val="17"/>
              </w:rPr>
              <w:t xml:space="preserve"> </w:t>
            </w:r>
            <w:r>
              <w:rPr>
                <w:rStyle w:val="VerbatimChar"/>
                <w:sz w:val="17"/>
              </w:rPr>
              <w:t xml:space="preserve">ruff</w:t>
            </w:r>
            <w:r>
              <w:rPr>
                <w:sz w:val="17"/>
              </w:rPr>
              <w:t xml:space="preserve"> </w:t>
            </w:r>
            <w:r>
              <w:rPr>
                <w:sz w:val="17"/>
              </w:rPr>
              <w:t xml:space="preserve">fixes.</w:t>
            </w:r>
          </w:p>
        </w:tc>
      </w:tr>
    </w:tbl>
    <w:p>
      <w:pPr>
        <w:pStyle w:val="Heading1"/>
      </w:pPr>
      <w:bookmarkStart w:id="22" w:name="business-problem-and-success-criteria"/>
      <w:r>
        <w:t xml:space="preserve">3. Business problem and success criteria</w:t>
      </w:r>
      <w:bookmarkEnd w:id="22"/>
    </w:p>
    <w:p>
      <w:pPr>
        <w:pStyle w:val="FirstParagraph"/>
      </w:pPr>
      <w:r>
        <w:t xml:space="preserve">A retailer wants to find sessions likely to convert so that low-cost interventions (a banner, a nudge, a remarketing audience) can be targeted. Because only about one session in six converts, accuracy is misleading:</w:t>
      </w:r>
      <w:r>
        <w:t xml:space="preserve"> </w:t>
      </w:r>
      <w:r>
        <w:t xml:space="preserve">“</w:t>
      </w:r>
      <w:r>
        <w:t xml:space="preserve">always no purchase</w:t>
      </w:r>
      <w:r>
        <w:t xml:space="preserve">”</w:t>
      </w:r>
      <w:r>
        <w:t xml:space="preserve"> </w:t>
      </w:r>
      <w:r>
        <w:t xml:space="preserve">is 84.3% accurate and finds no buyers. The metrics that lead are therefore PR-AUC and recall on the buying class, with ROC-AUC, F1, Brier score and a confusion matrix as support.</w:t>
      </w:r>
    </w:p>
    <w:p>
      <w:pPr>
        <w:pStyle w:val="Heading1"/>
      </w:pPr>
      <w:bookmarkStart w:id="23" w:name="data"/>
      <w:r>
        <w:t xml:space="preserve">4. Data</w:t>
      </w:r>
      <w:bookmarkEnd w:id="23"/>
    </w:p>
    <w:p>
      <w:pPr>
        <w:pStyle w:val="FirstParagraph"/>
      </w:pPr>
      <w:r>
        <w:t xml:space="preserve">12,000 sessions with 17 inputs and the target</w:t>
      </w:r>
      <w:r>
        <w:t xml:space="preserve"> </w:t>
      </w:r>
      <w:r>
        <w:rPr>
          <w:rStyle w:val="VerbatimChar"/>
        </w:rPr>
        <w:t xml:space="preserve">Converted</w:t>
      </w:r>
      <w:r>
        <w:t xml:space="preserve"> </w:t>
      </w:r>
      <w:r>
        <w:t xml:space="preserve">(15.7% positive). No missing values and no duplicate rows. Four ID columns (OperatingSystems, Browser, Region, TrafficType) are stored as integers but are categories, so they are one-hot encoded and never scaled. Conversion is highest in November (20.0%) and lowest in February and June (about 10%); new visitors convert less (10.2%) than returning visitors (16.6%). The file looks synthetic: 463 sessions have BounceRates above ExitRates, which real analytics data should not show. Results therefore describe this dataset.</w:t>
      </w:r>
    </w:p>
    <w:p>
      <w:pPr>
        <w:pStyle w:val="Heading1"/>
      </w:pPr>
      <w:bookmarkStart w:id="24" w:name="method"/>
      <w:r>
        <w:t xml:space="preserve">5. Method</w:t>
      </w:r>
      <w:bookmarkEnd w:id="24"/>
    </w:p>
    <w:p>
      <w:pPr>
        <w:pStyle w:val="CaptionedFigure"/>
      </w:pPr>
      <w:r>
        <w:drawing>
          <wp:inline>
            <wp:extent cx="5334000" cy="3368152"/>
            <wp:effectExtent b="0" l="0" r="0" t="0"/>
            <wp:docPr descr="Architecture" title="" id="1" name="Picture"/>
            <a:graphic>
              <a:graphicData uri="http://schemas.openxmlformats.org/drawingml/2006/picture">
                <pic:pic>
                  <pic:nvPicPr>
                    <pic:cNvPr descr="docs/architecture.png" id="0" name="Picture"/>
                    <pic:cNvPicPr>
                      <a:picLocks noChangeArrowheads="1" noChangeAspect="1"/>
                    </pic:cNvPicPr>
                  </pic:nvPicPr>
                  <pic:blipFill>
                    <a:blip r:embed="rId25"/>
                    <a:stretch>
                      <a:fillRect/>
                    </a:stretch>
                  </pic:blipFill>
                  <pic:spPr bwMode="auto">
                    <a:xfrm>
                      <a:off x="0" y="0"/>
                      <a:ext cx="5334000" cy="3368152"/>
                    </a:xfrm>
                    <a:prstGeom prst="rect">
                      <a:avLst/>
                    </a:prstGeom>
                    <a:noFill/>
                    <a:ln w="9525">
                      <a:noFill/>
                      <a:headEnd/>
                      <a:tailEnd/>
                    </a:ln>
                  </pic:spPr>
                </pic:pic>
              </a:graphicData>
            </a:graphic>
          </wp:inline>
        </w:drawing>
      </w:r>
    </w:p>
    <w:p>
      <w:pPr>
        <w:pStyle w:val="ImageCaption"/>
      </w:pPr>
      <w:r>
        <w:t xml:space="preserve">Architecture</w:t>
      </w:r>
    </w:p>
    <w:p>
      <w:pPr>
        <w:pStyle w:val="BodyText"/>
      </w:pPr>
      <w:r>
        <w:t xml:space="preserve">The data were split 80/20, stratified and seeded (the test part was used once for the final model). Everything that chooses something (imbalance strategy, hyper-parameters, features, threshold) uses the training part only with stratified 5-fold cross-validation. Preprocessing (log1p and standardisation of skewed numerics, one-hot encoding of categoricals with unseen categories mapped to zeros, optional SMOTE) is fitted inside each fold and saved as one object that serving reuses, so there is no train/serve skew.</w:t>
      </w:r>
    </w:p>
    <w:p>
      <w:pPr>
        <w:pStyle w:val="BodyText"/>
      </w:pPr>
      <w:r>
        <w:t xml:space="preserve">Imbalance strategies were benchmarked rather than assumed. Plain probabilities with threshold tuning and class weights were within noise of each other for every model, and</w:t>
      </w:r>
      <w:r>
        <w:t xml:space="preserve"> </w:t>
      </w:r>
      <w:r>
        <w:rPr>
          <w:b/>
        </w:rPr>
        <w:t xml:space="preserve">SMOTE was never better and often worse</w:t>
      </w:r>
      <w:r>
        <w:t xml:space="preserve"> </w:t>
      </w:r>
      <w:r>
        <w:t xml:space="preserve">(for example DecisionTree 0.43 against 0.48 CV PR-AUC).</w:t>
      </w:r>
    </w:p>
    <w:p>
      <w:pPr>
        <w:pStyle w:val="CaptionedFigure"/>
      </w:pPr>
      <w:r>
        <w:drawing>
          <wp:inline>
            <wp:extent cx="5334000" cy="1581336"/>
            <wp:effectExtent b="0" l="0" r="0" t="0"/>
            <wp:docPr descr="Scoring workflow" title="" id="1" name="Picture"/>
            <a:graphic>
              <a:graphicData uri="http://schemas.openxmlformats.org/drawingml/2006/picture">
                <pic:pic>
                  <pic:nvPicPr>
                    <pic:cNvPr descr="docs/workflow.png" id="0" name="Picture"/>
                    <pic:cNvPicPr>
                      <a:picLocks noChangeArrowheads="1" noChangeAspect="1"/>
                    </pic:cNvPicPr>
                  </pic:nvPicPr>
                  <pic:blipFill>
                    <a:blip r:embed="rId26"/>
                    <a:stretch>
                      <a:fillRect/>
                    </a:stretch>
                  </pic:blipFill>
                  <pic:spPr bwMode="auto">
                    <a:xfrm>
                      <a:off x="0" y="0"/>
                      <a:ext cx="5334000" cy="1581336"/>
                    </a:xfrm>
                    <a:prstGeom prst="rect">
                      <a:avLst/>
                    </a:prstGeom>
                    <a:noFill/>
                    <a:ln w="9525">
                      <a:noFill/>
                      <a:headEnd/>
                      <a:tailEnd/>
                    </a:ln>
                  </pic:spPr>
                </pic:pic>
              </a:graphicData>
            </a:graphic>
          </wp:inline>
        </w:drawing>
      </w:r>
    </w:p>
    <w:p>
      <w:pPr>
        <w:pStyle w:val="ImageCaption"/>
      </w:pPr>
      <w:r>
        <w:t xml:space="preserve">Scoring workflow</w:t>
      </w:r>
    </w:p>
    <w:p>
      <w:pPr>
        <w:pStyle w:val="Heading1"/>
      </w:pPr>
      <w:bookmarkStart w:id="27" w:name="results"/>
      <w:r>
        <w:t xml:space="preserve">6. Results</w:t>
      </w:r>
      <w:bookmarkEnd w:id="27"/>
    </w:p>
    <w:tbl>
      <w:tblPr>
        <w:tblStyle w:val="Table"/>
        <w:tblLook w:firstRow="1"/>
        <w:tblLayout w:type="fixed"/>
        <w:tblW w:w="9638" w:type="dxa"/>
        <w:tblBorders>
          <w:top w:val="single" w:sz="4" w:color="BFC5D0"/>
          <w:left w:val="single" w:sz="4" w:color="BFC5D0"/>
          <w:bottom w:val="single" w:sz="4" w:color="BFC5D0"/>
          <w:right w:val="single" w:sz="4" w:color="BFC5D0"/>
          <w:insideH w:val="single" w:sz="4" w:color="BFC5D0"/>
          <w:insideV w:val="single" w:sz="4" w:color="BFC5D0"/>
        </w:tblBorders>
      </w:tblPr>
      <w:tblGrid>
        <w:gridCol w:w="2381"/>
        <w:gridCol w:w="1209"/>
        <w:gridCol w:w="1209"/>
        <w:gridCol w:w="1209"/>
        <w:gridCol w:w="1209"/>
        <w:gridCol w:w="1209"/>
        <w:gridCol w:w="1209"/>
      </w:tblGrid>
      <w:tr>
        <w:trPr>
          <w:cnfStyle w:firstRow="1"/>
        </w:trPr>
        <w:tc>
          <w:tcPr>
            <w:tcW w:type="dxa" w:w="2381"/>
            <w:tcBorders>
              <w:bottom w:val="single"/>
            </w:tcBorders>
            <w:vAlign w:val="bottom"/>
          </w:tcPr>
          <w:p>
            <w:pPr>
              <w:pStyle w:val="Compact"/>
              <w:jc w:val="left"/>
            </w:pPr>
            <w:r>
              <w:rPr>
                <w:b/>
                <w:sz w:val="17"/>
              </w:rPr>
              <w:t xml:space="preserve">Model</w:t>
            </w:r>
          </w:p>
        </w:tc>
        <w:tc>
          <w:tcPr>
            <w:tcW w:type="dxa" w:w="1209"/>
            <w:tcBorders>
              <w:bottom w:val="single"/>
            </w:tcBorders>
            <w:vAlign w:val="bottom"/>
          </w:tcPr>
          <w:p>
            <w:pPr>
              <w:pStyle w:val="Compact"/>
              <w:jc w:val="left"/>
            </w:pPr>
            <w:r>
              <w:rPr>
                <w:b/>
                <w:sz w:val="17"/>
              </w:rPr>
              <w:t xml:space="preserve">Imbalance</w:t>
            </w:r>
          </w:p>
        </w:tc>
        <w:tc>
          <w:tcPr>
            <w:tcW w:type="dxa" w:w="1209"/>
            <w:tcBorders>
              <w:bottom w:val="single"/>
            </w:tcBorders>
            <w:vAlign w:val="bottom"/>
          </w:tcPr>
          <w:p>
            <w:pPr>
              <w:pStyle w:val="Compact"/>
              <w:jc w:val="left"/>
            </w:pPr>
            <w:r>
              <w:rPr>
                <w:b/>
                <w:sz w:val="17"/>
              </w:rPr>
              <w:t xml:space="preserve">CV PR-AUC</w:t>
            </w:r>
          </w:p>
        </w:tc>
        <w:tc>
          <w:tcPr>
            <w:tcW w:type="dxa" w:w="1209"/>
            <w:tcBorders>
              <w:bottom w:val="single"/>
            </w:tcBorders>
            <w:vAlign w:val="bottom"/>
          </w:tcPr>
          <w:p>
            <w:pPr>
              <w:pStyle w:val="Compact"/>
              <w:jc w:val="left"/>
            </w:pPr>
            <w:r>
              <w:rPr>
                <w:b/>
                <w:sz w:val="17"/>
              </w:rPr>
              <w:t xml:space="preserve">CV ROC-AUC</w:t>
            </w:r>
          </w:p>
        </w:tc>
        <w:tc>
          <w:tcPr>
            <w:tcW w:type="dxa" w:w="1209"/>
            <w:tcBorders>
              <w:bottom w:val="single"/>
            </w:tcBorders>
            <w:vAlign w:val="bottom"/>
          </w:tcPr>
          <w:p>
            <w:pPr>
              <w:pStyle w:val="Compact"/>
              <w:jc w:val="left"/>
            </w:pPr>
            <w:r>
              <w:rPr>
                <w:b/>
                <w:sz w:val="17"/>
              </w:rPr>
              <w:t xml:space="preserve">CV Brier</w:t>
            </w:r>
          </w:p>
        </w:tc>
        <w:tc>
          <w:tcPr>
            <w:tcW w:type="dxa" w:w="1209"/>
            <w:tcBorders>
              <w:bottom w:val="single"/>
            </w:tcBorders>
            <w:vAlign w:val="bottom"/>
          </w:tcPr>
          <w:p>
            <w:pPr>
              <w:pStyle w:val="Compact"/>
              <w:jc w:val="left"/>
            </w:pPr>
            <w:r>
              <w:rPr>
                <w:b/>
                <w:sz w:val="17"/>
              </w:rPr>
              <w:t xml:space="preserve">Test PR-AUC</w:t>
            </w:r>
          </w:p>
        </w:tc>
        <w:tc>
          <w:tcPr>
            <w:tcW w:type="dxa" w:w="1209"/>
            <w:tcBorders>
              <w:bottom w:val="single"/>
            </w:tcBorders>
            <w:vAlign w:val="bottom"/>
          </w:tcPr>
          <w:p>
            <w:pPr>
              <w:pStyle w:val="Compact"/>
              <w:jc w:val="left"/>
            </w:pPr>
            <w:r>
              <w:rPr>
                <w:b/>
                <w:sz w:val="17"/>
              </w:rPr>
              <w:t xml:space="preserve">Test ROC-AUC</w:t>
            </w:r>
          </w:p>
        </w:tc>
      </w:tr>
      <w:tr>
        <w:tc>
          <w:tcPr>
            <w:tcW w:type="dxa" w:w="2381"/>
          </w:tcPr>
          <w:p>
            <w:pPr>
              <w:pStyle w:val="Compact"/>
              <w:jc w:val="left"/>
            </w:pPr>
            <w:r>
              <w:rPr>
                <w:sz w:val="17"/>
              </w:rPr>
              <w:t xml:space="preserve">LogisticRegression</w:t>
            </w:r>
          </w:p>
        </w:tc>
        <w:tc>
          <w:tcPr>
            <w:tcW w:type="dxa" w:w="1209"/>
          </w:tcPr>
          <w:p>
            <w:pPr>
              <w:pStyle w:val="Compact"/>
              <w:jc w:val="left"/>
            </w:pPr>
            <w:r>
              <w:rPr>
                <w:sz w:val="17"/>
              </w:rPr>
              <w:t xml:space="preserve">none</w:t>
            </w:r>
          </w:p>
        </w:tc>
        <w:tc>
          <w:tcPr>
            <w:tcW w:type="dxa" w:w="1209"/>
          </w:tcPr>
          <w:p>
            <w:pPr>
              <w:pStyle w:val="Compact"/>
              <w:jc w:val="left"/>
            </w:pPr>
            <w:r>
              <w:rPr>
                <w:sz w:val="17"/>
              </w:rPr>
              <w:t xml:space="preserve">0.531 +- 0.028</w:t>
            </w:r>
          </w:p>
        </w:tc>
        <w:tc>
          <w:tcPr>
            <w:tcW w:type="dxa" w:w="1209"/>
          </w:tcPr>
          <w:p>
            <w:pPr>
              <w:pStyle w:val="Compact"/>
              <w:jc w:val="left"/>
            </w:pPr>
            <w:r>
              <w:rPr>
                <w:sz w:val="17"/>
              </w:rPr>
              <w:t xml:space="preserve">0.832</w:t>
            </w:r>
          </w:p>
        </w:tc>
        <w:tc>
          <w:tcPr>
            <w:tcW w:type="dxa" w:w="1209"/>
          </w:tcPr>
          <w:p>
            <w:pPr>
              <w:pStyle w:val="Compact"/>
              <w:jc w:val="left"/>
            </w:pPr>
            <w:r>
              <w:rPr>
                <w:sz w:val="17"/>
              </w:rPr>
              <w:t xml:space="preserve">0.100</w:t>
            </w:r>
          </w:p>
        </w:tc>
        <w:tc>
          <w:tcPr>
            <w:tcW w:type="dxa" w:w="1209"/>
          </w:tcPr>
          <w:p>
            <w:pPr>
              <w:pStyle w:val="Compact"/>
              <w:jc w:val="left"/>
            </w:pPr>
            <w:r>
              <w:rPr>
                <w:sz w:val="17"/>
              </w:rPr>
              <w:t xml:space="preserve">0.555</w:t>
            </w:r>
          </w:p>
        </w:tc>
        <w:tc>
          <w:tcPr>
            <w:tcW w:type="dxa" w:w="1209"/>
          </w:tcPr>
          <w:p>
            <w:pPr>
              <w:pStyle w:val="Compact"/>
              <w:jc w:val="left"/>
            </w:pPr>
            <w:r>
              <w:rPr>
                <w:sz w:val="17"/>
              </w:rPr>
              <w:t xml:space="preserve">0.836</w:t>
            </w:r>
          </w:p>
        </w:tc>
      </w:tr>
      <w:tr>
        <w:tc>
          <w:tcPr>
            <w:tcW w:type="dxa" w:w="2381"/>
          </w:tcPr>
          <w:p>
            <w:pPr>
              <w:pStyle w:val="Compact"/>
              <w:jc w:val="left"/>
            </w:pPr>
            <w:r>
              <w:rPr>
                <w:sz w:val="17"/>
              </w:rPr>
              <w:t xml:space="preserve">DecisionTree</w:t>
            </w:r>
          </w:p>
        </w:tc>
        <w:tc>
          <w:tcPr>
            <w:tcW w:type="dxa" w:w="1209"/>
          </w:tcPr>
          <w:p>
            <w:pPr>
              <w:pStyle w:val="Compact"/>
              <w:jc w:val="left"/>
            </w:pPr>
            <w:r>
              <w:rPr>
                <w:sz w:val="17"/>
              </w:rPr>
              <w:t xml:space="preserve">none</w:t>
            </w:r>
          </w:p>
        </w:tc>
        <w:tc>
          <w:tcPr>
            <w:tcW w:type="dxa" w:w="1209"/>
          </w:tcPr>
          <w:p>
            <w:pPr>
              <w:pStyle w:val="Compact"/>
              <w:jc w:val="left"/>
            </w:pPr>
            <w:r>
              <w:rPr>
                <w:sz w:val="17"/>
              </w:rPr>
              <w:t xml:space="preserve">0.489 +- 0.020</w:t>
            </w:r>
          </w:p>
        </w:tc>
        <w:tc>
          <w:tcPr>
            <w:tcW w:type="dxa" w:w="1209"/>
          </w:tcPr>
          <w:p>
            <w:pPr>
              <w:pStyle w:val="Compact"/>
              <w:jc w:val="left"/>
            </w:pPr>
            <w:r>
              <w:rPr>
                <w:sz w:val="17"/>
              </w:rPr>
              <w:t xml:space="preserve">0.802</w:t>
            </w:r>
          </w:p>
        </w:tc>
        <w:tc>
          <w:tcPr>
            <w:tcW w:type="dxa" w:w="1209"/>
          </w:tcPr>
          <w:p>
            <w:pPr>
              <w:pStyle w:val="Compact"/>
              <w:jc w:val="left"/>
            </w:pPr>
            <w:r>
              <w:rPr>
                <w:sz w:val="17"/>
              </w:rPr>
              <w:t xml:space="preserve">0.105</w:t>
            </w:r>
          </w:p>
        </w:tc>
        <w:tc>
          <w:tcPr>
            <w:tcW w:type="dxa" w:w="1209"/>
          </w:tcPr>
          <w:p>
            <w:pPr>
              <w:pStyle w:val="Compact"/>
              <w:jc w:val="left"/>
            </w:pPr>
            <w:r>
              <w:rPr>
                <w:sz w:val="17"/>
              </w:rPr>
              <w:t xml:space="preserve">0.479</w:t>
            </w:r>
          </w:p>
        </w:tc>
        <w:tc>
          <w:tcPr>
            <w:tcW w:type="dxa" w:w="1209"/>
          </w:tcPr>
          <w:p>
            <w:pPr>
              <w:pStyle w:val="Compact"/>
              <w:jc w:val="left"/>
            </w:pPr>
            <w:r>
              <w:rPr>
                <w:sz w:val="17"/>
              </w:rPr>
              <w:t xml:space="preserve">0.797</w:t>
            </w:r>
          </w:p>
        </w:tc>
      </w:tr>
      <w:tr>
        <w:tc>
          <w:tcPr>
            <w:tcW w:type="dxa" w:w="2381"/>
          </w:tcPr>
          <w:p>
            <w:pPr>
              <w:pStyle w:val="Compact"/>
              <w:jc w:val="left"/>
            </w:pPr>
            <w:r>
              <w:rPr>
                <w:sz w:val="17"/>
              </w:rPr>
              <w:t xml:space="preserve">RandomForest</w:t>
            </w:r>
          </w:p>
        </w:tc>
        <w:tc>
          <w:tcPr>
            <w:tcW w:type="dxa" w:w="1209"/>
          </w:tcPr>
          <w:p>
            <w:pPr>
              <w:pStyle w:val="Compact"/>
              <w:jc w:val="left"/>
            </w:pPr>
            <w:r>
              <w:rPr>
                <w:sz w:val="17"/>
              </w:rPr>
              <w:t xml:space="preserve">none</w:t>
            </w:r>
          </w:p>
        </w:tc>
        <w:tc>
          <w:tcPr>
            <w:tcW w:type="dxa" w:w="1209"/>
          </w:tcPr>
          <w:p>
            <w:pPr>
              <w:pStyle w:val="Compact"/>
              <w:jc w:val="left"/>
            </w:pPr>
            <w:r>
              <w:rPr>
                <w:sz w:val="17"/>
              </w:rPr>
              <w:t xml:space="preserve">0.532 +- 0.025</w:t>
            </w:r>
          </w:p>
        </w:tc>
        <w:tc>
          <w:tcPr>
            <w:tcW w:type="dxa" w:w="1209"/>
          </w:tcPr>
          <w:p>
            <w:pPr>
              <w:pStyle w:val="Compact"/>
              <w:jc w:val="left"/>
            </w:pPr>
            <w:r>
              <w:rPr>
                <w:sz w:val="17"/>
              </w:rPr>
              <w:t xml:space="preserve">0.830</w:t>
            </w:r>
          </w:p>
        </w:tc>
        <w:tc>
          <w:tcPr>
            <w:tcW w:type="dxa" w:w="1209"/>
          </w:tcPr>
          <w:p>
            <w:pPr>
              <w:pStyle w:val="Compact"/>
              <w:jc w:val="left"/>
            </w:pPr>
            <w:r>
              <w:rPr>
                <w:sz w:val="17"/>
              </w:rPr>
              <w:t xml:space="preserve">0.099</w:t>
            </w:r>
          </w:p>
        </w:tc>
        <w:tc>
          <w:tcPr>
            <w:tcW w:type="dxa" w:w="1209"/>
          </w:tcPr>
          <w:p>
            <w:pPr>
              <w:pStyle w:val="Compact"/>
              <w:jc w:val="left"/>
            </w:pPr>
            <w:r>
              <w:rPr>
                <w:sz w:val="17"/>
              </w:rPr>
              <w:t xml:space="preserve">0.543</w:t>
            </w:r>
          </w:p>
        </w:tc>
        <w:tc>
          <w:tcPr>
            <w:tcW w:type="dxa" w:w="1209"/>
          </w:tcPr>
          <w:p>
            <w:pPr>
              <w:pStyle w:val="Compact"/>
              <w:jc w:val="left"/>
            </w:pPr>
            <w:r>
              <w:rPr>
                <w:sz w:val="17"/>
              </w:rPr>
              <w:t xml:space="preserve">0.832</w:t>
            </w:r>
          </w:p>
        </w:tc>
      </w:tr>
      <w:tr>
        <w:tc>
          <w:tcPr>
            <w:tcW w:type="dxa" w:w="2381"/>
          </w:tcPr>
          <w:p>
            <w:pPr>
              <w:pStyle w:val="Compact"/>
              <w:jc w:val="left"/>
            </w:pPr>
            <w:r>
              <w:rPr>
                <w:sz w:val="17"/>
              </w:rPr>
              <w:t xml:space="preserve">GradientBoosting</w:t>
            </w:r>
          </w:p>
        </w:tc>
        <w:tc>
          <w:tcPr>
            <w:tcW w:type="dxa" w:w="1209"/>
          </w:tcPr>
          <w:p>
            <w:pPr>
              <w:pStyle w:val="Compact"/>
              <w:jc w:val="left"/>
            </w:pPr>
            <w:r>
              <w:rPr>
                <w:sz w:val="17"/>
              </w:rPr>
              <w:t xml:space="preserve">class_weight</w:t>
            </w:r>
          </w:p>
        </w:tc>
        <w:tc>
          <w:tcPr>
            <w:tcW w:type="dxa" w:w="1209"/>
          </w:tcPr>
          <w:p>
            <w:pPr>
              <w:pStyle w:val="Compact"/>
              <w:jc w:val="left"/>
            </w:pPr>
            <w:r>
              <w:rPr>
                <w:sz w:val="17"/>
              </w:rPr>
              <w:t xml:space="preserve">0.521 +- 0.021</w:t>
            </w:r>
          </w:p>
        </w:tc>
        <w:tc>
          <w:tcPr>
            <w:tcW w:type="dxa" w:w="1209"/>
          </w:tcPr>
          <w:p>
            <w:pPr>
              <w:pStyle w:val="Compact"/>
              <w:jc w:val="left"/>
            </w:pPr>
            <w:r>
              <w:rPr>
                <w:sz w:val="17"/>
              </w:rPr>
              <w:t xml:space="preserve">0.830</w:t>
            </w:r>
          </w:p>
        </w:tc>
        <w:tc>
          <w:tcPr>
            <w:tcW w:type="dxa" w:w="1209"/>
          </w:tcPr>
          <w:p>
            <w:pPr>
              <w:pStyle w:val="Compact"/>
              <w:jc w:val="left"/>
            </w:pPr>
            <w:r>
              <w:rPr>
                <w:sz w:val="17"/>
              </w:rPr>
              <w:t xml:space="preserve">0.159</w:t>
            </w:r>
          </w:p>
        </w:tc>
        <w:tc>
          <w:tcPr>
            <w:tcW w:type="dxa" w:w="1209"/>
          </w:tcPr>
          <w:p>
            <w:pPr>
              <w:pStyle w:val="Compact"/>
              <w:jc w:val="left"/>
            </w:pPr>
            <w:r>
              <w:rPr>
                <w:sz w:val="17"/>
              </w:rPr>
              <w:t xml:space="preserve">0.553</w:t>
            </w:r>
          </w:p>
        </w:tc>
        <w:tc>
          <w:tcPr>
            <w:tcW w:type="dxa" w:w="1209"/>
          </w:tcPr>
          <w:p>
            <w:pPr>
              <w:pStyle w:val="Compact"/>
              <w:jc w:val="left"/>
            </w:pPr>
            <w:r>
              <w:rPr>
                <w:sz w:val="17"/>
              </w:rPr>
              <w:t xml:space="preserve">0.835</w:t>
            </w:r>
          </w:p>
        </w:tc>
      </w:tr>
    </w:tbl>
    <w:p>
      <w:pPr>
        <w:pStyle w:val="BodyText"/>
      </w:pPr>
      <w:r>
        <w:t xml:space="preserve">Four of the six requested algorithms were trained; XGBoost, LightGBM and CatBoost are registered automatically when installed. LogisticRegression, RandomForest and GradientBoosting are within one standard error of each other, so the</w:t>
      </w:r>
      <w:r>
        <w:t xml:space="preserve"> </w:t>
      </w:r>
      <w:r>
        <w:rPr>
          <w:b/>
        </w:rPr>
        <w:t xml:space="preserve">one-standard-error rule</w:t>
      </w:r>
      <w:r>
        <w:t xml:space="preserve"> </w:t>
      </w:r>
      <w:r>
        <w:t xml:space="preserve">picked the simplest,</w:t>
      </w:r>
      <w:r>
        <w:t xml:space="preserve"> </w:t>
      </w:r>
      <w:r>
        <w:rPr>
          <w:b/>
        </w:rPr>
        <w:t xml:space="preserve">LogisticRegression</w:t>
      </w:r>
      <w:r>
        <w:t xml:space="preserve">. This rule was adopted after the first run showed LogisticRegression and RandomForest tied to three decimals; the raw-best model (RandomForest) has test PR-AUC 0.543, not higher than the deployed model’s 0.558. GradientBoosting’s Brier score is much worse because class weights distort its probabilities.</w:t>
      </w:r>
    </w:p>
    <w:p>
      <w:pPr>
        <w:pStyle w:val="BodyText"/>
      </w:pPr>
      <w:r>
        <w:rPr>
          <w:b/>
        </w:rPr>
        <w:t xml:space="preserve">Feature selection.</w:t>
      </w:r>
      <w:r>
        <w:t xml:space="preserve"> </w:t>
      </w:r>
      <w:r>
        <w:t xml:space="preserve">Permutation importance (drop in PR-AUC when one input is shuffled) is dominated by ProductRelated, then ExitRates; everything else is at or below noise. Six inputs (TrafficType, Weekend, Month, SpecialDay, OperatingSystems, Region) were removed under a stated rule, with CV PR-AUC 0.531 before and 0.538 after (a difference inside the noise: the claim is no loss with fewer inputs, not an improvement). The engineered ratio features add 0.0006 CV PR-AUC, which is also noise; they are kept for interpretability only.</w:t>
      </w:r>
    </w:p>
    <w:p>
      <w:pPr>
        <w:pStyle w:val="BodyText"/>
      </w:pPr>
      <w:r>
        <w:rPr>
          <w:b/>
        </w:rPr>
        <w:t xml:space="preserve">Test set (used once).</w:t>
      </w:r>
      <w:r>
        <w:t xml:space="preserve"> </w:t>
      </w:r>
      <w:r>
        <w:t xml:space="preserve">PR-AUC 0.558, ROC-AUC 0.837, Brier 0.098. At threshold 0.125: recall 0.81, precision 0.32, TP 306, FP 663, FN 71, TN 1360.</w:t>
      </w:r>
    </w:p>
    <w:p>
      <w:pPr>
        <w:pStyle w:val="CaptionedFigure"/>
      </w:pPr>
      <w:r>
        <w:drawing>
          <wp:inline>
            <wp:extent cx="5334000" cy="2471420"/>
            <wp:effectExtent b="0" l="0" r="0" t="0"/>
            <wp:docPr descr="Test PR and ROC curves" title="" id="1" name="Picture"/>
            <a:graphic>
              <a:graphicData uri="http://schemas.openxmlformats.org/drawingml/2006/picture">
                <pic:pic>
                  <pic:nvPicPr>
                    <pic:cNvPr descr="reports/figures/test_pr_roc.png" id="0" name="Picture"/>
                    <pic:cNvPicPr>
                      <a:picLocks noChangeArrowheads="1" noChangeAspect="1"/>
                    </pic:cNvPicPr>
                  </pic:nvPicPr>
                  <pic:blipFill>
                    <a:blip r:embed="rId28"/>
                    <a:stretch>
                      <a:fillRect/>
                    </a:stretch>
                  </pic:blipFill>
                  <pic:spPr bwMode="auto">
                    <a:xfrm>
                      <a:off x="0" y="0"/>
                      <a:ext cx="5334000" cy="2471420"/>
                    </a:xfrm>
                    <a:prstGeom prst="rect">
                      <a:avLst/>
                    </a:prstGeom>
                    <a:noFill/>
                    <a:ln w="9525">
                      <a:noFill/>
                      <a:headEnd/>
                      <a:tailEnd/>
                    </a:ln>
                  </pic:spPr>
                </pic:pic>
              </a:graphicData>
            </a:graphic>
          </wp:inline>
        </w:drawing>
      </w:r>
    </w:p>
    <w:p>
      <w:pPr>
        <w:pStyle w:val="ImageCaption"/>
      </w:pPr>
      <w:r>
        <w:t xml:space="preserve">Test PR and ROC curves</w:t>
      </w:r>
    </w:p>
    <w:p>
      <w:pPr>
        <w:pStyle w:val="CaptionedFigure"/>
      </w:pPr>
      <w:r>
        <w:drawing>
          <wp:inline>
            <wp:extent cx="4075813" cy="3891516"/>
            <wp:effectExtent b="0" l="0" r="0" t="0"/>
            <wp:docPr descr="Calibration on the test set" title="" id="1" name="Picture"/>
            <a:graphic>
              <a:graphicData uri="http://schemas.openxmlformats.org/drawingml/2006/picture">
                <pic:pic>
                  <pic:nvPicPr>
                    <pic:cNvPr descr="reports/figures/test_calibration.png" id="0" name="Picture"/>
                    <pic:cNvPicPr>
                      <a:picLocks noChangeArrowheads="1" noChangeAspect="1"/>
                    </pic:cNvPicPr>
                  </pic:nvPicPr>
                  <pic:blipFill>
                    <a:blip r:embed="rId29"/>
                    <a:stretch>
                      <a:fillRect/>
                    </a:stretch>
                  </pic:blipFill>
                  <pic:spPr bwMode="auto">
                    <a:xfrm>
                      <a:off x="0" y="0"/>
                      <a:ext cx="4075813" cy="3891516"/>
                    </a:xfrm>
                    <a:prstGeom prst="rect">
                      <a:avLst/>
                    </a:prstGeom>
                    <a:noFill/>
                    <a:ln w="9525">
                      <a:noFill/>
                      <a:headEnd/>
                      <a:tailEnd/>
                    </a:ln>
                  </pic:spPr>
                </pic:pic>
              </a:graphicData>
            </a:graphic>
          </wp:inline>
        </w:drawing>
      </w:r>
    </w:p>
    <w:p>
      <w:pPr>
        <w:pStyle w:val="ImageCaption"/>
      </w:pPr>
      <w:r>
        <w:t xml:space="preserve">Calibration on the test set</w:t>
      </w:r>
    </w:p>
    <w:p>
      <w:pPr>
        <w:pStyle w:val="Heading1"/>
      </w:pPr>
      <w:bookmarkStart w:id="30" w:name="decision-threshold-from-business-value"/>
      <w:r>
        <w:t xml:space="preserve">7. Decision threshold from business value</w:t>
      </w:r>
      <w:bookmarkEnd w:id="30"/>
    </w:p>
    <w:p>
      <w:pPr>
        <w:pStyle w:val="FirstParagraph"/>
      </w:pPr>
      <w:r>
        <w:t xml:space="preserve">Net value of flagging a session = value of a captured purchase x purchases flagged - cost per intervention x sessions flagged. The value (40) and cost (4) are</w:t>
      </w:r>
      <w:r>
        <w:t xml:space="preserve"> </w:t>
      </w:r>
      <w:r>
        <w:rPr>
          <w:b/>
        </w:rPr>
        <w:t xml:space="preserve">assumptions</w:t>
      </w:r>
      <w:r>
        <w:t xml:space="preserve">, to be replaced with the retailer’s real figures. They give an upper bound because they assume every flagged would-be buyer is captured. The threshold was chosen on training out-of-fold predictions.</w:t>
      </w:r>
    </w:p>
    <w:tbl>
      <w:tblPr>
        <w:tblStyle w:val="Table"/>
        <w:tblLook w:firstRow="1"/>
        <w:tblLayout w:type="fixed"/>
        <w:tblW w:w="9638" w:type="dxa"/>
        <w:tblBorders>
          <w:top w:val="single" w:sz="4" w:color="BFC5D0"/>
          <w:left w:val="single" w:sz="4" w:color="BFC5D0"/>
          <w:bottom w:val="single" w:sz="4" w:color="BFC5D0"/>
          <w:right w:val="single" w:sz="4" w:color="BFC5D0"/>
          <w:insideH w:val="single" w:sz="4" w:color="BFC5D0"/>
          <w:insideV w:val="single" w:sz="4" w:color="BFC5D0"/>
        </w:tblBorders>
      </w:tblPr>
      <w:tblGrid>
        <w:gridCol w:w="2381"/>
        <w:gridCol w:w="1814"/>
        <w:gridCol w:w="1814"/>
        <w:gridCol w:w="1814"/>
        <w:gridCol w:w="1814"/>
      </w:tblGrid>
      <w:tr>
        <w:trPr>
          <w:cnfStyle w:firstRow="1"/>
        </w:trPr>
        <w:tc>
          <w:tcPr>
            <w:tcW w:type="dxa" w:w="2381"/>
            <w:tcBorders>
              <w:bottom w:val="single"/>
            </w:tcBorders>
            <w:vAlign w:val="bottom"/>
          </w:tcPr>
          <w:p>
            <w:pPr>
              <w:pStyle w:val="Compact"/>
              <w:jc w:val="left"/>
            </w:pPr>
            <w:r>
              <w:rPr>
                <w:b/>
                <w:sz w:val="17"/>
              </w:rPr>
              <w:t xml:space="preserve">value:cost</w:t>
            </w:r>
          </w:p>
        </w:tc>
        <w:tc>
          <w:tcPr>
            <w:tcW w:type="dxa" w:w="1814"/>
            <w:tcBorders>
              <w:bottom w:val="single"/>
            </w:tcBorders>
            <w:vAlign w:val="bottom"/>
          </w:tcPr>
          <w:p>
            <w:pPr>
              <w:pStyle w:val="Compact"/>
              <w:jc w:val="left"/>
            </w:pPr>
            <w:r>
              <w:rPr>
                <w:b/>
                <w:sz w:val="17"/>
              </w:rPr>
              <w:t xml:space="preserve">threshold</w:t>
            </w:r>
          </w:p>
        </w:tc>
        <w:tc>
          <w:tcPr>
            <w:tcW w:type="dxa" w:w="1814"/>
            <w:tcBorders>
              <w:bottom w:val="single"/>
            </w:tcBorders>
            <w:vAlign w:val="bottom"/>
          </w:tcPr>
          <w:p>
            <w:pPr>
              <w:pStyle w:val="Compact"/>
              <w:jc w:val="left"/>
            </w:pPr>
            <w:r>
              <w:rPr>
                <w:b/>
                <w:sz w:val="17"/>
              </w:rPr>
              <w:t xml:space="preserve">precision</w:t>
            </w:r>
          </w:p>
        </w:tc>
        <w:tc>
          <w:tcPr>
            <w:tcW w:type="dxa" w:w="1814"/>
            <w:tcBorders>
              <w:bottom w:val="single"/>
            </w:tcBorders>
            <w:vAlign w:val="bottom"/>
          </w:tcPr>
          <w:p>
            <w:pPr>
              <w:pStyle w:val="Compact"/>
              <w:jc w:val="left"/>
            </w:pPr>
            <w:r>
              <w:rPr>
                <w:b/>
                <w:sz w:val="17"/>
              </w:rPr>
              <w:t xml:space="preserve">recall</w:t>
            </w:r>
          </w:p>
        </w:tc>
        <w:tc>
          <w:tcPr>
            <w:tcW w:type="dxa" w:w="1814"/>
            <w:tcBorders>
              <w:bottom w:val="single"/>
            </w:tcBorders>
            <w:vAlign w:val="bottom"/>
          </w:tcPr>
          <w:p>
            <w:pPr>
              <w:pStyle w:val="Compact"/>
              <w:jc w:val="left"/>
            </w:pPr>
            <w:r>
              <w:rPr>
                <w:b/>
                <w:sz w:val="17"/>
              </w:rPr>
              <w:t xml:space="preserve">flagged (train OOF)</w:t>
            </w:r>
          </w:p>
        </w:tc>
      </w:tr>
      <w:tr>
        <w:tc>
          <w:tcPr>
            <w:tcW w:type="dxa" w:w="2381"/>
          </w:tcPr>
          <w:p>
            <w:pPr>
              <w:pStyle w:val="Compact"/>
              <w:jc w:val="left"/>
            </w:pPr>
            <w:r>
              <w:rPr>
                <w:sz w:val="17"/>
              </w:rPr>
              <w:t xml:space="preserve">2:1</w:t>
            </w:r>
          </w:p>
        </w:tc>
        <w:tc>
          <w:tcPr>
            <w:tcW w:type="dxa" w:w="1814"/>
          </w:tcPr>
          <w:p>
            <w:pPr>
              <w:pStyle w:val="Compact"/>
              <w:jc w:val="left"/>
            </w:pPr>
            <w:r>
              <w:rPr>
                <w:sz w:val="17"/>
              </w:rPr>
              <w:t xml:space="preserve">0.470</w:t>
            </w:r>
          </w:p>
        </w:tc>
        <w:tc>
          <w:tcPr>
            <w:tcW w:type="dxa" w:w="1814"/>
          </w:tcPr>
          <w:p>
            <w:pPr>
              <w:pStyle w:val="Compact"/>
              <w:jc w:val="left"/>
            </w:pPr>
            <w:r>
              <w:rPr>
                <w:sz w:val="17"/>
              </w:rPr>
              <w:t xml:space="preserve">0.65</w:t>
            </w:r>
          </w:p>
        </w:tc>
        <w:tc>
          <w:tcPr>
            <w:tcW w:type="dxa" w:w="1814"/>
          </w:tcPr>
          <w:p>
            <w:pPr>
              <w:pStyle w:val="Compact"/>
              <w:jc w:val="left"/>
            </w:pPr>
            <w:r>
              <w:rPr>
                <w:sz w:val="17"/>
              </w:rPr>
              <w:t xml:space="preserve">0.32</w:t>
            </w:r>
          </w:p>
        </w:tc>
        <w:tc>
          <w:tcPr>
            <w:tcW w:type="dxa" w:w="1814"/>
          </w:tcPr>
          <w:p>
            <w:pPr>
              <w:pStyle w:val="Compact"/>
              <w:jc w:val="left"/>
            </w:pPr>
            <w:r>
              <w:rPr>
                <w:sz w:val="17"/>
              </w:rPr>
              <w:t xml:space="preserve">744</w:t>
            </w:r>
          </w:p>
        </w:tc>
      </w:tr>
      <w:tr>
        <w:tc>
          <w:tcPr>
            <w:tcW w:type="dxa" w:w="2381"/>
          </w:tcPr>
          <w:p>
            <w:pPr>
              <w:pStyle w:val="Compact"/>
              <w:jc w:val="left"/>
            </w:pPr>
            <w:r>
              <w:rPr>
                <w:sz w:val="17"/>
              </w:rPr>
              <w:t xml:space="preserve">5:1</w:t>
            </w:r>
          </w:p>
        </w:tc>
        <w:tc>
          <w:tcPr>
            <w:tcW w:type="dxa" w:w="1814"/>
          </w:tcPr>
          <w:p>
            <w:pPr>
              <w:pStyle w:val="Compact"/>
              <w:jc w:val="left"/>
            </w:pPr>
            <w:r>
              <w:rPr>
                <w:sz w:val="17"/>
              </w:rPr>
              <w:t xml:space="preserve">0.255</w:t>
            </w:r>
          </w:p>
        </w:tc>
        <w:tc>
          <w:tcPr>
            <w:tcW w:type="dxa" w:w="1814"/>
          </w:tcPr>
          <w:p>
            <w:pPr>
              <w:pStyle w:val="Compact"/>
              <w:jc w:val="left"/>
            </w:pPr>
            <w:r>
              <w:rPr>
                <w:sz w:val="17"/>
              </w:rPr>
              <w:t xml:space="preserve">0.47</w:t>
            </w:r>
          </w:p>
        </w:tc>
        <w:tc>
          <w:tcPr>
            <w:tcW w:type="dxa" w:w="1814"/>
          </w:tcPr>
          <w:p>
            <w:pPr>
              <w:pStyle w:val="Compact"/>
              <w:jc w:val="left"/>
            </w:pPr>
            <w:r>
              <w:rPr>
                <w:sz w:val="17"/>
              </w:rPr>
              <w:t xml:space="preserve">0.63</w:t>
            </w:r>
          </w:p>
        </w:tc>
        <w:tc>
          <w:tcPr>
            <w:tcW w:type="dxa" w:w="1814"/>
          </w:tcPr>
          <w:p>
            <w:pPr>
              <w:pStyle w:val="Compact"/>
              <w:jc w:val="left"/>
            </w:pPr>
            <w:r>
              <w:rPr>
                <w:sz w:val="17"/>
              </w:rPr>
              <w:t xml:space="preserve">2032</w:t>
            </w:r>
          </w:p>
        </w:tc>
      </w:tr>
      <w:tr>
        <w:tc>
          <w:tcPr>
            <w:tcW w:type="dxa" w:w="2381"/>
          </w:tcPr>
          <w:p>
            <w:pPr>
              <w:pStyle w:val="Compact"/>
              <w:jc w:val="left"/>
            </w:pPr>
            <w:r>
              <w:rPr>
                <w:sz w:val="17"/>
              </w:rPr>
              <w:t xml:space="preserve">10:1</w:t>
            </w:r>
          </w:p>
        </w:tc>
        <w:tc>
          <w:tcPr>
            <w:tcW w:type="dxa" w:w="1814"/>
          </w:tcPr>
          <w:p>
            <w:pPr>
              <w:pStyle w:val="Compact"/>
              <w:jc w:val="left"/>
            </w:pPr>
            <w:r>
              <w:rPr>
                <w:sz w:val="17"/>
              </w:rPr>
              <w:t xml:space="preserve">0.125</w:t>
            </w:r>
          </w:p>
        </w:tc>
        <w:tc>
          <w:tcPr>
            <w:tcW w:type="dxa" w:w="1814"/>
          </w:tcPr>
          <w:p>
            <w:pPr>
              <w:pStyle w:val="Compact"/>
              <w:jc w:val="left"/>
            </w:pPr>
            <w:r>
              <w:rPr>
                <w:sz w:val="17"/>
              </w:rPr>
              <w:t xml:space="preserve">0.32</w:t>
            </w:r>
          </w:p>
        </w:tc>
        <w:tc>
          <w:tcPr>
            <w:tcW w:type="dxa" w:w="1814"/>
          </w:tcPr>
          <w:p>
            <w:pPr>
              <w:pStyle w:val="Compact"/>
              <w:jc w:val="left"/>
            </w:pPr>
            <w:r>
              <w:rPr>
                <w:sz w:val="17"/>
              </w:rPr>
              <w:t xml:space="preserve">0.83</w:t>
            </w:r>
          </w:p>
        </w:tc>
        <w:tc>
          <w:tcPr>
            <w:tcW w:type="dxa" w:w="1814"/>
          </w:tcPr>
          <w:p>
            <w:pPr>
              <w:pStyle w:val="Compact"/>
              <w:jc w:val="left"/>
            </w:pPr>
            <w:r>
              <w:rPr>
                <w:sz w:val="17"/>
              </w:rPr>
              <w:t xml:space="preserve">3846</w:t>
            </w:r>
          </w:p>
        </w:tc>
      </w:tr>
      <w:tr>
        <w:tc>
          <w:tcPr>
            <w:tcW w:type="dxa" w:w="2381"/>
          </w:tcPr>
          <w:p>
            <w:pPr>
              <w:pStyle w:val="Compact"/>
              <w:jc w:val="left"/>
            </w:pPr>
            <w:r>
              <w:rPr>
                <w:sz w:val="17"/>
              </w:rPr>
              <w:t xml:space="preserve">20:1</w:t>
            </w:r>
          </w:p>
        </w:tc>
        <w:tc>
          <w:tcPr>
            <w:tcW w:type="dxa" w:w="1814"/>
          </w:tcPr>
          <w:p>
            <w:pPr>
              <w:pStyle w:val="Compact"/>
              <w:jc w:val="left"/>
            </w:pPr>
            <w:r>
              <w:rPr>
                <w:sz w:val="17"/>
              </w:rPr>
              <w:t xml:space="preserve">0.045</w:t>
            </w:r>
          </w:p>
        </w:tc>
        <w:tc>
          <w:tcPr>
            <w:tcW w:type="dxa" w:w="1814"/>
          </w:tcPr>
          <w:p>
            <w:pPr>
              <w:pStyle w:val="Compact"/>
              <w:jc w:val="left"/>
            </w:pPr>
            <w:r>
              <w:rPr>
                <w:sz w:val="17"/>
              </w:rPr>
              <w:t xml:space="preserve">0.22</w:t>
            </w:r>
          </w:p>
        </w:tc>
        <w:tc>
          <w:tcPr>
            <w:tcW w:type="dxa" w:w="1814"/>
          </w:tcPr>
          <w:p>
            <w:pPr>
              <w:pStyle w:val="Compact"/>
              <w:jc w:val="left"/>
            </w:pPr>
            <w:r>
              <w:rPr>
                <w:sz w:val="17"/>
              </w:rPr>
              <w:t xml:space="preserve">0.95</w:t>
            </w:r>
          </w:p>
        </w:tc>
        <w:tc>
          <w:tcPr>
            <w:tcW w:type="dxa" w:w="1814"/>
          </w:tcPr>
          <w:p>
            <w:pPr>
              <w:pStyle w:val="Compact"/>
              <w:jc w:val="left"/>
            </w:pPr>
            <w:r>
              <w:rPr>
                <w:sz w:val="17"/>
              </w:rPr>
              <w:t xml:space="preserve">6445</w:t>
            </w:r>
          </w:p>
        </w:tc>
      </w:tr>
      <w:tr>
        <w:tc>
          <w:tcPr>
            <w:tcW w:type="dxa" w:w="2381"/>
          </w:tcPr>
          <w:p>
            <w:pPr>
              <w:pStyle w:val="Compact"/>
              <w:jc w:val="left"/>
            </w:pPr>
            <w:r>
              <w:rPr>
                <w:sz w:val="17"/>
              </w:rPr>
              <w:t xml:space="preserve">40:1</w:t>
            </w:r>
          </w:p>
        </w:tc>
        <w:tc>
          <w:tcPr>
            <w:tcW w:type="dxa" w:w="1814"/>
          </w:tcPr>
          <w:p>
            <w:pPr>
              <w:pStyle w:val="Compact"/>
              <w:jc w:val="left"/>
            </w:pPr>
            <w:r>
              <w:rPr>
                <w:sz w:val="17"/>
              </w:rPr>
              <w:t xml:space="preserve">0.020</w:t>
            </w:r>
          </w:p>
        </w:tc>
        <w:tc>
          <w:tcPr>
            <w:tcW w:type="dxa" w:w="1814"/>
          </w:tcPr>
          <w:p>
            <w:pPr>
              <w:pStyle w:val="Compact"/>
              <w:jc w:val="left"/>
            </w:pPr>
            <w:r>
              <w:rPr>
                <w:sz w:val="17"/>
              </w:rPr>
              <w:t xml:space="preserve">0.19</w:t>
            </w:r>
          </w:p>
        </w:tc>
        <w:tc>
          <w:tcPr>
            <w:tcW w:type="dxa" w:w="1814"/>
          </w:tcPr>
          <w:p>
            <w:pPr>
              <w:pStyle w:val="Compact"/>
              <w:jc w:val="left"/>
            </w:pPr>
            <w:r>
              <w:rPr>
                <w:sz w:val="17"/>
              </w:rPr>
              <w:t xml:space="preserve">0.99</w:t>
            </w:r>
          </w:p>
        </w:tc>
        <w:tc>
          <w:tcPr>
            <w:tcW w:type="dxa" w:w="1814"/>
          </w:tcPr>
          <w:p>
            <w:pPr>
              <w:pStyle w:val="Compact"/>
              <w:jc w:val="left"/>
            </w:pPr>
            <w:r>
              <w:rPr>
                <w:sz w:val="17"/>
              </w:rPr>
              <w:t xml:space="preserve">8001</w:t>
            </w:r>
          </w:p>
        </w:tc>
      </w:tr>
    </w:tbl>
    <w:p>
      <w:pPr>
        <w:pStyle w:val="BodyText"/>
      </w:pPr>
      <w:r>
        <w:t xml:space="preserve">On the test set the net value is 8,364, compared with 5,480 for flagging everyone and 0 for flagging nobody. Flagging everyone is a strong baseline when a purchase is worth ten interventions, so the model’s practical gain depends on how expensive interventions really are and on whether they change behaviour, which this data cannot show.</w:t>
      </w:r>
    </w:p>
    <w:p>
      <w:pPr>
        <w:pStyle w:val="Heading1"/>
      </w:pPr>
      <w:bookmarkStart w:id="31" w:name="explainability"/>
      <w:r>
        <w:t xml:space="preserve">8. Explainability</w:t>
      </w:r>
      <w:bookmarkEnd w:id="31"/>
    </w:p>
    <w:p>
      <w:pPr>
        <w:pStyle w:val="FirstParagraph"/>
      </w:pPr>
      <w:r>
        <w:t xml:space="preserve">Global importance uses mean absolute Shapley value in probability units (ProductRelated about 10 points, ExitRates about 4, all others 1.5 or less). Its ranking agrees with permutation importance (Spearman 0.89). The Shapley explainer is a model-agnostic permutation-sampling estimator; contributions add up exactly to the prediction minus the baseline, which the unit tests verify, along with exactness on an additive model. A LIME-style local surrogate gives a second view: it names the same top feature in 92% of sessions, but its local fit is weak (mean R2 0.22), so its numbers are a rough second opinion. The</w:t>
      </w:r>
      <w:r>
        <w:t xml:space="preserve"> </w:t>
      </w:r>
      <w:r>
        <w:rPr>
          <w:rStyle w:val="VerbatimChar"/>
        </w:rPr>
        <w:t xml:space="preserve">shap</w:t>
      </w:r>
      <w:r>
        <w:t xml:space="preserve"> </w:t>
      </w:r>
      <w:r>
        <w:t xml:space="preserve">and</w:t>
      </w:r>
      <w:r>
        <w:t xml:space="preserve"> </w:t>
      </w:r>
      <w:r>
        <w:rPr>
          <w:rStyle w:val="VerbatimChar"/>
        </w:rPr>
        <w:t xml:space="preserve">lime</w:t>
      </w:r>
      <w:r>
        <w:t xml:space="preserve"> </w:t>
      </w:r>
      <w:r>
        <w:t xml:space="preserve">packages themselves could not be installed; both methods explain the model and say nothing about causes.</w:t>
      </w:r>
    </w:p>
    <w:p>
      <w:pPr>
        <w:pStyle w:val="CaptionedFigure"/>
      </w:pPr>
      <w:r>
        <w:drawing>
          <wp:inline>
            <wp:extent cx="5334000" cy="3128913"/>
            <wp:effectExtent b="0" l="0" r="0" t="0"/>
            <wp:docPr descr="Global Shapley importance" title="" id="1" name="Picture"/>
            <a:graphic>
              <a:graphicData uri="http://schemas.openxmlformats.org/drawingml/2006/picture">
                <pic:pic>
                  <pic:nvPicPr>
                    <pic:cNvPr descr="reports/figures/shapley_global.png" id="0" name="Picture"/>
                    <pic:cNvPicPr>
                      <a:picLocks noChangeArrowheads="1" noChangeAspect="1"/>
                    </pic:cNvPicPr>
                  </pic:nvPicPr>
                  <pic:blipFill>
                    <a:blip r:embed="rId32"/>
                    <a:stretch>
                      <a:fillRect/>
                    </a:stretch>
                  </pic:blipFill>
                  <pic:spPr bwMode="auto">
                    <a:xfrm>
                      <a:off x="0" y="0"/>
                      <a:ext cx="5334000" cy="3128913"/>
                    </a:xfrm>
                    <a:prstGeom prst="rect">
                      <a:avLst/>
                    </a:prstGeom>
                    <a:noFill/>
                    <a:ln w="9525">
                      <a:noFill/>
                      <a:headEnd/>
                      <a:tailEnd/>
                    </a:ln>
                  </pic:spPr>
                </pic:pic>
              </a:graphicData>
            </a:graphic>
          </wp:inline>
        </w:drawing>
      </w:r>
    </w:p>
    <w:p>
      <w:pPr>
        <w:pStyle w:val="ImageCaption"/>
      </w:pPr>
      <w:r>
        <w:t xml:space="preserve">Global Shapley importance</w:t>
      </w:r>
    </w:p>
    <w:p>
      <w:pPr>
        <w:pStyle w:val="BodyText"/>
      </w:pPr>
      <w:r>
        <w:t xml:space="preserve">Scoring with an explanation takes about 16 ms and scoring alone 7 ms on the build machine (the explainer is built once at start-up).</w:t>
      </w:r>
    </w:p>
    <w:p>
      <w:pPr>
        <w:pStyle w:val="Heading1"/>
      </w:pPr>
      <w:bookmarkStart w:id="33" w:name="deployment-assets"/>
      <w:r>
        <w:t xml:space="preserve">9. Deployment assets</w:t>
      </w:r>
      <w:bookmarkEnd w:id="33"/>
    </w:p>
    <w:p>
      <w:pPr>
        <w:pStyle w:val="FirstParagraph"/>
      </w:pPr>
      <w:r>
        <w:t xml:space="preserve">The repository contains a FastAPI service (</w:t>
      </w:r>
      <w:r>
        <w:rPr>
          <w:rStyle w:val="VerbatimChar"/>
        </w:rPr>
        <w:t xml:space="preserve">/predict</w:t>
      </w:r>
      <w:r>
        <w:t xml:space="preserve">,</w:t>
      </w:r>
      <w:r>
        <w:t xml:space="preserve"> </w:t>
      </w:r>
      <w:r>
        <w:rPr>
          <w:rStyle w:val="VerbatimChar"/>
        </w:rPr>
        <w:t xml:space="preserve">/health</w:t>
      </w:r>
      <w:r>
        <w:t xml:space="preserve">,</w:t>
      </w:r>
      <w:r>
        <w:t xml:space="preserve"> </w:t>
      </w:r>
      <w:r>
        <w:rPr>
          <w:rStyle w:val="VerbatimChar"/>
        </w:rPr>
        <w:t xml:space="preserve">/model-info</w:t>
      </w:r>
      <w:r>
        <w:t xml:space="preserve">, validated input, extra fields such as PageValues rejected), a six-section Streamlit dashboard that loads the saved model and never retrains, a Dockerfile, a Compose file (API, dashboard, MLflow UI), a GitHub Actions workflow (lint, format check, tests, image build), MLflow logging with a JSON-lines fallback, and AWS ECR/ECS notes.</w:t>
      </w:r>
      <w:r>
        <w:t xml:space="preserve"> </w:t>
      </w:r>
      <w:r>
        <w:rPr>
          <w:b/>
        </w:rPr>
        <w:t xml:space="preserve">None of these could be executed in the build environment</w:t>
      </w:r>
      <w:r>
        <w:t xml:space="preserve">; they were written to the libraries’ documented APIs and should be run and corrected as needed. The scoring logic they wrap is covered by 51 unit tests.</w:t>
      </w:r>
    </w:p>
    <w:p>
      <w:pPr>
        <w:pStyle w:val="Heading1"/>
      </w:pPr>
      <w:bookmarkStart w:id="34" w:name="limitations-and-next-steps"/>
      <w:r>
        <w:t xml:space="preserve">10. Limitations and next steps</w:t>
      </w:r>
      <w:bookmarkEnd w:id="34"/>
    </w:p>
    <w:p>
      <w:pPr>
        <w:numPr>
          <w:ilvl w:val="0"/>
          <w:numId w:val="1002"/>
        </w:numPr>
        <w:pStyle w:val="Compact"/>
      </w:pPr>
      <w:r>
        <w:t xml:space="preserve">Only whole-session totals exist, so scoring earlier in a visit was never evaluated.</w:t>
      </w:r>
    </w:p>
    <w:p>
      <w:pPr>
        <w:numPr>
          <w:ilvl w:val="0"/>
          <w:numId w:val="1002"/>
        </w:numPr>
        <w:pStyle w:val="Compact"/>
      </w:pPr>
      <w:r>
        <w:t xml:space="preserve">Two features carry almost all the signal; more behavioural signals (clickstream order, cart events that are available early) would be the highest-value addition.</w:t>
      </w:r>
    </w:p>
    <w:p>
      <w:pPr>
        <w:numPr>
          <w:ilvl w:val="0"/>
          <w:numId w:val="1002"/>
        </w:numPr>
        <w:pStyle w:val="Compact"/>
      </w:pPr>
      <w:r>
        <w:t xml:space="preserve">The value and cost figures are assumed; an uplift experiment (randomised nudges) is needed to know whether interventions change the outcome.</w:t>
      </w:r>
    </w:p>
    <w:p>
      <w:pPr>
        <w:numPr>
          <w:ilvl w:val="0"/>
          <w:numId w:val="1002"/>
        </w:numPr>
        <w:pStyle w:val="Compact"/>
      </w:pPr>
      <w:r>
        <w:t xml:space="preserve">Train all six algorithms with the real libraries, and re-check which model wins; add drift monitoring and a calibration check in production.</w:t>
      </w:r>
    </w:p>
    <w:p>
      <w:pPr>
        <w:pStyle w:val="Heading1"/>
      </w:pPr>
      <w:bookmarkStart w:id="35" w:name="reproducibility"/>
      <w:r>
        <w:t xml:space="preserve">11. Reproducibility</w:t>
      </w:r>
      <w:bookmarkEnd w:id="35"/>
    </w:p>
    <w:p>
      <w:pPr>
        <w:pStyle w:val="FirstParagraph"/>
      </w:pPr>
      <w:r>
        <w:rPr>
          <w:rStyle w:val="VerbatimChar"/>
        </w:rPr>
        <w:t xml:space="preserve">config/config.yaml</w:t>
      </w:r>
      <w:r>
        <w:t xml:space="preserve"> </w:t>
      </w:r>
      <w:r>
        <w:t xml:space="preserve">holds every tunable value; the seed is 42; the data hash is</w:t>
      </w:r>
      <w:r>
        <w:t xml:space="preserve"> </w:t>
      </w:r>
      <w:r>
        <w:rPr>
          <w:rStyle w:val="VerbatimChar"/>
        </w:rPr>
        <w:t xml:space="preserve">14acae89e75a4700</w:t>
      </w:r>
      <w:r>
        <w:t xml:space="preserve">.</w:t>
      </w:r>
      <w:r>
        <w:t xml:space="preserve"> </w:t>
      </w:r>
      <w:r>
        <w:rPr>
          <w:rStyle w:val="VerbatimChar"/>
        </w:rPr>
        <w:t xml:space="preserve">python -m src.train</w:t>
      </w:r>
      <w:r>
        <w:t xml:space="preserve"> </w:t>
      </w:r>
      <w:r>
        <w:t xml:space="preserve">rebuilds all numbers in this report from the CSV, and</w:t>
      </w:r>
      <w:r>
        <w:t xml:space="preserve"> </w:t>
      </w:r>
      <w:r>
        <w:rPr>
          <w:rStyle w:val="VerbatimChar"/>
        </w:rPr>
        <w:t xml:space="preserve">python tools/make_docs.py</w:t>
      </w:r>
      <w:r>
        <w:t xml:space="preserve"> </w:t>
      </w:r>
      <w:r>
        <w:t xml:space="preserve">regenerates the README, model card and this text from the saved results.</w:t>
      </w:r>
    </w:p>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6" Type="http://schemas.openxmlformats.org/officeDocument/2006/relationships/image" Target="media/rId26.png"/><Relationship Id="rId32" Type="http://schemas.openxmlformats.org/officeDocument/2006/relationships/image" Target="media/rId32.png"/><Relationship Id="rId29" Type="http://schemas.openxmlformats.org/officeDocument/2006/relationships/image" Target="media/rId29.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Purchase-Intent Prediction with Explainable AI</dc:title>
  <dc:creator>Sundram Sharma</dc:creator>
  <cp:keywords/>
  <dcterms:created xsi:type="dcterms:W3CDTF">2026-10-15T09:05:33Z</dcterms:created>
  <dcterms:modified xsi:type="dcterms:W3CDTF">2026-10-15T09:05:33Z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Final project report</vt:lpwstr>
  </property>
</Properties>
</file>