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82736" w14:textId="77777777" w:rsidR="008F18A1" w:rsidRDefault="00000000">
      <w:pPr>
        <w:spacing w:after="40"/>
        <w:jc w:val="center"/>
      </w:pPr>
      <w:r>
        <w:rPr>
          <w:rFonts w:ascii="Calibri" w:hAnsi="Calibri"/>
          <w:b/>
          <w:color w:val="4A777A"/>
          <w:sz w:val="26"/>
        </w:rPr>
        <w:t>SOFTWARE ENGINEERING LAB</w:t>
      </w:r>
    </w:p>
    <w:p w14:paraId="3625059B" w14:textId="77777777" w:rsidR="008F18A1" w:rsidRDefault="00000000">
      <w:pPr>
        <w:spacing w:after="240"/>
        <w:jc w:val="center"/>
      </w:pPr>
      <w:r>
        <w:rPr>
          <w:rFonts w:ascii="Calibri" w:hAnsi="Calibri"/>
          <w:b/>
          <w:color w:val="1B365D"/>
          <w:sz w:val="32"/>
        </w:rPr>
        <w:t>EXPERIMENT 2: SELECTING A SOFTWARE PROCESS MODEL</w:t>
      </w:r>
      <w:r>
        <w:rPr>
          <w:rFonts w:ascii="Calibri" w:hAnsi="Calibri"/>
          <w:b/>
          <w:color w:val="1B365D"/>
          <w:sz w:val="32"/>
        </w:rPr>
        <w:br/>
        <w:t>FOR ONLINE QUIZ SYSTEM</w:t>
      </w:r>
    </w:p>
    <w:tbl>
      <w:tblPr>
        <w:tblW w:w="0" w:type="auto"/>
        <w:jc w:val="center"/>
        <w:tblLayout w:type="fixed"/>
        <w:tblLook w:val="04A0" w:firstRow="1" w:lastRow="0" w:firstColumn="1" w:lastColumn="0" w:noHBand="0" w:noVBand="1"/>
      </w:tblPr>
      <w:tblGrid>
        <w:gridCol w:w="4896"/>
        <w:gridCol w:w="4896"/>
      </w:tblGrid>
      <w:tr w:rsidR="008F18A1" w14:paraId="65A5A40A" w14:textId="77777777">
        <w:trPr>
          <w:jc w:val="center"/>
        </w:trPr>
        <w:tc>
          <w:tcPr>
            <w:tcW w:w="4896" w:type="dxa"/>
            <w:tcBorders>
              <w:top w:val="single" w:sz="4" w:space="0" w:color="B0C4DE"/>
              <w:left w:val="single" w:sz="4" w:space="0" w:color="B0C4DE"/>
              <w:bottom w:val="single" w:sz="4" w:space="0" w:color="B0C4DE"/>
              <w:right w:val="single" w:sz="4" w:space="0" w:color="B0C4DE"/>
            </w:tcBorders>
            <w:shd w:val="clear" w:color="auto" w:fill="F4F6F9"/>
            <w:tcMar>
              <w:top w:w="100" w:type="dxa"/>
              <w:left w:w="140" w:type="dxa"/>
              <w:bottom w:w="100" w:type="dxa"/>
              <w:right w:w="140" w:type="dxa"/>
            </w:tcMar>
          </w:tcPr>
          <w:p w14:paraId="4554CD9F" w14:textId="5C6D1730" w:rsidR="008F18A1" w:rsidRDefault="00000000">
            <w:pPr>
              <w:spacing w:after="0"/>
            </w:pPr>
            <w:r>
              <w:rPr>
                <w:rFonts w:ascii="Calibri" w:hAnsi="Calibri"/>
                <w:b/>
                <w:color w:val="1B365D"/>
                <w:sz w:val="20"/>
              </w:rPr>
              <w:t>Name:</w:t>
            </w:r>
            <w:r w:rsidR="00EB3512">
              <w:rPr>
                <w:rFonts w:ascii="Calibri" w:hAnsi="Calibri"/>
                <w:b/>
                <w:color w:val="1B365D"/>
                <w:sz w:val="20"/>
              </w:rPr>
              <w:t xml:space="preserve"> Akshay kumar</w:t>
            </w:r>
          </w:p>
        </w:tc>
        <w:tc>
          <w:tcPr>
            <w:tcW w:w="4896" w:type="dxa"/>
            <w:tcBorders>
              <w:top w:val="single" w:sz="4" w:space="0" w:color="B0C4DE"/>
              <w:left w:val="single" w:sz="4" w:space="0" w:color="B0C4DE"/>
              <w:bottom w:val="single" w:sz="4" w:space="0" w:color="B0C4DE"/>
              <w:right w:val="single" w:sz="4" w:space="0" w:color="B0C4DE"/>
            </w:tcBorders>
            <w:shd w:val="clear" w:color="auto" w:fill="F4F6F9"/>
            <w:tcMar>
              <w:top w:w="100" w:type="dxa"/>
              <w:left w:w="140" w:type="dxa"/>
              <w:bottom w:w="100" w:type="dxa"/>
              <w:right w:w="140" w:type="dxa"/>
            </w:tcMar>
          </w:tcPr>
          <w:p w14:paraId="61611D15" w14:textId="7AE4ED76" w:rsidR="008F18A1" w:rsidRDefault="00000000">
            <w:pPr>
              <w:spacing w:after="0"/>
            </w:pPr>
            <w:r>
              <w:rPr>
                <w:rFonts w:ascii="Calibri" w:hAnsi="Calibri"/>
                <w:b/>
                <w:color w:val="1B365D"/>
                <w:sz w:val="20"/>
              </w:rPr>
              <w:t xml:space="preserve">Roll No.: </w:t>
            </w:r>
            <w:r w:rsidR="00EB3512">
              <w:rPr>
                <w:rFonts w:ascii="Calibri" w:hAnsi="Calibri"/>
                <w:color w:val="222222"/>
                <w:sz w:val="20"/>
              </w:rPr>
              <w:t>20151651012</w:t>
            </w:r>
          </w:p>
        </w:tc>
      </w:tr>
      <w:tr w:rsidR="008F18A1" w14:paraId="7DA1F08F" w14:textId="77777777">
        <w:trPr>
          <w:jc w:val="center"/>
        </w:trPr>
        <w:tc>
          <w:tcPr>
            <w:tcW w:w="4896" w:type="dxa"/>
            <w:tcBorders>
              <w:top w:val="single" w:sz="4" w:space="0" w:color="B0C4DE"/>
              <w:left w:val="single" w:sz="4" w:space="0" w:color="B0C4DE"/>
              <w:bottom w:val="single" w:sz="4" w:space="0" w:color="B0C4DE"/>
              <w:right w:val="single" w:sz="4" w:space="0" w:color="B0C4DE"/>
            </w:tcBorders>
            <w:shd w:val="clear" w:color="auto" w:fill="F4F6F9"/>
            <w:tcMar>
              <w:top w:w="100" w:type="dxa"/>
              <w:left w:w="140" w:type="dxa"/>
              <w:bottom w:w="100" w:type="dxa"/>
              <w:right w:w="140" w:type="dxa"/>
            </w:tcMar>
          </w:tcPr>
          <w:p w14:paraId="1E9305AD" w14:textId="6EC37A08" w:rsidR="008F18A1" w:rsidRDefault="00000000">
            <w:pPr>
              <w:spacing w:after="0"/>
            </w:pPr>
            <w:r>
              <w:rPr>
                <w:rFonts w:ascii="Calibri" w:hAnsi="Calibri"/>
                <w:b/>
                <w:color w:val="1B365D"/>
                <w:sz w:val="20"/>
              </w:rPr>
              <w:t xml:space="preserve">Class / Section: </w:t>
            </w:r>
            <w:r>
              <w:rPr>
                <w:rFonts w:ascii="Calibri" w:hAnsi="Calibri"/>
                <w:color w:val="222222"/>
                <w:sz w:val="20"/>
              </w:rPr>
              <w:t xml:space="preserve">MCA </w:t>
            </w:r>
          </w:p>
        </w:tc>
        <w:tc>
          <w:tcPr>
            <w:tcW w:w="4896" w:type="dxa"/>
            <w:tcBorders>
              <w:top w:val="single" w:sz="4" w:space="0" w:color="B0C4DE"/>
              <w:left w:val="single" w:sz="4" w:space="0" w:color="B0C4DE"/>
              <w:bottom w:val="single" w:sz="4" w:space="0" w:color="B0C4DE"/>
              <w:right w:val="single" w:sz="4" w:space="0" w:color="B0C4DE"/>
            </w:tcBorders>
            <w:shd w:val="clear" w:color="auto" w:fill="F4F6F9"/>
            <w:tcMar>
              <w:top w:w="100" w:type="dxa"/>
              <w:left w:w="140" w:type="dxa"/>
              <w:bottom w:w="100" w:type="dxa"/>
              <w:right w:w="140" w:type="dxa"/>
            </w:tcMar>
          </w:tcPr>
          <w:p w14:paraId="094D82DC" w14:textId="1D5E94DC" w:rsidR="008F18A1" w:rsidRDefault="00000000">
            <w:pPr>
              <w:spacing w:after="0"/>
            </w:pPr>
            <w:r>
              <w:rPr>
                <w:rFonts w:ascii="Calibri" w:hAnsi="Calibri"/>
                <w:b/>
                <w:color w:val="1B365D"/>
                <w:sz w:val="20"/>
              </w:rPr>
              <w:t xml:space="preserve">Date: </w:t>
            </w:r>
            <w:r w:rsidR="00EB3512">
              <w:rPr>
                <w:rFonts w:ascii="Calibri" w:hAnsi="Calibri"/>
                <w:color w:val="222222"/>
                <w:sz w:val="20"/>
              </w:rPr>
              <w:t>20</w:t>
            </w:r>
            <w:r>
              <w:rPr>
                <w:rFonts w:ascii="Calibri" w:hAnsi="Calibri"/>
                <w:color w:val="222222"/>
                <w:sz w:val="20"/>
              </w:rPr>
              <w:t xml:space="preserve"> / </w:t>
            </w:r>
            <w:r w:rsidR="00EB3512">
              <w:rPr>
                <w:rFonts w:ascii="Calibri" w:hAnsi="Calibri"/>
                <w:color w:val="222222"/>
                <w:sz w:val="20"/>
              </w:rPr>
              <w:t>08</w:t>
            </w:r>
            <w:r>
              <w:rPr>
                <w:rFonts w:ascii="Calibri" w:hAnsi="Calibri"/>
                <w:color w:val="222222"/>
                <w:sz w:val="20"/>
              </w:rPr>
              <w:t xml:space="preserve"> / 2026</w:t>
            </w:r>
          </w:p>
        </w:tc>
      </w:tr>
    </w:tbl>
    <w:p w14:paraId="48969875" w14:textId="77777777" w:rsidR="008F18A1" w:rsidRDefault="008F18A1">
      <w:pPr>
        <w:spacing w:after="120"/>
      </w:pPr>
    </w:p>
    <w:p w14:paraId="546399BE" w14:textId="77777777" w:rsidR="008F18A1" w:rsidRDefault="00000000">
      <w:pPr>
        <w:keepNext/>
        <w:spacing w:before="240" w:after="80"/>
      </w:pPr>
      <w:r>
        <w:rPr>
          <w:rFonts w:ascii="Calibri" w:hAnsi="Calibri"/>
          <w:b/>
          <w:color w:val="1B365D"/>
          <w:sz w:val="24"/>
        </w:rPr>
        <w:t>1. AIM</w:t>
      </w:r>
    </w:p>
    <w:p w14:paraId="0C0DF4AE" w14:textId="77777777" w:rsidR="008F18A1" w:rsidRDefault="00000000">
      <w:pPr>
        <w:spacing w:after="160"/>
      </w:pPr>
      <w:r>
        <w:rPr>
          <w:rFonts w:ascii="Calibri" w:hAnsi="Calibri"/>
          <w:color w:val="222222"/>
          <w:sz w:val="21"/>
        </w:rPr>
        <w:t>To evaluate and compare software process models and determine the most suitable process model for the development and lifecycle implementation of an Online Quiz System.</w:t>
      </w:r>
    </w:p>
    <w:p w14:paraId="0E7064D8" w14:textId="77777777" w:rsidR="008F18A1" w:rsidRDefault="00000000">
      <w:pPr>
        <w:keepNext/>
        <w:spacing w:before="240" w:after="80"/>
      </w:pPr>
      <w:r>
        <w:rPr>
          <w:rFonts w:ascii="Calibri" w:hAnsi="Calibri"/>
          <w:b/>
          <w:color w:val="1B365D"/>
          <w:sz w:val="24"/>
        </w:rPr>
        <w:t>2. PROCESS MODEL COMPARISON MATRIX</w:t>
      </w:r>
    </w:p>
    <w:p w14:paraId="08D97DB3" w14:textId="77777777" w:rsidR="008F18A1" w:rsidRDefault="00000000">
      <w:pPr>
        <w:spacing w:after="120"/>
      </w:pPr>
      <w:r>
        <w:rPr>
          <w:rFonts w:ascii="Calibri" w:hAnsi="Calibri"/>
          <w:i/>
          <w:color w:val="555555"/>
          <w:sz w:val="20"/>
        </w:rPr>
        <w:t>The five standard software development process models are evaluated across critical project factors:</w:t>
      </w:r>
    </w:p>
    <w:tbl>
      <w:tblPr>
        <w:tblW w:w="0" w:type="auto"/>
        <w:jc w:val="center"/>
        <w:tblLayout w:type="fixed"/>
        <w:tblLook w:val="04A0" w:firstRow="1" w:lastRow="0" w:firstColumn="1" w:lastColumn="0" w:noHBand="0" w:noVBand="1"/>
      </w:tblPr>
      <w:tblGrid>
        <w:gridCol w:w="2304"/>
        <w:gridCol w:w="1440"/>
        <w:gridCol w:w="1584"/>
        <w:gridCol w:w="1440"/>
        <w:gridCol w:w="1440"/>
        <w:gridCol w:w="1584"/>
      </w:tblGrid>
      <w:tr w:rsidR="008F18A1" w14:paraId="57A738C0" w14:textId="77777777">
        <w:trPr>
          <w:jc w:val="center"/>
        </w:trPr>
        <w:tc>
          <w:tcPr>
            <w:tcW w:w="2304" w:type="dxa"/>
            <w:tcBorders>
              <w:top w:val="single" w:sz="4" w:space="0" w:color="CCCCCC"/>
              <w:left w:val="single" w:sz="4" w:space="0" w:color="CCCCCC"/>
              <w:bottom w:val="single" w:sz="8" w:space="0" w:color="000000"/>
              <w:right w:val="single" w:sz="4" w:space="0" w:color="CCCCCC"/>
            </w:tcBorders>
            <w:shd w:val="clear" w:color="auto" w:fill="1B365D"/>
            <w:tcMar>
              <w:top w:w="120" w:type="dxa"/>
              <w:left w:w="100" w:type="dxa"/>
              <w:bottom w:w="120" w:type="dxa"/>
              <w:right w:w="100" w:type="dxa"/>
            </w:tcMar>
          </w:tcPr>
          <w:p w14:paraId="1AB7FD98" w14:textId="77777777" w:rsidR="008F18A1" w:rsidRDefault="00000000">
            <w:pPr>
              <w:spacing w:after="0"/>
            </w:pPr>
            <w:r>
              <w:rPr>
                <w:rFonts w:ascii="Calibri" w:hAnsi="Calibri"/>
                <w:b/>
                <w:color w:val="FFFFFF"/>
                <w:sz w:val="20"/>
              </w:rPr>
              <w:t>Factor</w:t>
            </w:r>
          </w:p>
        </w:tc>
        <w:tc>
          <w:tcPr>
            <w:tcW w:w="1440" w:type="dxa"/>
            <w:tcBorders>
              <w:top w:val="single" w:sz="4" w:space="0" w:color="CCCCCC"/>
              <w:left w:val="single" w:sz="4" w:space="0" w:color="CCCCCC"/>
              <w:bottom w:val="single" w:sz="8" w:space="0" w:color="000000"/>
              <w:right w:val="single" w:sz="4" w:space="0" w:color="CCCCCC"/>
            </w:tcBorders>
            <w:shd w:val="clear" w:color="auto" w:fill="1B365D"/>
            <w:tcMar>
              <w:top w:w="120" w:type="dxa"/>
              <w:left w:w="100" w:type="dxa"/>
              <w:bottom w:w="120" w:type="dxa"/>
              <w:right w:w="100" w:type="dxa"/>
            </w:tcMar>
          </w:tcPr>
          <w:p w14:paraId="1F886139" w14:textId="77777777" w:rsidR="008F18A1" w:rsidRDefault="00000000">
            <w:pPr>
              <w:spacing w:after="0"/>
              <w:jc w:val="center"/>
            </w:pPr>
            <w:r>
              <w:rPr>
                <w:rFonts w:ascii="Calibri" w:hAnsi="Calibri"/>
                <w:b/>
                <w:color w:val="FFFFFF"/>
                <w:sz w:val="20"/>
              </w:rPr>
              <w:t>Waterfall</w:t>
            </w:r>
          </w:p>
        </w:tc>
        <w:tc>
          <w:tcPr>
            <w:tcW w:w="1584" w:type="dxa"/>
            <w:tcBorders>
              <w:top w:val="single" w:sz="4" w:space="0" w:color="CCCCCC"/>
              <w:left w:val="single" w:sz="4" w:space="0" w:color="CCCCCC"/>
              <w:bottom w:val="single" w:sz="8" w:space="0" w:color="000000"/>
              <w:right w:val="single" w:sz="4" w:space="0" w:color="CCCCCC"/>
            </w:tcBorders>
            <w:shd w:val="clear" w:color="auto" w:fill="1B365D"/>
            <w:tcMar>
              <w:top w:w="120" w:type="dxa"/>
              <w:left w:w="100" w:type="dxa"/>
              <w:bottom w:w="120" w:type="dxa"/>
              <w:right w:w="100" w:type="dxa"/>
            </w:tcMar>
          </w:tcPr>
          <w:p w14:paraId="4E06999A" w14:textId="77777777" w:rsidR="008F18A1" w:rsidRDefault="00000000">
            <w:pPr>
              <w:spacing w:after="0"/>
              <w:jc w:val="center"/>
            </w:pPr>
            <w:r>
              <w:rPr>
                <w:rFonts w:ascii="Calibri" w:hAnsi="Calibri"/>
                <w:b/>
                <w:color w:val="FFFFFF"/>
                <w:sz w:val="20"/>
              </w:rPr>
              <w:t>Incremental</w:t>
            </w:r>
          </w:p>
        </w:tc>
        <w:tc>
          <w:tcPr>
            <w:tcW w:w="1440" w:type="dxa"/>
            <w:tcBorders>
              <w:top w:val="single" w:sz="4" w:space="0" w:color="CCCCCC"/>
              <w:left w:val="single" w:sz="4" w:space="0" w:color="CCCCCC"/>
              <w:bottom w:val="single" w:sz="8" w:space="0" w:color="000000"/>
              <w:right w:val="single" w:sz="4" w:space="0" w:color="CCCCCC"/>
            </w:tcBorders>
            <w:shd w:val="clear" w:color="auto" w:fill="1B365D"/>
            <w:tcMar>
              <w:top w:w="120" w:type="dxa"/>
              <w:left w:w="100" w:type="dxa"/>
              <w:bottom w:w="120" w:type="dxa"/>
              <w:right w:w="100" w:type="dxa"/>
            </w:tcMar>
          </w:tcPr>
          <w:p w14:paraId="6E3F973D" w14:textId="77777777" w:rsidR="008F18A1" w:rsidRDefault="00000000">
            <w:pPr>
              <w:spacing w:after="0"/>
              <w:jc w:val="center"/>
            </w:pPr>
            <w:r>
              <w:rPr>
                <w:rFonts w:ascii="Calibri" w:hAnsi="Calibri"/>
                <w:b/>
                <w:color w:val="FFFFFF"/>
                <w:sz w:val="20"/>
              </w:rPr>
              <w:t>Prototype</w:t>
            </w:r>
          </w:p>
        </w:tc>
        <w:tc>
          <w:tcPr>
            <w:tcW w:w="1440" w:type="dxa"/>
            <w:tcBorders>
              <w:top w:val="single" w:sz="4" w:space="0" w:color="CCCCCC"/>
              <w:left w:val="single" w:sz="4" w:space="0" w:color="CCCCCC"/>
              <w:bottom w:val="single" w:sz="8" w:space="0" w:color="000000"/>
              <w:right w:val="single" w:sz="4" w:space="0" w:color="CCCCCC"/>
            </w:tcBorders>
            <w:shd w:val="clear" w:color="auto" w:fill="1B365D"/>
            <w:tcMar>
              <w:top w:w="120" w:type="dxa"/>
              <w:left w:w="100" w:type="dxa"/>
              <w:bottom w:w="120" w:type="dxa"/>
              <w:right w:w="100" w:type="dxa"/>
            </w:tcMar>
          </w:tcPr>
          <w:p w14:paraId="1899E763" w14:textId="77777777" w:rsidR="008F18A1" w:rsidRDefault="00000000">
            <w:pPr>
              <w:spacing w:after="0"/>
              <w:jc w:val="center"/>
            </w:pPr>
            <w:r>
              <w:rPr>
                <w:rFonts w:ascii="Calibri" w:hAnsi="Calibri"/>
                <w:b/>
                <w:color w:val="FFFFFF"/>
                <w:sz w:val="20"/>
              </w:rPr>
              <w:t>Spiral</w:t>
            </w:r>
          </w:p>
        </w:tc>
        <w:tc>
          <w:tcPr>
            <w:tcW w:w="1584" w:type="dxa"/>
            <w:tcBorders>
              <w:top w:val="single" w:sz="4" w:space="0" w:color="CCCCCC"/>
              <w:left w:val="single" w:sz="4" w:space="0" w:color="CCCCCC"/>
              <w:bottom w:val="single" w:sz="8" w:space="0" w:color="000000"/>
              <w:right w:val="single" w:sz="4" w:space="0" w:color="CCCCCC"/>
            </w:tcBorders>
            <w:shd w:val="clear" w:color="auto" w:fill="1B365D"/>
            <w:tcMar>
              <w:top w:w="120" w:type="dxa"/>
              <w:left w:w="100" w:type="dxa"/>
              <w:bottom w:w="120" w:type="dxa"/>
              <w:right w:w="100" w:type="dxa"/>
            </w:tcMar>
          </w:tcPr>
          <w:p w14:paraId="634E8DEA" w14:textId="77777777" w:rsidR="008F18A1" w:rsidRDefault="00000000">
            <w:pPr>
              <w:spacing w:after="0"/>
              <w:jc w:val="center"/>
            </w:pPr>
            <w:r>
              <w:rPr>
                <w:rFonts w:ascii="Calibri" w:hAnsi="Calibri"/>
                <w:b/>
                <w:color w:val="FFFFFF"/>
                <w:sz w:val="20"/>
              </w:rPr>
              <w:t>Agile</w:t>
            </w:r>
          </w:p>
        </w:tc>
      </w:tr>
      <w:tr w:rsidR="008F18A1" w14:paraId="76D85E88" w14:textId="77777777">
        <w:trPr>
          <w:jc w:val="center"/>
        </w:trPr>
        <w:tc>
          <w:tcPr>
            <w:tcW w:w="2304" w:type="dxa"/>
            <w:tcBorders>
              <w:top w:val="single" w:sz="4" w:space="0" w:color="E0E0E0"/>
              <w:left w:val="single" w:sz="4" w:space="0" w:color="E0E0E0"/>
              <w:bottom w:val="single" w:sz="4" w:space="0" w:color="E0E0E0"/>
              <w:right w:val="single" w:sz="4" w:space="0" w:color="E0E0E0"/>
            </w:tcBorders>
            <w:shd w:val="clear" w:color="auto" w:fill="F9FBFC"/>
            <w:tcMar>
              <w:top w:w="90" w:type="dxa"/>
              <w:left w:w="100" w:type="dxa"/>
              <w:bottom w:w="90" w:type="dxa"/>
              <w:right w:w="100" w:type="dxa"/>
            </w:tcMar>
          </w:tcPr>
          <w:p w14:paraId="4539096C" w14:textId="77777777" w:rsidR="008F18A1" w:rsidRDefault="00000000">
            <w:pPr>
              <w:spacing w:after="0"/>
            </w:pPr>
            <w:r>
              <w:rPr>
                <w:rFonts w:ascii="Calibri" w:hAnsi="Calibri"/>
                <w:b/>
                <w:color w:val="1B365D"/>
                <w:sz w:val="19"/>
              </w:rPr>
              <w:t>Requirements</w:t>
            </w:r>
          </w:p>
        </w:tc>
        <w:tc>
          <w:tcPr>
            <w:tcW w:w="1440" w:type="dxa"/>
            <w:tcBorders>
              <w:top w:val="single" w:sz="4" w:space="0" w:color="E0E0E0"/>
              <w:left w:val="single" w:sz="4" w:space="0" w:color="E0E0E0"/>
              <w:bottom w:val="single" w:sz="4" w:space="0" w:color="E0E0E0"/>
              <w:right w:val="single" w:sz="4" w:space="0" w:color="E0E0E0"/>
            </w:tcBorders>
            <w:shd w:val="clear" w:color="auto" w:fill="F9FBFC"/>
            <w:tcMar>
              <w:top w:w="90" w:type="dxa"/>
              <w:left w:w="100" w:type="dxa"/>
              <w:bottom w:w="90" w:type="dxa"/>
              <w:right w:w="100" w:type="dxa"/>
            </w:tcMar>
          </w:tcPr>
          <w:p w14:paraId="382B4EC0" w14:textId="77777777" w:rsidR="008F18A1" w:rsidRDefault="00000000">
            <w:pPr>
              <w:spacing w:after="0"/>
              <w:jc w:val="center"/>
            </w:pPr>
            <w:r>
              <w:rPr>
                <w:rFonts w:ascii="Calibri" w:hAnsi="Calibri"/>
                <w:color w:val="222222"/>
                <w:sz w:val="19"/>
              </w:rPr>
              <w:t>Stable</w:t>
            </w:r>
          </w:p>
        </w:tc>
        <w:tc>
          <w:tcPr>
            <w:tcW w:w="1584" w:type="dxa"/>
            <w:tcBorders>
              <w:top w:val="single" w:sz="4" w:space="0" w:color="E0E0E0"/>
              <w:left w:val="single" w:sz="4" w:space="0" w:color="E0E0E0"/>
              <w:bottom w:val="single" w:sz="4" w:space="0" w:color="E0E0E0"/>
              <w:right w:val="single" w:sz="4" w:space="0" w:color="E0E0E0"/>
            </w:tcBorders>
            <w:shd w:val="clear" w:color="auto" w:fill="F9FBFC"/>
            <w:tcMar>
              <w:top w:w="90" w:type="dxa"/>
              <w:left w:w="100" w:type="dxa"/>
              <w:bottom w:w="90" w:type="dxa"/>
              <w:right w:w="100" w:type="dxa"/>
            </w:tcMar>
          </w:tcPr>
          <w:p w14:paraId="7078DF68" w14:textId="77777777" w:rsidR="008F18A1" w:rsidRDefault="00000000">
            <w:pPr>
              <w:spacing w:after="0"/>
              <w:jc w:val="center"/>
            </w:pPr>
            <w:r>
              <w:rPr>
                <w:rFonts w:ascii="Calibri" w:hAnsi="Calibri"/>
                <w:color w:val="222222"/>
                <w:sz w:val="19"/>
              </w:rPr>
              <w:t>Partly stable</w:t>
            </w:r>
          </w:p>
        </w:tc>
        <w:tc>
          <w:tcPr>
            <w:tcW w:w="1440" w:type="dxa"/>
            <w:tcBorders>
              <w:top w:val="single" w:sz="4" w:space="0" w:color="E0E0E0"/>
              <w:left w:val="single" w:sz="4" w:space="0" w:color="E0E0E0"/>
              <w:bottom w:val="single" w:sz="4" w:space="0" w:color="E0E0E0"/>
              <w:right w:val="single" w:sz="4" w:space="0" w:color="E0E0E0"/>
            </w:tcBorders>
            <w:shd w:val="clear" w:color="auto" w:fill="F9FBFC"/>
            <w:tcMar>
              <w:top w:w="90" w:type="dxa"/>
              <w:left w:w="100" w:type="dxa"/>
              <w:bottom w:w="90" w:type="dxa"/>
              <w:right w:w="100" w:type="dxa"/>
            </w:tcMar>
          </w:tcPr>
          <w:p w14:paraId="681F99CE" w14:textId="77777777" w:rsidR="008F18A1" w:rsidRDefault="00000000">
            <w:pPr>
              <w:spacing w:after="0"/>
              <w:jc w:val="center"/>
            </w:pPr>
            <w:r>
              <w:rPr>
                <w:rFonts w:ascii="Calibri" w:hAnsi="Calibri"/>
                <w:color w:val="222222"/>
                <w:sz w:val="19"/>
              </w:rPr>
              <w:t>Unclear</w:t>
            </w:r>
          </w:p>
        </w:tc>
        <w:tc>
          <w:tcPr>
            <w:tcW w:w="1440" w:type="dxa"/>
            <w:tcBorders>
              <w:top w:val="single" w:sz="4" w:space="0" w:color="E0E0E0"/>
              <w:left w:val="single" w:sz="4" w:space="0" w:color="E0E0E0"/>
              <w:bottom w:val="single" w:sz="4" w:space="0" w:color="E0E0E0"/>
              <w:right w:val="single" w:sz="4" w:space="0" w:color="E0E0E0"/>
            </w:tcBorders>
            <w:shd w:val="clear" w:color="auto" w:fill="F9FBFC"/>
            <w:tcMar>
              <w:top w:w="90" w:type="dxa"/>
              <w:left w:w="100" w:type="dxa"/>
              <w:bottom w:w="90" w:type="dxa"/>
              <w:right w:w="100" w:type="dxa"/>
            </w:tcMar>
          </w:tcPr>
          <w:p w14:paraId="1F5C6BF3" w14:textId="77777777" w:rsidR="008F18A1" w:rsidRDefault="00000000">
            <w:pPr>
              <w:spacing w:after="0"/>
              <w:jc w:val="center"/>
            </w:pPr>
            <w:r>
              <w:rPr>
                <w:rFonts w:ascii="Calibri" w:hAnsi="Calibri"/>
                <w:color w:val="222222"/>
                <w:sz w:val="19"/>
              </w:rPr>
              <w:t>Can change</w:t>
            </w:r>
          </w:p>
        </w:tc>
        <w:tc>
          <w:tcPr>
            <w:tcW w:w="1584" w:type="dxa"/>
            <w:tcBorders>
              <w:top w:val="single" w:sz="4" w:space="0" w:color="E0E0E0"/>
              <w:left w:val="single" w:sz="4" w:space="0" w:color="E0E0E0"/>
              <w:bottom w:val="single" w:sz="4" w:space="0" w:color="E0E0E0"/>
              <w:right w:val="single" w:sz="4" w:space="0" w:color="E0E0E0"/>
            </w:tcBorders>
            <w:shd w:val="clear" w:color="auto" w:fill="F9FBFC"/>
            <w:tcMar>
              <w:top w:w="90" w:type="dxa"/>
              <w:left w:w="100" w:type="dxa"/>
              <w:bottom w:w="90" w:type="dxa"/>
              <w:right w:w="100" w:type="dxa"/>
            </w:tcMar>
          </w:tcPr>
          <w:p w14:paraId="37A60346" w14:textId="77777777" w:rsidR="008F18A1" w:rsidRDefault="00000000">
            <w:pPr>
              <w:spacing w:after="0"/>
              <w:jc w:val="center"/>
            </w:pPr>
            <w:r>
              <w:rPr>
                <w:rFonts w:ascii="Calibri" w:hAnsi="Calibri"/>
                <w:b/>
                <w:color w:val="4A777A"/>
                <w:sz w:val="19"/>
              </w:rPr>
              <w:t>Changing</w:t>
            </w:r>
          </w:p>
        </w:tc>
      </w:tr>
      <w:tr w:rsidR="008F18A1" w14:paraId="005CAA38" w14:textId="77777777">
        <w:trPr>
          <w:jc w:val="center"/>
        </w:trPr>
        <w:tc>
          <w:tcPr>
            <w:tcW w:w="2304" w:type="dxa"/>
            <w:tcBorders>
              <w:top w:val="single" w:sz="4" w:space="0" w:color="E0E0E0"/>
              <w:left w:val="single" w:sz="4" w:space="0" w:color="E0E0E0"/>
              <w:bottom w:val="single" w:sz="4" w:space="0" w:color="E0E0E0"/>
              <w:right w:val="single" w:sz="4" w:space="0" w:color="E0E0E0"/>
            </w:tcBorders>
            <w:shd w:val="clear" w:color="auto" w:fill="FFFFFF"/>
            <w:tcMar>
              <w:top w:w="90" w:type="dxa"/>
              <w:left w:w="100" w:type="dxa"/>
              <w:bottom w:w="90" w:type="dxa"/>
              <w:right w:w="100" w:type="dxa"/>
            </w:tcMar>
          </w:tcPr>
          <w:p w14:paraId="65AF79E5" w14:textId="77777777" w:rsidR="008F18A1" w:rsidRDefault="00000000">
            <w:pPr>
              <w:spacing w:after="0"/>
            </w:pPr>
            <w:r>
              <w:rPr>
                <w:rFonts w:ascii="Calibri" w:hAnsi="Calibri"/>
                <w:b/>
                <w:color w:val="1B365D"/>
                <w:sz w:val="19"/>
              </w:rPr>
              <w:t>Early delivery</w:t>
            </w:r>
          </w:p>
        </w:tc>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90" w:type="dxa"/>
              <w:left w:w="100" w:type="dxa"/>
              <w:bottom w:w="90" w:type="dxa"/>
              <w:right w:w="100" w:type="dxa"/>
            </w:tcMar>
          </w:tcPr>
          <w:p w14:paraId="17E43503" w14:textId="77777777" w:rsidR="008F18A1" w:rsidRDefault="00000000">
            <w:pPr>
              <w:spacing w:after="0"/>
              <w:jc w:val="center"/>
            </w:pPr>
            <w:r>
              <w:rPr>
                <w:rFonts w:ascii="Calibri" w:hAnsi="Calibri"/>
                <w:color w:val="222222"/>
                <w:sz w:val="19"/>
              </w:rPr>
              <w:t>Low</w:t>
            </w:r>
          </w:p>
        </w:tc>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90" w:type="dxa"/>
              <w:left w:w="100" w:type="dxa"/>
              <w:bottom w:w="90" w:type="dxa"/>
              <w:right w:w="100" w:type="dxa"/>
            </w:tcMar>
          </w:tcPr>
          <w:p w14:paraId="28D2805E" w14:textId="77777777" w:rsidR="008F18A1" w:rsidRDefault="00000000">
            <w:pPr>
              <w:spacing w:after="0"/>
              <w:jc w:val="center"/>
            </w:pPr>
            <w:r>
              <w:rPr>
                <w:rFonts w:ascii="Calibri" w:hAnsi="Calibri"/>
                <w:color w:val="222222"/>
                <w:sz w:val="19"/>
              </w:rPr>
              <w:t>Yes</w:t>
            </w:r>
          </w:p>
        </w:tc>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90" w:type="dxa"/>
              <w:left w:w="100" w:type="dxa"/>
              <w:bottom w:w="90" w:type="dxa"/>
              <w:right w:w="100" w:type="dxa"/>
            </w:tcMar>
          </w:tcPr>
          <w:p w14:paraId="2E936C8B" w14:textId="77777777" w:rsidR="008F18A1" w:rsidRDefault="00000000">
            <w:pPr>
              <w:spacing w:after="0"/>
              <w:jc w:val="center"/>
            </w:pPr>
            <w:r>
              <w:rPr>
                <w:rFonts w:ascii="Calibri" w:hAnsi="Calibri"/>
                <w:color w:val="222222"/>
                <w:sz w:val="19"/>
              </w:rPr>
              <w:t>Sample</w:t>
            </w:r>
          </w:p>
        </w:tc>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90" w:type="dxa"/>
              <w:left w:w="100" w:type="dxa"/>
              <w:bottom w:w="90" w:type="dxa"/>
              <w:right w:w="100" w:type="dxa"/>
            </w:tcMar>
          </w:tcPr>
          <w:p w14:paraId="68B7D487" w14:textId="77777777" w:rsidR="008F18A1" w:rsidRDefault="00000000">
            <w:pPr>
              <w:spacing w:after="0"/>
              <w:jc w:val="center"/>
            </w:pPr>
            <w:r>
              <w:rPr>
                <w:rFonts w:ascii="Calibri" w:hAnsi="Calibri"/>
                <w:color w:val="222222"/>
                <w:sz w:val="19"/>
              </w:rPr>
              <w:t>Possible</w:t>
            </w:r>
          </w:p>
        </w:tc>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90" w:type="dxa"/>
              <w:left w:w="100" w:type="dxa"/>
              <w:bottom w:w="90" w:type="dxa"/>
              <w:right w:w="100" w:type="dxa"/>
            </w:tcMar>
          </w:tcPr>
          <w:p w14:paraId="6F613C8C" w14:textId="77777777" w:rsidR="008F18A1" w:rsidRDefault="00000000">
            <w:pPr>
              <w:spacing w:after="0"/>
              <w:jc w:val="center"/>
            </w:pPr>
            <w:r>
              <w:rPr>
                <w:rFonts w:ascii="Calibri" w:hAnsi="Calibri"/>
                <w:b/>
                <w:color w:val="4A777A"/>
                <w:sz w:val="19"/>
              </w:rPr>
              <w:t>Yes</w:t>
            </w:r>
          </w:p>
        </w:tc>
      </w:tr>
      <w:tr w:rsidR="008F18A1" w14:paraId="2732697B" w14:textId="77777777">
        <w:trPr>
          <w:jc w:val="center"/>
        </w:trPr>
        <w:tc>
          <w:tcPr>
            <w:tcW w:w="2304" w:type="dxa"/>
            <w:tcBorders>
              <w:top w:val="single" w:sz="4" w:space="0" w:color="E0E0E0"/>
              <w:left w:val="single" w:sz="4" w:space="0" w:color="E0E0E0"/>
              <w:bottom w:val="single" w:sz="4" w:space="0" w:color="E0E0E0"/>
              <w:right w:val="single" w:sz="4" w:space="0" w:color="E0E0E0"/>
            </w:tcBorders>
            <w:shd w:val="clear" w:color="auto" w:fill="F9FBFC"/>
            <w:tcMar>
              <w:top w:w="90" w:type="dxa"/>
              <w:left w:w="100" w:type="dxa"/>
              <w:bottom w:w="90" w:type="dxa"/>
              <w:right w:w="100" w:type="dxa"/>
            </w:tcMar>
          </w:tcPr>
          <w:p w14:paraId="7DFAD46C" w14:textId="77777777" w:rsidR="008F18A1" w:rsidRDefault="00000000">
            <w:pPr>
              <w:spacing w:after="0"/>
            </w:pPr>
            <w:r>
              <w:rPr>
                <w:rFonts w:ascii="Calibri" w:hAnsi="Calibri"/>
                <w:b/>
                <w:color w:val="1B365D"/>
                <w:sz w:val="19"/>
              </w:rPr>
              <w:t>Customer feedback</w:t>
            </w:r>
          </w:p>
        </w:tc>
        <w:tc>
          <w:tcPr>
            <w:tcW w:w="1440" w:type="dxa"/>
            <w:tcBorders>
              <w:top w:val="single" w:sz="4" w:space="0" w:color="E0E0E0"/>
              <w:left w:val="single" w:sz="4" w:space="0" w:color="E0E0E0"/>
              <w:bottom w:val="single" w:sz="4" w:space="0" w:color="E0E0E0"/>
              <w:right w:val="single" w:sz="4" w:space="0" w:color="E0E0E0"/>
            </w:tcBorders>
            <w:shd w:val="clear" w:color="auto" w:fill="F9FBFC"/>
            <w:tcMar>
              <w:top w:w="90" w:type="dxa"/>
              <w:left w:w="100" w:type="dxa"/>
              <w:bottom w:w="90" w:type="dxa"/>
              <w:right w:w="100" w:type="dxa"/>
            </w:tcMar>
          </w:tcPr>
          <w:p w14:paraId="1AB42847" w14:textId="77777777" w:rsidR="008F18A1" w:rsidRDefault="00000000">
            <w:pPr>
              <w:spacing w:after="0"/>
              <w:jc w:val="center"/>
            </w:pPr>
            <w:r>
              <w:rPr>
                <w:rFonts w:ascii="Calibri" w:hAnsi="Calibri"/>
                <w:color w:val="222222"/>
                <w:sz w:val="19"/>
              </w:rPr>
              <w:t>Low</w:t>
            </w:r>
          </w:p>
        </w:tc>
        <w:tc>
          <w:tcPr>
            <w:tcW w:w="1584" w:type="dxa"/>
            <w:tcBorders>
              <w:top w:val="single" w:sz="4" w:space="0" w:color="E0E0E0"/>
              <w:left w:val="single" w:sz="4" w:space="0" w:color="E0E0E0"/>
              <w:bottom w:val="single" w:sz="4" w:space="0" w:color="E0E0E0"/>
              <w:right w:val="single" w:sz="4" w:space="0" w:color="E0E0E0"/>
            </w:tcBorders>
            <w:shd w:val="clear" w:color="auto" w:fill="F9FBFC"/>
            <w:tcMar>
              <w:top w:w="90" w:type="dxa"/>
              <w:left w:w="100" w:type="dxa"/>
              <w:bottom w:w="90" w:type="dxa"/>
              <w:right w:w="100" w:type="dxa"/>
            </w:tcMar>
          </w:tcPr>
          <w:p w14:paraId="0C79E305" w14:textId="77777777" w:rsidR="008F18A1" w:rsidRDefault="00000000">
            <w:pPr>
              <w:spacing w:after="0"/>
              <w:jc w:val="center"/>
            </w:pPr>
            <w:r>
              <w:rPr>
                <w:rFonts w:ascii="Calibri" w:hAnsi="Calibri"/>
                <w:color w:val="222222"/>
                <w:sz w:val="19"/>
              </w:rPr>
              <w:t>Medium</w:t>
            </w:r>
          </w:p>
        </w:tc>
        <w:tc>
          <w:tcPr>
            <w:tcW w:w="1440" w:type="dxa"/>
            <w:tcBorders>
              <w:top w:val="single" w:sz="4" w:space="0" w:color="E0E0E0"/>
              <w:left w:val="single" w:sz="4" w:space="0" w:color="E0E0E0"/>
              <w:bottom w:val="single" w:sz="4" w:space="0" w:color="E0E0E0"/>
              <w:right w:val="single" w:sz="4" w:space="0" w:color="E0E0E0"/>
            </w:tcBorders>
            <w:shd w:val="clear" w:color="auto" w:fill="F9FBFC"/>
            <w:tcMar>
              <w:top w:w="90" w:type="dxa"/>
              <w:left w:w="100" w:type="dxa"/>
              <w:bottom w:w="90" w:type="dxa"/>
              <w:right w:w="100" w:type="dxa"/>
            </w:tcMar>
          </w:tcPr>
          <w:p w14:paraId="3B06E546" w14:textId="77777777" w:rsidR="008F18A1" w:rsidRDefault="00000000">
            <w:pPr>
              <w:spacing w:after="0"/>
              <w:jc w:val="center"/>
            </w:pPr>
            <w:r>
              <w:rPr>
                <w:rFonts w:ascii="Calibri" w:hAnsi="Calibri"/>
                <w:color w:val="222222"/>
                <w:sz w:val="19"/>
              </w:rPr>
              <w:t>High</w:t>
            </w:r>
          </w:p>
        </w:tc>
        <w:tc>
          <w:tcPr>
            <w:tcW w:w="1440" w:type="dxa"/>
            <w:tcBorders>
              <w:top w:val="single" w:sz="4" w:space="0" w:color="E0E0E0"/>
              <w:left w:val="single" w:sz="4" w:space="0" w:color="E0E0E0"/>
              <w:bottom w:val="single" w:sz="4" w:space="0" w:color="E0E0E0"/>
              <w:right w:val="single" w:sz="4" w:space="0" w:color="E0E0E0"/>
            </w:tcBorders>
            <w:shd w:val="clear" w:color="auto" w:fill="F9FBFC"/>
            <w:tcMar>
              <w:top w:w="90" w:type="dxa"/>
              <w:left w:w="100" w:type="dxa"/>
              <w:bottom w:w="90" w:type="dxa"/>
              <w:right w:w="100" w:type="dxa"/>
            </w:tcMar>
          </w:tcPr>
          <w:p w14:paraId="12967996" w14:textId="77777777" w:rsidR="008F18A1" w:rsidRDefault="00000000">
            <w:pPr>
              <w:spacing w:after="0"/>
              <w:jc w:val="center"/>
            </w:pPr>
            <w:r>
              <w:rPr>
                <w:rFonts w:ascii="Calibri" w:hAnsi="Calibri"/>
                <w:color w:val="222222"/>
                <w:sz w:val="19"/>
              </w:rPr>
              <w:t>High</w:t>
            </w:r>
          </w:p>
        </w:tc>
        <w:tc>
          <w:tcPr>
            <w:tcW w:w="1584" w:type="dxa"/>
            <w:tcBorders>
              <w:top w:val="single" w:sz="4" w:space="0" w:color="E0E0E0"/>
              <w:left w:val="single" w:sz="4" w:space="0" w:color="E0E0E0"/>
              <w:bottom w:val="single" w:sz="4" w:space="0" w:color="E0E0E0"/>
              <w:right w:val="single" w:sz="4" w:space="0" w:color="E0E0E0"/>
            </w:tcBorders>
            <w:shd w:val="clear" w:color="auto" w:fill="F9FBFC"/>
            <w:tcMar>
              <w:top w:w="90" w:type="dxa"/>
              <w:left w:w="100" w:type="dxa"/>
              <w:bottom w:w="90" w:type="dxa"/>
              <w:right w:w="100" w:type="dxa"/>
            </w:tcMar>
          </w:tcPr>
          <w:p w14:paraId="31C32A16" w14:textId="77777777" w:rsidR="008F18A1" w:rsidRDefault="00000000">
            <w:pPr>
              <w:spacing w:after="0"/>
              <w:jc w:val="center"/>
            </w:pPr>
            <w:r>
              <w:rPr>
                <w:rFonts w:ascii="Calibri" w:hAnsi="Calibri"/>
                <w:b/>
                <w:color w:val="4A777A"/>
                <w:sz w:val="19"/>
              </w:rPr>
              <w:t>Very high</w:t>
            </w:r>
          </w:p>
        </w:tc>
      </w:tr>
      <w:tr w:rsidR="008F18A1" w14:paraId="208EE998" w14:textId="77777777">
        <w:trPr>
          <w:jc w:val="center"/>
        </w:trPr>
        <w:tc>
          <w:tcPr>
            <w:tcW w:w="2304" w:type="dxa"/>
            <w:tcBorders>
              <w:top w:val="single" w:sz="4" w:space="0" w:color="E0E0E0"/>
              <w:left w:val="single" w:sz="4" w:space="0" w:color="E0E0E0"/>
              <w:bottom w:val="single" w:sz="4" w:space="0" w:color="E0E0E0"/>
              <w:right w:val="single" w:sz="4" w:space="0" w:color="E0E0E0"/>
            </w:tcBorders>
            <w:shd w:val="clear" w:color="auto" w:fill="FFFFFF"/>
            <w:tcMar>
              <w:top w:w="90" w:type="dxa"/>
              <w:left w:w="100" w:type="dxa"/>
              <w:bottom w:w="90" w:type="dxa"/>
              <w:right w:w="100" w:type="dxa"/>
            </w:tcMar>
          </w:tcPr>
          <w:p w14:paraId="54056534" w14:textId="77777777" w:rsidR="008F18A1" w:rsidRDefault="00000000">
            <w:pPr>
              <w:spacing w:after="0"/>
            </w:pPr>
            <w:r>
              <w:rPr>
                <w:rFonts w:ascii="Calibri" w:hAnsi="Calibri"/>
                <w:b/>
                <w:color w:val="1B365D"/>
                <w:sz w:val="19"/>
              </w:rPr>
              <w:t>Risk handling</w:t>
            </w:r>
          </w:p>
        </w:tc>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90" w:type="dxa"/>
              <w:left w:w="100" w:type="dxa"/>
              <w:bottom w:w="90" w:type="dxa"/>
              <w:right w:w="100" w:type="dxa"/>
            </w:tcMar>
          </w:tcPr>
          <w:p w14:paraId="6E086DB4" w14:textId="77777777" w:rsidR="008F18A1" w:rsidRDefault="00000000">
            <w:pPr>
              <w:spacing w:after="0"/>
              <w:jc w:val="center"/>
            </w:pPr>
            <w:r>
              <w:rPr>
                <w:rFonts w:ascii="Calibri" w:hAnsi="Calibri"/>
                <w:color w:val="222222"/>
                <w:sz w:val="19"/>
              </w:rPr>
              <w:t>Low</w:t>
            </w:r>
          </w:p>
        </w:tc>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90" w:type="dxa"/>
              <w:left w:w="100" w:type="dxa"/>
              <w:bottom w:w="90" w:type="dxa"/>
              <w:right w:w="100" w:type="dxa"/>
            </w:tcMar>
          </w:tcPr>
          <w:p w14:paraId="54658F38" w14:textId="77777777" w:rsidR="008F18A1" w:rsidRDefault="00000000">
            <w:pPr>
              <w:spacing w:after="0"/>
              <w:jc w:val="center"/>
            </w:pPr>
            <w:r>
              <w:rPr>
                <w:rFonts w:ascii="Calibri" w:hAnsi="Calibri"/>
                <w:color w:val="222222"/>
                <w:sz w:val="19"/>
              </w:rPr>
              <w:t>Medium</w:t>
            </w:r>
          </w:p>
        </w:tc>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90" w:type="dxa"/>
              <w:left w:w="100" w:type="dxa"/>
              <w:bottom w:w="90" w:type="dxa"/>
              <w:right w:w="100" w:type="dxa"/>
            </w:tcMar>
          </w:tcPr>
          <w:p w14:paraId="573448DC" w14:textId="77777777" w:rsidR="008F18A1" w:rsidRDefault="00000000">
            <w:pPr>
              <w:spacing w:after="0"/>
              <w:jc w:val="center"/>
            </w:pPr>
            <w:r>
              <w:rPr>
                <w:rFonts w:ascii="Calibri" w:hAnsi="Calibri"/>
                <w:color w:val="222222"/>
                <w:sz w:val="19"/>
              </w:rPr>
              <w:t>Medium</w:t>
            </w:r>
          </w:p>
        </w:tc>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90" w:type="dxa"/>
              <w:left w:w="100" w:type="dxa"/>
              <w:bottom w:w="90" w:type="dxa"/>
              <w:right w:w="100" w:type="dxa"/>
            </w:tcMar>
          </w:tcPr>
          <w:p w14:paraId="0BDC00E2" w14:textId="77777777" w:rsidR="008F18A1" w:rsidRDefault="00000000">
            <w:pPr>
              <w:spacing w:after="0"/>
              <w:jc w:val="center"/>
            </w:pPr>
            <w:r>
              <w:rPr>
                <w:rFonts w:ascii="Calibri" w:hAnsi="Calibri"/>
                <w:color w:val="222222"/>
                <w:sz w:val="19"/>
              </w:rPr>
              <w:t>Very high</w:t>
            </w:r>
          </w:p>
        </w:tc>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90" w:type="dxa"/>
              <w:left w:w="100" w:type="dxa"/>
              <w:bottom w:w="90" w:type="dxa"/>
              <w:right w:w="100" w:type="dxa"/>
            </w:tcMar>
          </w:tcPr>
          <w:p w14:paraId="121A933B" w14:textId="77777777" w:rsidR="008F18A1" w:rsidRDefault="00000000">
            <w:pPr>
              <w:spacing w:after="0"/>
              <w:jc w:val="center"/>
            </w:pPr>
            <w:r>
              <w:rPr>
                <w:rFonts w:ascii="Calibri" w:hAnsi="Calibri"/>
                <w:b/>
                <w:color w:val="4A777A"/>
                <w:sz w:val="19"/>
              </w:rPr>
              <w:t>Medium</w:t>
            </w:r>
          </w:p>
        </w:tc>
      </w:tr>
    </w:tbl>
    <w:p w14:paraId="25A437AC" w14:textId="77777777" w:rsidR="008F18A1" w:rsidRDefault="008F18A1">
      <w:pPr>
        <w:spacing w:after="120"/>
      </w:pPr>
    </w:p>
    <w:p w14:paraId="27F897F4" w14:textId="77777777" w:rsidR="008F18A1" w:rsidRDefault="00000000">
      <w:pPr>
        <w:keepNext/>
        <w:spacing w:before="240" w:after="80"/>
      </w:pPr>
      <w:r>
        <w:rPr>
          <w:rFonts w:ascii="Calibri" w:hAnsi="Calibri"/>
          <w:b/>
          <w:color w:val="1B365D"/>
          <w:sz w:val="24"/>
        </w:rPr>
        <w:t>3. PROJECT CASE ANALYSIS: ONLINE QUIZ SYSTEM</w:t>
      </w:r>
    </w:p>
    <w:tbl>
      <w:tblPr>
        <w:tblW w:w="0" w:type="auto"/>
        <w:jc w:val="center"/>
        <w:tblLayout w:type="fixed"/>
        <w:tblLook w:val="04A0" w:firstRow="1" w:lastRow="0" w:firstColumn="1" w:lastColumn="0" w:noHBand="0" w:noVBand="1"/>
      </w:tblPr>
      <w:tblGrid>
        <w:gridCol w:w="3168"/>
        <w:gridCol w:w="6624"/>
      </w:tblGrid>
      <w:tr w:rsidR="008F18A1" w14:paraId="2C600319" w14:textId="77777777">
        <w:trPr>
          <w:jc w:val="center"/>
        </w:trPr>
        <w:tc>
          <w:tcPr>
            <w:tcW w:w="3168" w:type="dxa"/>
            <w:tcBorders>
              <w:top w:val="single" w:sz="4" w:space="0" w:color="D0D7DE"/>
              <w:left w:val="single" w:sz="4" w:space="0" w:color="D0D7DE"/>
              <w:bottom w:val="single" w:sz="4" w:space="0" w:color="D0D7DE"/>
              <w:right w:val="single" w:sz="4" w:space="0" w:color="D0D7DE"/>
            </w:tcBorders>
            <w:shd w:val="clear" w:color="auto" w:fill="F4F6F9"/>
            <w:tcMar>
              <w:top w:w="100" w:type="dxa"/>
              <w:left w:w="120" w:type="dxa"/>
              <w:bottom w:w="100" w:type="dxa"/>
              <w:right w:w="120" w:type="dxa"/>
            </w:tcMar>
          </w:tcPr>
          <w:p w14:paraId="06EA36A6" w14:textId="77777777" w:rsidR="008F18A1" w:rsidRDefault="00000000">
            <w:pPr>
              <w:spacing w:after="0"/>
            </w:pPr>
            <w:r>
              <w:rPr>
                <w:rFonts w:ascii="Calibri" w:hAnsi="Calibri"/>
                <w:b/>
                <w:color w:val="1B365D"/>
                <w:sz w:val="20"/>
              </w:rPr>
              <w:t>Requirements</w:t>
            </w:r>
          </w:p>
        </w:tc>
        <w:tc>
          <w:tcPr>
            <w:tcW w:w="6624" w:type="dxa"/>
            <w:tcBorders>
              <w:top w:val="single" w:sz="4" w:space="0" w:color="D0D7DE"/>
              <w:left w:val="single" w:sz="4" w:space="0" w:color="D0D7DE"/>
              <w:bottom w:val="single" w:sz="4" w:space="0" w:color="D0D7DE"/>
              <w:right w:val="single" w:sz="4" w:space="0" w:color="D0D7DE"/>
            </w:tcBorders>
            <w:shd w:val="clear" w:color="auto" w:fill="F4F6F9"/>
            <w:tcMar>
              <w:top w:w="100" w:type="dxa"/>
              <w:left w:w="120" w:type="dxa"/>
              <w:bottom w:w="100" w:type="dxa"/>
              <w:right w:w="120" w:type="dxa"/>
            </w:tcMar>
          </w:tcPr>
          <w:p w14:paraId="623F2AF6" w14:textId="77777777" w:rsidR="008F18A1" w:rsidRDefault="00000000">
            <w:pPr>
              <w:spacing w:after="0"/>
            </w:pPr>
            <w:r>
              <w:rPr>
                <w:rFonts w:ascii="Calibri" w:hAnsi="Calibri"/>
                <w:color w:val="222222"/>
                <w:sz w:val="19"/>
              </w:rPr>
              <w:t>Partly stable to changing. Core quiz mechanics (authentication, question bank, test submission) are defined, but UI, timer handling, negative marking, and proctoring controls evolve based on instructor and student trials.</w:t>
            </w:r>
          </w:p>
        </w:tc>
      </w:tr>
      <w:tr w:rsidR="008F18A1" w14:paraId="44C6DC7A" w14:textId="77777777">
        <w:trPr>
          <w:jc w:val="center"/>
        </w:trPr>
        <w:tc>
          <w:tcPr>
            <w:tcW w:w="31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20" w:type="dxa"/>
              <w:bottom w:w="100" w:type="dxa"/>
              <w:right w:w="120" w:type="dxa"/>
            </w:tcMar>
          </w:tcPr>
          <w:p w14:paraId="7A63A6DA" w14:textId="77777777" w:rsidR="008F18A1" w:rsidRDefault="00000000">
            <w:pPr>
              <w:spacing w:after="0"/>
            </w:pPr>
            <w:r>
              <w:rPr>
                <w:rFonts w:ascii="Calibri" w:hAnsi="Calibri"/>
                <w:b/>
                <w:color w:val="1B365D"/>
                <w:sz w:val="20"/>
              </w:rPr>
              <w:t>Early Working Software</w:t>
            </w:r>
          </w:p>
        </w:tc>
        <w:tc>
          <w:tcPr>
            <w:tcW w:w="6624"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20" w:type="dxa"/>
              <w:bottom w:w="100" w:type="dxa"/>
              <w:right w:w="120" w:type="dxa"/>
            </w:tcMar>
          </w:tcPr>
          <w:p w14:paraId="5C04F20E" w14:textId="77777777" w:rsidR="008F18A1" w:rsidRDefault="00000000">
            <w:pPr>
              <w:spacing w:after="0"/>
            </w:pPr>
            <w:r>
              <w:rPr>
                <w:rFonts w:ascii="Calibri" w:hAnsi="Calibri"/>
                <w:color w:val="222222"/>
                <w:sz w:val="19"/>
              </w:rPr>
              <w:t>Required. Stakeholders need early usable builds to test quiz taking, timer behavior, question navigation palettes, and instant score computation.</w:t>
            </w:r>
          </w:p>
        </w:tc>
      </w:tr>
      <w:tr w:rsidR="008F18A1" w14:paraId="2A35D304" w14:textId="77777777">
        <w:trPr>
          <w:jc w:val="center"/>
        </w:trPr>
        <w:tc>
          <w:tcPr>
            <w:tcW w:w="3168" w:type="dxa"/>
            <w:tcBorders>
              <w:top w:val="single" w:sz="4" w:space="0" w:color="D0D7DE"/>
              <w:left w:val="single" w:sz="4" w:space="0" w:color="D0D7DE"/>
              <w:bottom w:val="single" w:sz="4" w:space="0" w:color="D0D7DE"/>
              <w:right w:val="single" w:sz="4" w:space="0" w:color="D0D7DE"/>
            </w:tcBorders>
            <w:shd w:val="clear" w:color="auto" w:fill="F4F6F9"/>
            <w:tcMar>
              <w:top w:w="100" w:type="dxa"/>
              <w:left w:w="120" w:type="dxa"/>
              <w:bottom w:w="100" w:type="dxa"/>
              <w:right w:w="120" w:type="dxa"/>
            </w:tcMar>
          </w:tcPr>
          <w:p w14:paraId="1C05028C" w14:textId="77777777" w:rsidR="008F18A1" w:rsidRDefault="00000000">
            <w:pPr>
              <w:spacing w:after="0"/>
            </w:pPr>
            <w:r>
              <w:rPr>
                <w:rFonts w:ascii="Calibri" w:hAnsi="Calibri"/>
                <w:b/>
                <w:color w:val="1B365D"/>
                <w:sz w:val="20"/>
              </w:rPr>
              <w:t>Customer / User Feedback</w:t>
            </w:r>
          </w:p>
        </w:tc>
        <w:tc>
          <w:tcPr>
            <w:tcW w:w="6624" w:type="dxa"/>
            <w:tcBorders>
              <w:top w:val="single" w:sz="4" w:space="0" w:color="D0D7DE"/>
              <w:left w:val="single" w:sz="4" w:space="0" w:color="D0D7DE"/>
              <w:bottom w:val="single" w:sz="4" w:space="0" w:color="D0D7DE"/>
              <w:right w:val="single" w:sz="4" w:space="0" w:color="D0D7DE"/>
            </w:tcBorders>
            <w:shd w:val="clear" w:color="auto" w:fill="F4F6F9"/>
            <w:tcMar>
              <w:top w:w="100" w:type="dxa"/>
              <w:left w:w="120" w:type="dxa"/>
              <w:bottom w:w="100" w:type="dxa"/>
              <w:right w:w="120" w:type="dxa"/>
            </w:tcMar>
          </w:tcPr>
          <w:p w14:paraId="073F809E" w14:textId="77777777" w:rsidR="008F18A1" w:rsidRDefault="00000000">
            <w:pPr>
              <w:spacing w:after="0"/>
            </w:pPr>
            <w:r>
              <w:rPr>
                <w:rFonts w:ascii="Calibri" w:hAnsi="Calibri"/>
                <w:color w:val="222222"/>
                <w:sz w:val="19"/>
              </w:rPr>
              <w:t>Very High. Continuous testing and feedback from instructors (test creation experience) and students (user interface responsiveness during live tests) are vital.</w:t>
            </w:r>
          </w:p>
        </w:tc>
      </w:tr>
      <w:tr w:rsidR="008F18A1" w14:paraId="3763AA77" w14:textId="77777777">
        <w:trPr>
          <w:jc w:val="center"/>
        </w:trPr>
        <w:tc>
          <w:tcPr>
            <w:tcW w:w="31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20" w:type="dxa"/>
              <w:bottom w:w="100" w:type="dxa"/>
              <w:right w:w="120" w:type="dxa"/>
            </w:tcMar>
          </w:tcPr>
          <w:p w14:paraId="6DECFAF8" w14:textId="77777777" w:rsidR="008F18A1" w:rsidRDefault="00000000">
            <w:pPr>
              <w:spacing w:after="0"/>
            </w:pPr>
            <w:r>
              <w:rPr>
                <w:rFonts w:ascii="Calibri" w:hAnsi="Calibri"/>
                <w:b/>
                <w:color w:val="1B365D"/>
                <w:sz w:val="20"/>
              </w:rPr>
              <w:t>Risk Analysis</w:t>
            </w:r>
          </w:p>
        </w:tc>
        <w:tc>
          <w:tcPr>
            <w:tcW w:w="6624"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20" w:type="dxa"/>
              <w:bottom w:w="100" w:type="dxa"/>
              <w:right w:w="120" w:type="dxa"/>
            </w:tcMar>
          </w:tcPr>
          <w:p w14:paraId="3764F6FA" w14:textId="77777777" w:rsidR="008F18A1" w:rsidRDefault="00000000">
            <w:pPr>
              <w:spacing w:after="0"/>
            </w:pPr>
            <w:r>
              <w:rPr>
                <w:rFonts w:ascii="Calibri" w:hAnsi="Calibri"/>
                <w:color w:val="222222"/>
                <w:sz w:val="19"/>
              </w:rPr>
              <w:t>Medium risk. Primary concerns include server overload during peak test submissions, connection drops during active exams, and response caching.</w:t>
            </w:r>
          </w:p>
        </w:tc>
      </w:tr>
      <w:tr w:rsidR="008F18A1" w14:paraId="742D218B" w14:textId="77777777">
        <w:trPr>
          <w:jc w:val="center"/>
        </w:trPr>
        <w:tc>
          <w:tcPr>
            <w:tcW w:w="3168" w:type="dxa"/>
            <w:tcBorders>
              <w:top w:val="single" w:sz="4" w:space="0" w:color="D0D7DE"/>
              <w:left w:val="single" w:sz="4" w:space="0" w:color="D0D7DE"/>
              <w:bottom w:val="single" w:sz="6" w:space="0" w:color="1B365D"/>
              <w:right w:val="single" w:sz="4" w:space="0" w:color="D0D7DE"/>
            </w:tcBorders>
            <w:shd w:val="clear" w:color="auto" w:fill="EBF2FA"/>
            <w:tcMar>
              <w:top w:w="100" w:type="dxa"/>
              <w:left w:w="120" w:type="dxa"/>
              <w:bottom w:w="100" w:type="dxa"/>
              <w:right w:w="120" w:type="dxa"/>
            </w:tcMar>
          </w:tcPr>
          <w:p w14:paraId="058F6250" w14:textId="77777777" w:rsidR="008F18A1" w:rsidRDefault="00000000">
            <w:pPr>
              <w:spacing w:after="0"/>
            </w:pPr>
            <w:r>
              <w:rPr>
                <w:rFonts w:ascii="Calibri" w:hAnsi="Calibri"/>
                <w:b/>
                <w:color w:val="1B365D"/>
                <w:sz w:val="20"/>
              </w:rPr>
              <w:t>Possible Choice</w:t>
            </w:r>
          </w:p>
        </w:tc>
        <w:tc>
          <w:tcPr>
            <w:tcW w:w="6624" w:type="dxa"/>
            <w:tcBorders>
              <w:top w:val="single" w:sz="4" w:space="0" w:color="D0D7DE"/>
              <w:left w:val="single" w:sz="4" w:space="0" w:color="D0D7DE"/>
              <w:bottom w:val="single" w:sz="6" w:space="0" w:color="1B365D"/>
              <w:right w:val="single" w:sz="4" w:space="0" w:color="D0D7DE"/>
            </w:tcBorders>
            <w:shd w:val="clear" w:color="auto" w:fill="EBF2FA"/>
            <w:tcMar>
              <w:top w:w="100" w:type="dxa"/>
              <w:left w:w="120" w:type="dxa"/>
              <w:bottom w:w="100" w:type="dxa"/>
              <w:right w:w="120" w:type="dxa"/>
            </w:tcMar>
          </w:tcPr>
          <w:p w14:paraId="68BB4AB0" w14:textId="77777777" w:rsidR="008F18A1" w:rsidRDefault="00000000">
            <w:pPr>
              <w:spacing w:after="0"/>
            </w:pPr>
            <w:r>
              <w:rPr>
                <w:rFonts w:ascii="Calibri" w:hAnsi="Calibri"/>
                <w:b/>
                <w:color w:val="1B365D"/>
                <w:sz w:val="19"/>
              </w:rPr>
              <w:t>AGILE PROCESS MODEL (SCRUM)</w:t>
            </w:r>
          </w:p>
        </w:tc>
      </w:tr>
    </w:tbl>
    <w:p w14:paraId="026CC903" w14:textId="77777777" w:rsidR="008F18A1" w:rsidRDefault="008F18A1">
      <w:pPr>
        <w:spacing w:after="120"/>
      </w:pPr>
    </w:p>
    <w:p w14:paraId="226820C7" w14:textId="77777777" w:rsidR="008F18A1" w:rsidRDefault="00000000">
      <w:pPr>
        <w:keepNext/>
        <w:spacing w:before="240" w:after="80"/>
      </w:pPr>
      <w:r>
        <w:rPr>
          <w:rFonts w:ascii="Calibri" w:hAnsi="Calibri"/>
          <w:b/>
          <w:color w:val="1B365D"/>
          <w:sz w:val="24"/>
        </w:rPr>
        <w:lastRenderedPageBreak/>
        <w:t>4. REASONS EXPLAINING THE SELECTION OF AGILE MODEL</w:t>
      </w:r>
    </w:p>
    <w:p w14:paraId="0FBE3DFA" w14:textId="77777777" w:rsidR="008F18A1" w:rsidRDefault="00000000">
      <w:pPr>
        <w:spacing w:before="60" w:after="80"/>
        <w:ind w:left="360"/>
      </w:pPr>
      <w:r>
        <w:rPr>
          <w:rFonts w:ascii="Calibri" w:hAnsi="Calibri"/>
          <w:b/>
          <w:color w:val="1B365D"/>
        </w:rPr>
        <w:t xml:space="preserve">•  </w:t>
      </w:r>
      <w:r>
        <w:rPr>
          <w:rFonts w:ascii="Calibri" w:hAnsi="Calibri"/>
          <w:b/>
          <w:color w:val="1B365D"/>
          <w:sz w:val="20"/>
        </w:rPr>
        <w:t xml:space="preserve">Iterative Sprints for Modular Delivery: </w:t>
      </w:r>
      <w:r>
        <w:rPr>
          <w:rFonts w:ascii="Calibri" w:hAnsi="Calibri"/>
          <w:color w:val="222222"/>
          <w:sz w:val="20"/>
        </w:rPr>
        <w:t>The system can be partitioned into functional iterations. Sprint 1 delivers authentication and basic test rendering. Sprint 2 integrates the countdown timer, auto-submission, and grading engine. Sprint 3 implements role-based dashboards, report exports, and analytical scorecards.</w:t>
      </w:r>
    </w:p>
    <w:p w14:paraId="105C5579" w14:textId="77777777" w:rsidR="008F18A1" w:rsidRDefault="00000000">
      <w:pPr>
        <w:spacing w:before="60" w:after="80"/>
        <w:ind w:left="360"/>
      </w:pPr>
      <w:r>
        <w:rPr>
          <w:rFonts w:ascii="Calibri" w:hAnsi="Calibri"/>
          <w:b/>
          <w:color w:val="1B365D"/>
        </w:rPr>
        <w:t xml:space="preserve">•  </w:t>
      </w:r>
      <w:r>
        <w:rPr>
          <w:rFonts w:ascii="Calibri" w:hAnsi="Calibri"/>
          <w:b/>
          <w:color w:val="1B365D"/>
          <w:sz w:val="20"/>
        </w:rPr>
        <w:t xml:space="preserve">Continuous User &amp; Educator Feedback: </w:t>
      </w:r>
      <w:r>
        <w:rPr>
          <w:rFonts w:ascii="Calibri" w:hAnsi="Calibri"/>
          <w:color w:val="222222"/>
          <w:sz w:val="20"/>
        </w:rPr>
        <w:t>Usability during exams is critical. Regular feedback loops ensure button placement, question palette visibility, network re-connection prompts, and timer notifications are intuitive and tested prior to deployment.</w:t>
      </w:r>
    </w:p>
    <w:p w14:paraId="4147B888" w14:textId="77777777" w:rsidR="008F18A1" w:rsidRDefault="00000000">
      <w:pPr>
        <w:spacing w:before="60" w:after="80"/>
        <w:ind w:left="360"/>
      </w:pPr>
      <w:r>
        <w:rPr>
          <w:rFonts w:ascii="Calibri" w:hAnsi="Calibri"/>
          <w:b/>
          <w:color w:val="1B365D"/>
        </w:rPr>
        <w:t xml:space="preserve">•  </w:t>
      </w:r>
      <w:r>
        <w:rPr>
          <w:rFonts w:ascii="Calibri" w:hAnsi="Calibri"/>
          <w:b/>
          <w:color w:val="1B365D"/>
          <w:sz w:val="20"/>
        </w:rPr>
        <w:t xml:space="preserve">High Flexibility to Changing Requirements: </w:t>
      </w:r>
      <w:r>
        <w:rPr>
          <w:rFonts w:ascii="Calibri" w:hAnsi="Calibri"/>
          <w:color w:val="222222"/>
          <w:sz w:val="20"/>
        </w:rPr>
        <w:t>New exam policies (such as section-wise timing, randomized question shuffling, negative marking schemes, and tab-switch warning limits) can be accommodated smoothly between sprints without refactoring completed code.</w:t>
      </w:r>
    </w:p>
    <w:p w14:paraId="777F0E5F" w14:textId="77777777" w:rsidR="008F18A1" w:rsidRDefault="00000000">
      <w:pPr>
        <w:spacing w:before="60" w:after="80"/>
        <w:ind w:left="360"/>
      </w:pPr>
      <w:r>
        <w:rPr>
          <w:rFonts w:ascii="Calibri" w:hAnsi="Calibri"/>
          <w:b/>
          <w:color w:val="1B365D"/>
        </w:rPr>
        <w:t xml:space="preserve">•  </w:t>
      </w:r>
      <w:r>
        <w:rPr>
          <w:rFonts w:ascii="Calibri" w:hAnsi="Calibri"/>
          <w:b/>
          <w:color w:val="1B365D"/>
          <w:sz w:val="20"/>
        </w:rPr>
        <w:t xml:space="preserve">Early Detection of Deficiencies: </w:t>
      </w:r>
      <w:r>
        <w:rPr>
          <w:rFonts w:ascii="Calibri" w:hAnsi="Calibri"/>
          <w:color w:val="222222"/>
          <w:sz w:val="20"/>
        </w:rPr>
        <w:t>Testing each increment minimizes grading calculation bugs, concurrency bottlenecks, and race conditions during high-volume simultaneous test submissions.</w:t>
      </w:r>
    </w:p>
    <w:p w14:paraId="605751F7" w14:textId="77777777" w:rsidR="008F18A1" w:rsidRDefault="00000000">
      <w:pPr>
        <w:keepNext/>
        <w:spacing w:before="240" w:after="80"/>
      </w:pPr>
      <w:r>
        <w:rPr>
          <w:rFonts w:ascii="Calibri" w:hAnsi="Calibri"/>
          <w:b/>
          <w:color w:val="1B365D"/>
          <w:sz w:val="24"/>
        </w:rPr>
        <w:t>5. JUSTIFICATION AGAINST OTHER PROCESS MODELS</w:t>
      </w:r>
    </w:p>
    <w:p w14:paraId="10F04986" w14:textId="77777777" w:rsidR="008F18A1" w:rsidRDefault="00000000">
      <w:pPr>
        <w:spacing w:before="40" w:after="60"/>
        <w:ind w:left="360"/>
      </w:pPr>
      <w:r>
        <w:rPr>
          <w:rFonts w:ascii="Calibri" w:hAnsi="Calibri"/>
          <w:b/>
          <w:color w:val="4A777A"/>
        </w:rPr>
        <w:t xml:space="preserve">•  </w:t>
      </w:r>
      <w:r>
        <w:rPr>
          <w:rFonts w:ascii="Calibri" w:hAnsi="Calibri"/>
          <w:b/>
          <w:color w:val="4A777A"/>
          <w:sz w:val="19"/>
        </w:rPr>
        <w:t xml:space="preserve">Waterfall Model: </w:t>
      </w:r>
      <w:r>
        <w:rPr>
          <w:rFonts w:ascii="Calibri" w:hAnsi="Calibri"/>
          <w:color w:val="222222"/>
          <w:sz w:val="19"/>
        </w:rPr>
        <w:t>Unsuitable due to high rigidity. It demands 100% frozen requirements upfront and delivers working software only at the end, making user-centric UI adjustments prohibitively expensive.</w:t>
      </w:r>
    </w:p>
    <w:p w14:paraId="6D415685" w14:textId="77777777" w:rsidR="008F18A1" w:rsidRDefault="00000000">
      <w:pPr>
        <w:spacing w:before="40" w:after="60"/>
        <w:ind w:left="360"/>
      </w:pPr>
      <w:r>
        <w:rPr>
          <w:rFonts w:ascii="Calibri" w:hAnsi="Calibri"/>
          <w:b/>
          <w:color w:val="4A777A"/>
        </w:rPr>
        <w:t xml:space="preserve">•  </w:t>
      </w:r>
      <w:r>
        <w:rPr>
          <w:rFonts w:ascii="Calibri" w:hAnsi="Calibri"/>
          <w:b/>
          <w:color w:val="4A777A"/>
          <w:sz w:val="19"/>
        </w:rPr>
        <w:t xml:space="preserve">Prototyping Model: </w:t>
      </w:r>
      <w:r>
        <w:rPr>
          <w:rFonts w:ascii="Calibri" w:hAnsi="Calibri"/>
          <w:color w:val="222222"/>
          <w:sz w:val="19"/>
        </w:rPr>
        <w:t>Helpful for designing early UI mockups, but lacks the structured engineering cadence and production release cycles needed for database consistency and security compliance.</w:t>
      </w:r>
    </w:p>
    <w:p w14:paraId="7EA11909" w14:textId="77777777" w:rsidR="008F18A1" w:rsidRDefault="00000000">
      <w:pPr>
        <w:spacing w:before="40" w:after="60"/>
        <w:ind w:left="360"/>
      </w:pPr>
      <w:r>
        <w:rPr>
          <w:rFonts w:ascii="Calibri" w:hAnsi="Calibri"/>
          <w:b/>
          <w:color w:val="4A777A"/>
        </w:rPr>
        <w:t xml:space="preserve">•  </w:t>
      </w:r>
      <w:r>
        <w:rPr>
          <w:rFonts w:ascii="Calibri" w:hAnsi="Calibri"/>
          <w:b/>
          <w:color w:val="4A777A"/>
          <w:sz w:val="19"/>
        </w:rPr>
        <w:t xml:space="preserve">Spiral Model: </w:t>
      </w:r>
      <w:r>
        <w:rPr>
          <w:rFonts w:ascii="Calibri" w:hAnsi="Calibri"/>
          <w:color w:val="222222"/>
          <w:sz w:val="19"/>
        </w:rPr>
        <w:t>Designed for massive, high-risk safety-critical systems (e.g., aerospace, nuclear). The extensive documentation and formal risk analysis add excessive overhead for a web-based educational quiz platform.</w:t>
      </w:r>
    </w:p>
    <w:p w14:paraId="054A5DB1" w14:textId="77777777" w:rsidR="008F18A1" w:rsidRDefault="00000000">
      <w:pPr>
        <w:keepNext/>
        <w:spacing w:before="240" w:after="80"/>
      </w:pPr>
      <w:r>
        <w:rPr>
          <w:rFonts w:ascii="Calibri" w:hAnsi="Calibri"/>
          <w:b/>
          <w:color w:val="1B365D"/>
          <w:sz w:val="24"/>
        </w:rPr>
        <w:t>6. CONCLUSION / RESULT</w:t>
      </w:r>
    </w:p>
    <w:p w14:paraId="10F906AD" w14:textId="77777777" w:rsidR="008F18A1" w:rsidRDefault="00000000">
      <w:pPr>
        <w:spacing w:before="40" w:after="240"/>
      </w:pPr>
      <w:r>
        <w:rPr>
          <w:rFonts w:ascii="Calibri" w:hAnsi="Calibri"/>
          <w:color w:val="222222"/>
          <w:sz w:val="20"/>
        </w:rPr>
        <w:t>In this experiment, five fundamental software process models were systematically analyzed and compared across project dynamics. For the Online Quiz System, the Agile Model was determined to be the most effective choice because it facilitates early working software releases, adapts to evolving feature requirements, and integrates continuous stakeholder feedback throughout development.</w:t>
      </w:r>
    </w:p>
    <w:sectPr w:rsidR="008F18A1"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397169">
    <w:abstractNumId w:val="8"/>
  </w:num>
  <w:num w:numId="2" w16cid:durableId="677974031">
    <w:abstractNumId w:val="6"/>
  </w:num>
  <w:num w:numId="3" w16cid:durableId="619799914">
    <w:abstractNumId w:val="5"/>
  </w:num>
  <w:num w:numId="4" w16cid:durableId="1827236446">
    <w:abstractNumId w:val="4"/>
  </w:num>
  <w:num w:numId="5" w16cid:durableId="558127352">
    <w:abstractNumId w:val="7"/>
  </w:num>
  <w:num w:numId="6" w16cid:durableId="764036204">
    <w:abstractNumId w:val="3"/>
  </w:num>
  <w:num w:numId="7" w16cid:durableId="786849986">
    <w:abstractNumId w:val="2"/>
  </w:num>
  <w:num w:numId="8" w16cid:durableId="1517883977">
    <w:abstractNumId w:val="1"/>
  </w:num>
  <w:num w:numId="9" w16cid:durableId="2095710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0247"/>
    <w:rsid w:val="008F18A1"/>
    <w:rsid w:val="00AA1D8D"/>
    <w:rsid w:val="00B47730"/>
    <w:rsid w:val="00CB0664"/>
    <w:rsid w:val="00EB35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96359"/>
  <w14:defaultImageDpi w14:val="300"/>
  <w15:docId w15:val="{B8AC454F-AF91-421D-887D-F3B47B852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560</Words>
  <Characters>3196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kumar</cp:lastModifiedBy>
  <cp:revision>2</cp:revision>
  <dcterms:created xsi:type="dcterms:W3CDTF">2013-12-23T23:15:00Z</dcterms:created>
  <dcterms:modified xsi:type="dcterms:W3CDTF">2026-09-23T16:11:00Z</dcterms:modified>
  <cp:category/>
</cp:coreProperties>
</file>